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160" w:line="360" w:lineRule="auto"/>
        <w:jc w:val="center"/>
        <w:rPr>
          <w:b/>
          <w:sz w:val="18"/>
          <w:szCs w:val="18"/>
        </w:rPr>
      </w:pPr>
      <w:r>
        <w:rPr>
          <w:b/>
          <w:sz w:val="18"/>
          <w:szCs w:val="18"/>
        </w:rPr>
        <w:t>METhodological RadiomICs Score (METRICS): A quality scoring tool for radiomics research endorsed by EuSoMII</w:t>
      </w:r>
    </w:p>
    <w:p>
      <w:pPr>
        <w:spacing w:after="160" w:line="360" w:lineRule="auto"/>
        <w:jc w:val="center"/>
        <w:rPr>
          <w:b/>
          <w:sz w:val="18"/>
          <w:szCs w:val="18"/>
        </w:rPr>
      </w:pPr>
      <w:r>
        <w:rPr>
          <w:b/>
          <w:sz w:val="18"/>
          <w:szCs w:val="18"/>
        </w:rPr>
        <w:t>ELECTRONIC SUPPLEMENTARY MATERIAL</w:t>
      </w:r>
    </w:p>
    <w:p>
      <w:pPr>
        <w:spacing w:after="160" w:line="360" w:lineRule="auto"/>
        <w:rPr>
          <w:b/>
          <w:sz w:val="18"/>
          <w:szCs w:val="18"/>
        </w:rPr>
      </w:pPr>
      <w:r>
        <w:rPr>
          <w:b/>
          <w:sz w:val="18"/>
          <w:szCs w:val="18"/>
        </w:rPr>
        <w:t xml:space="preserve">Supplementary file 3: </w:t>
      </w:r>
      <w:r>
        <w:rPr>
          <w:sz w:val="18"/>
          <w:szCs w:val="18"/>
        </w:rPr>
        <w:t>METRICS tool with explanations.</w:t>
      </w:r>
    </w:p>
    <w:tbl>
      <w:tblPr>
        <w:tblStyle w:val="21"/>
        <w:tblW w:w="10285" w:type="dxa"/>
        <w:tblInd w:w="0" w:type="dxa"/>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Layout w:type="fixed"/>
        <w:tblCellMar>
          <w:top w:w="0" w:type="dxa"/>
          <w:left w:w="108" w:type="dxa"/>
          <w:bottom w:w="0" w:type="dxa"/>
          <w:right w:w="108" w:type="dxa"/>
        </w:tblCellMar>
      </w:tblPr>
      <w:tblGrid>
        <w:gridCol w:w="1616"/>
        <w:gridCol w:w="647"/>
        <w:gridCol w:w="5910"/>
        <w:gridCol w:w="1056"/>
        <w:gridCol w:w="1056"/>
      </w:tblGrid>
      <w:tr>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314" w:hRule="atLeast"/>
        </w:trPr>
        <w:tc>
          <w:tcPr>
            <w:tcW w:w="1616" w:type="dxa"/>
          </w:tcPr>
          <w:p>
            <w:pPr>
              <w:spacing w:line="240" w:lineRule="auto"/>
              <w:rPr>
                <w:b/>
                <w:sz w:val="18"/>
                <w:szCs w:val="18"/>
              </w:rPr>
            </w:pPr>
            <w:r>
              <w:rPr>
                <w:b/>
                <w:sz w:val="18"/>
                <w:szCs w:val="18"/>
              </w:rPr>
              <w:t>Categories</w:t>
            </w:r>
          </w:p>
        </w:tc>
        <w:tc>
          <w:tcPr>
            <w:tcW w:w="647" w:type="dxa"/>
          </w:tcPr>
          <w:p>
            <w:pPr>
              <w:spacing w:line="240" w:lineRule="auto"/>
              <w:rPr>
                <w:b/>
                <w:sz w:val="18"/>
                <w:szCs w:val="18"/>
              </w:rPr>
            </w:pPr>
            <w:r>
              <w:rPr>
                <w:b/>
                <w:sz w:val="18"/>
                <w:szCs w:val="18"/>
              </w:rPr>
              <w:t>No.</w:t>
            </w:r>
          </w:p>
        </w:tc>
        <w:tc>
          <w:tcPr>
            <w:tcW w:w="5910" w:type="dxa"/>
          </w:tcPr>
          <w:p>
            <w:pPr>
              <w:spacing w:line="240" w:lineRule="auto"/>
              <w:rPr>
                <w:b/>
                <w:sz w:val="18"/>
                <w:szCs w:val="18"/>
              </w:rPr>
            </w:pPr>
            <w:r>
              <w:rPr>
                <w:b/>
                <w:sz w:val="18"/>
                <w:szCs w:val="18"/>
              </w:rPr>
              <w:t>Items</w:t>
            </w:r>
          </w:p>
        </w:tc>
        <w:tc>
          <w:tcPr>
            <w:tcW w:w="1056" w:type="dxa"/>
          </w:tcPr>
          <w:p>
            <w:pPr>
              <w:spacing w:line="240" w:lineRule="auto"/>
              <w:rPr>
                <w:b/>
                <w:sz w:val="18"/>
                <w:szCs w:val="18"/>
                <w:vertAlign w:val="superscript"/>
              </w:rPr>
            </w:pPr>
            <w:r>
              <w:rPr>
                <w:b/>
                <w:sz w:val="18"/>
                <w:szCs w:val="18"/>
              </w:rPr>
              <w:t>Weights</w:t>
            </w:r>
          </w:p>
        </w:tc>
        <w:tc>
          <w:tcPr>
            <w:tcW w:w="1056" w:type="dxa"/>
          </w:tcPr>
          <w:p>
            <w:pPr>
              <w:spacing w:line="240" w:lineRule="auto"/>
              <w:rPr>
                <w:b/>
                <w:sz w:val="18"/>
                <w:szCs w:val="18"/>
              </w:rPr>
            </w:pPr>
            <w:r>
              <w:rPr>
                <w:b/>
                <w:sz w:val="18"/>
                <w:szCs w:val="18"/>
              </w:rPr>
              <w:t>Score</w:t>
            </w:r>
            <w:r>
              <w:rPr>
                <w:bCs/>
                <w:sz w:val="18"/>
                <w:szCs w:val="18"/>
                <w:vertAlign w:val="superscript"/>
              </w:rPr>
              <w:t>6</w:t>
            </w:r>
          </w:p>
        </w:tc>
      </w:tr>
      <w:tr>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314" w:hRule="atLeast"/>
        </w:trPr>
        <w:tc>
          <w:tcPr>
            <w:tcW w:w="1616" w:type="dxa"/>
            <w:vMerge w:val="restart"/>
          </w:tcPr>
          <w:p>
            <w:pPr>
              <w:spacing w:line="240" w:lineRule="auto"/>
              <w:rPr>
                <w:sz w:val="18"/>
                <w:szCs w:val="18"/>
              </w:rPr>
            </w:pPr>
            <w:r>
              <w:rPr>
                <w:sz w:val="18"/>
                <w:szCs w:val="18"/>
              </w:rPr>
              <w:t>Study Design</w:t>
            </w:r>
          </w:p>
        </w:tc>
        <w:tc>
          <w:tcPr>
            <w:tcW w:w="647" w:type="dxa"/>
          </w:tcPr>
          <w:p>
            <w:pPr>
              <w:spacing w:line="240" w:lineRule="auto"/>
              <w:rPr>
                <w:sz w:val="18"/>
                <w:szCs w:val="18"/>
              </w:rPr>
            </w:pPr>
            <w:r>
              <w:rPr>
                <w:sz w:val="18"/>
                <w:szCs w:val="18"/>
              </w:rPr>
              <w:t>#1</w:t>
            </w:r>
          </w:p>
        </w:tc>
        <w:tc>
          <w:tcPr>
            <w:tcW w:w="5910" w:type="dxa"/>
          </w:tcPr>
          <w:p>
            <w:pPr>
              <w:spacing w:line="240" w:lineRule="auto"/>
              <w:rPr>
                <w:sz w:val="18"/>
                <w:szCs w:val="18"/>
              </w:rPr>
            </w:pPr>
            <w:r>
              <w:rPr>
                <w:sz w:val="18"/>
                <w:szCs w:val="18"/>
              </w:rPr>
              <w:t>Adherence to radiomics and/or machine learning-specific checklists or guidelines</w:t>
            </w:r>
          </w:p>
          <w:p>
            <w:pPr>
              <w:spacing w:line="240" w:lineRule="auto"/>
              <w:rPr>
                <w:sz w:val="18"/>
                <w:szCs w:val="18"/>
              </w:rPr>
            </w:pPr>
            <w:r>
              <w:rPr>
                <w:sz w:val="18"/>
                <w:szCs w:val="18"/>
              </w:rPr>
              <w:t>&gt;&gt;&gt; Whether any guideline or checklist, e.g., CLEAR checklist, is used in designing and reporting, as appropriate for the study design (e.g., handcrafted radiomics or deep learning pipeline).</w:t>
            </w:r>
          </w:p>
        </w:tc>
        <w:tc>
          <w:tcPr>
            <w:tcW w:w="1056" w:type="dxa"/>
          </w:tcPr>
          <w:p>
            <w:pPr>
              <w:spacing w:line="240" w:lineRule="auto"/>
              <w:rPr>
                <w:sz w:val="18"/>
                <w:szCs w:val="18"/>
              </w:rPr>
            </w:pPr>
            <w:r>
              <w:rPr>
                <w:sz w:val="18"/>
                <w:szCs w:val="18"/>
              </w:rPr>
              <w:t>0.0368</w:t>
            </w:r>
          </w:p>
        </w:tc>
        <w:tc>
          <w:tcPr>
            <w:tcW w:w="1056" w:type="dxa"/>
          </w:tcPr>
          <w:p>
            <w:pPr>
              <w:spacing w:line="240" w:lineRule="auto"/>
              <w:rPr>
                <w:sz w:val="18"/>
                <w:szCs w:val="18"/>
              </w:rPr>
            </w:pPr>
            <w:r>
              <w:rPr>
                <w:sz w:val="18"/>
                <w:szCs w:val="18"/>
              </w:rPr>
              <w:t>0.0368</w:t>
            </w:r>
          </w:p>
        </w:tc>
      </w:tr>
      <w:tr>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314" w:hRule="atLeast"/>
        </w:trPr>
        <w:tc>
          <w:tcPr>
            <w:tcW w:w="1616" w:type="dxa"/>
            <w:vMerge w:val="continue"/>
          </w:tcPr>
          <w:p>
            <w:pPr>
              <w:widowControl w:val="0"/>
              <w:spacing w:line="240" w:lineRule="auto"/>
              <w:rPr>
                <w:sz w:val="18"/>
                <w:szCs w:val="18"/>
              </w:rPr>
            </w:pPr>
          </w:p>
        </w:tc>
        <w:tc>
          <w:tcPr>
            <w:tcW w:w="647" w:type="dxa"/>
          </w:tcPr>
          <w:p>
            <w:pPr>
              <w:spacing w:line="240" w:lineRule="auto"/>
              <w:rPr>
                <w:sz w:val="18"/>
                <w:szCs w:val="18"/>
              </w:rPr>
            </w:pPr>
            <w:r>
              <w:rPr>
                <w:sz w:val="18"/>
                <w:szCs w:val="18"/>
              </w:rPr>
              <w:t>#2</w:t>
            </w:r>
          </w:p>
        </w:tc>
        <w:tc>
          <w:tcPr>
            <w:tcW w:w="5910" w:type="dxa"/>
          </w:tcPr>
          <w:p>
            <w:pPr>
              <w:spacing w:line="240" w:lineRule="auto"/>
              <w:rPr>
                <w:sz w:val="18"/>
                <w:szCs w:val="18"/>
              </w:rPr>
            </w:pPr>
            <w:r>
              <w:rPr>
                <w:sz w:val="18"/>
                <w:szCs w:val="18"/>
              </w:rPr>
              <w:t>Eligibility criteria that describe a representative study population</w:t>
            </w:r>
          </w:p>
          <w:p>
            <w:pPr>
              <w:spacing w:line="240" w:lineRule="auto"/>
              <w:rPr>
                <w:sz w:val="18"/>
                <w:szCs w:val="18"/>
              </w:rPr>
            </w:pPr>
            <w:r>
              <w:rPr>
                <w:sz w:val="18"/>
                <w:szCs w:val="18"/>
              </w:rPr>
              <w:t>&gt;&gt;&gt; Whether inclusion and exclusion criteria are explicitly defined. These should lead to a representative study sample that matches the general population of interest for the study aim.</w:t>
            </w:r>
          </w:p>
        </w:tc>
        <w:tc>
          <w:tcPr>
            <w:tcW w:w="1056" w:type="dxa"/>
          </w:tcPr>
          <w:p>
            <w:pPr>
              <w:spacing w:line="240" w:lineRule="auto"/>
              <w:rPr>
                <w:sz w:val="18"/>
                <w:szCs w:val="18"/>
              </w:rPr>
            </w:pPr>
            <w:r>
              <w:rPr>
                <w:sz w:val="18"/>
                <w:szCs w:val="18"/>
              </w:rPr>
              <w:t>0.0735</w:t>
            </w:r>
          </w:p>
        </w:tc>
        <w:tc>
          <w:tcPr>
            <w:tcW w:w="1056" w:type="dxa"/>
          </w:tcPr>
          <w:p>
            <w:pPr>
              <w:spacing w:line="240" w:lineRule="auto"/>
              <w:rPr>
                <w:sz w:val="18"/>
                <w:szCs w:val="18"/>
              </w:rPr>
            </w:pPr>
            <w:r>
              <w:rPr>
                <w:sz w:val="18"/>
                <w:szCs w:val="18"/>
              </w:rPr>
              <w:t>0.0735</w:t>
            </w:r>
          </w:p>
        </w:tc>
      </w:tr>
      <w:tr>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314" w:hRule="atLeast"/>
        </w:trPr>
        <w:tc>
          <w:tcPr>
            <w:tcW w:w="1616" w:type="dxa"/>
            <w:vMerge w:val="continue"/>
          </w:tcPr>
          <w:p>
            <w:pPr>
              <w:widowControl w:val="0"/>
              <w:spacing w:line="240" w:lineRule="auto"/>
              <w:rPr>
                <w:sz w:val="18"/>
                <w:szCs w:val="18"/>
              </w:rPr>
            </w:pPr>
          </w:p>
        </w:tc>
        <w:tc>
          <w:tcPr>
            <w:tcW w:w="647" w:type="dxa"/>
          </w:tcPr>
          <w:p>
            <w:pPr>
              <w:spacing w:line="240" w:lineRule="auto"/>
              <w:rPr>
                <w:sz w:val="18"/>
                <w:szCs w:val="18"/>
              </w:rPr>
            </w:pPr>
            <w:r>
              <w:rPr>
                <w:sz w:val="18"/>
                <w:szCs w:val="18"/>
              </w:rPr>
              <w:t>#3</w:t>
            </w:r>
          </w:p>
        </w:tc>
        <w:tc>
          <w:tcPr>
            <w:tcW w:w="5910" w:type="dxa"/>
          </w:tcPr>
          <w:p>
            <w:pPr>
              <w:spacing w:line="240" w:lineRule="auto"/>
              <w:rPr>
                <w:sz w:val="18"/>
                <w:szCs w:val="18"/>
              </w:rPr>
            </w:pPr>
            <w:r>
              <w:rPr>
                <w:sz w:val="18"/>
                <w:szCs w:val="18"/>
              </w:rPr>
              <w:t>High-quality reference standard with a clear definition</w:t>
            </w:r>
          </w:p>
          <w:p>
            <w:pPr>
              <w:spacing w:line="240" w:lineRule="auto"/>
              <w:rPr>
                <w:sz w:val="18"/>
                <w:szCs w:val="18"/>
              </w:rPr>
            </w:pPr>
            <w:r>
              <w:rPr>
                <w:sz w:val="18"/>
                <w:szCs w:val="18"/>
              </w:rPr>
              <w:t>&gt;&gt;&gt; Whether the reference standard or outcome measure is representative of the current clinical practice and robust. Examples of high-quality reference standards are preferably histopathology, well-established clinical and genomic markers, the latest version of the prognostic tools, guideline-based follow-up or consensus-based expert opinions. Examples of poor quality reference standards are those based on qualitative image evaluation, images that are later used for feature extraction, or outdated versions of prognostic tools.</w:t>
            </w:r>
          </w:p>
        </w:tc>
        <w:tc>
          <w:tcPr>
            <w:tcW w:w="1056" w:type="dxa"/>
          </w:tcPr>
          <w:p>
            <w:pPr>
              <w:spacing w:line="240" w:lineRule="auto"/>
              <w:rPr>
                <w:sz w:val="18"/>
                <w:szCs w:val="18"/>
              </w:rPr>
            </w:pPr>
            <w:r>
              <w:rPr>
                <w:sz w:val="18"/>
                <w:szCs w:val="18"/>
              </w:rPr>
              <w:t>0.0919</w:t>
            </w:r>
          </w:p>
        </w:tc>
        <w:tc>
          <w:tcPr>
            <w:tcW w:w="1056" w:type="dxa"/>
          </w:tcPr>
          <w:p>
            <w:pPr>
              <w:spacing w:line="240" w:lineRule="auto"/>
              <w:rPr>
                <w:sz w:val="18"/>
                <w:szCs w:val="18"/>
              </w:rPr>
            </w:pPr>
            <w:r>
              <w:rPr>
                <w:sz w:val="18"/>
                <w:szCs w:val="18"/>
              </w:rPr>
              <w:t>0.0919</w:t>
            </w:r>
          </w:p>
        </w:tc>
      </w:tr>
      <w:tr>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314" w:hRule="atLeast"/>
        </w:trPr>
        <w:tc>
          <w:tcPr>
            <w:tcW w:w="1616" w:type="dxa"/>
            <w:vMerge w:val="restart"/>
          </w:tcPr>
          <w:p>
            <w:pPr>
              <w:spacing w:line="240" w:lineRule="auto"/>
              <w:rPr>
                <w:sz w:val="18"/>
                <w:szCs w:val="18"/>
              </w:rPr>
            </w:pPr>
            <w:r>
              <w:rPr>
                <w:sz w:val="18"/>
                <w:szCs w:val="18"/>
              </w:rPr>
              <w:t>Imaging Data</w:t>
            </w:r>
          </w:p>
        </w:tc>
        <w:tc>
          <w:tcPr>
            <w:tcW w:w="647" w:type="dxa"/>
          </w:tcPr>
          <w:p>
            <w:pPr>
              <w:spacing w:line="240" w:lineRule="auto"/>
              <w:rPr>
                <w:sz w:val="18"/>
                <w:szCs w:val="18"/>
              </w:rPr>
            </w:pPr>
            <w:r>
              <w:rPr>
                <w:sz w:val="18"/>
                <w:szCs w:val="18"/>
              </w:rPr>
              <w:t>#4</w:t>
            </w:r>
          </w:p>
        </w:tc>
        <w:tc>
          <w:tcPr>
            <w:tcW w:w="5910" w:type="dxa"/>
          </w:tcPr>
          <w:p>
            <w:pPr>
              <w:spacing w:line="240" w:lineRule="auto"/>
              <w:rPr>
                <w:sz w:val="18"/>
                <w:szCs w:val="18"/>
              </w:rPr>
            </w:pPr>
            <w:r>
              <w:rPr>
                <w:sz w:val="18"/>
                <w:szCs w:val="18"/>
              </w:rPr>
              <w:t>Multi-center</w:t>
            </w:r>
          </w:p>
          <w:p>
            <w:pPr>
              <w:spacing w:line="240" w:lineRule="auto"/>
              <w:rPr>
                <w:sz w:val="18"/>
                <w:szCs w:val="18"/>
              </w:rPr>
            </w:pPr>
            <w:r>
              <w:rPr>
                <w:sz w:val="18"/>
                <w:szCs w:val="18"/>
              </w:rPr>
              <w:t>&gt;&gt;&gt; Whether more than one institution is involved as a diagnostic imaging data source for radiomics analysis.</w:t>
            </w:r>
          </w:p>
        </w:tc>
        <w:tc>
          <w:tcPr>
            <w:tcW w:w="1056" w:type="dxa"/>
          </w:tcPr>
          <w:p>
            <w:pPr>
              <w:spacing w:line="240" w:lineRule="auto"/>
              <w:rPr>
                <w:sz w:val="18"/>
                <w:szCs w:val="18"/>
              </w:rPr>
            </w:pPr>
            <w:r>
              <w:rPr>
                <w:sz w:val="18"/>
                <w:szCs w:val="18"/>
              </w:rPr>
              <w:t>0.0438</w:t>
            </w:r>
          </w:p>
        </w:tc>
        <w:tc>
          <w:tcPr>
            <w:tcW w:w="1056" w:type="dxa"/>
          </w:tcPr>
          <w:p>
            <w:pPr>
              <w:spacing w:line="240" w:lineRule="auto"/>
              <w:rPr>
                <w:sz w:val="18"/>
                <w:szCs w:val="18"/>
              </w:rPr>
            </w:pPr>
            <w:r>
              <w:rPr>
                <w:sz w:val="18"/>
                <w:szCs w:val="18"/>
              </w:rPr>
              <w:t>0.0438</w:t>
            </w:r>
          </w:p>
        </w:tc>
      </w:tr>
      <w:tr>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314" w:hRule="atLeast"/>
        </w:trPr>
        <w:tc>
          <w:tcPr>
            <w:tcW w:w="1616" w:type="dxa"/>
            <w:vMerge w:val="continue"/>
          </w:tcPr>
          <w:p>
            <w:pPr>
              <w:widowControl w:val="0"/>
              <w:spacing w:line="240" w:lineRule="auto"/>
              <w:rPr>
                <w:sz w:val="18"/>
                <w:szCs w:val="18"/>
              </w:rPr>
            </w:pPr>
          </w:p>
        </w:tc>
        <w:tc>
          <w:tcPr>
            <w:tcW w:w="647" w:type="dxa"/>
          </w:tcPr>
          <w:p>
            <w:pPr>
              <w:spacing w:line="240" w:lineRule="auto"/>
              <w:rPr>
                <w:sz w:val="18"/>
                <w:szCs w:val="18"/>
              </w:rPr>
            </w:pPr>
            <w:r>
              <w:rPr>
                <w:sz w:val="18"/>
                <w:szCs w:val="18"/>
              </w:rPr>
              <w:t>#5</w:t>
            </w:r>
          </w:p>
        </w:tc>
        <w:tc>
          <w:tcPr>
            <w:tcW w:w="5910" w:type="dxa"/>
          </w:tcPr>
          <w:p>
            <w:pPr>
              <w:spacing w:line="240" w:lineRule="auto"/>
              <w:rPr>
                <w:sz w:val="18"/>
                <w:szCs w:val="18"/>
              </w:rPr>
            </w:pPr>
            <w:r>
              <w:rPr>
                <w:sz w:val="18"/>
                <w:szCs w:val="18"/>
              </w:rPr>
              <w:t>Clinical translatability of the imaging data source for radiomics analysis</w:t>
            </w:r>
          </w:p>
          <w:p>
            <w:pPr>
              <w:spacing w:line="240" w:lineRule="auto"/>
              <w:rPr>
                <w:sz w:val="18"/>
                <w:szCs w:val="18"/>
              </w:rPr>
            </w:pPr>
            <w:r>
              <w:rPr>
                <w:sz w:val="18"/>
                <w:szCs w:val="18"/>
              </w:rPr>
              <w:t>&gt;&gt;&gt; Whether the source of the radiomics data is an imaging technique that reflects established standardization approaches, such as acquisition protocol guidelines (e.g., PI-RADS specifications).</w:t>
            </w:r>
          </w:p>
        </w:tc>
        <w:tc>
          <w:tcPr>
            <w:tcW w:w="1056" w:type="dxa"/>
          </w:tcPr>
          <w:p>
            <w:pPr>
              <w:spacing w:line="240" w:lineRule="auto"/>
              <w:rPr>
                <w:sz w:val="18"/>
                <w:szCs w:val="18"/>
              </w:rPr>
            </w:pPr>
            <w:r>
              <w:rPr>
                <w:sz w:val="18"/>
                <w:szCs w:val="18"/>
              </w:rPr>
              <w:t>0.0292</w:t>
            </w:r>
          </w:p>
        </w:tc>
        <w:tc>
          <w:tcPr>
            <w:tcW w:w="1056" w:type="dxa"/>
          </w:tcPr>
          <w:p>
            <w:pPr>
              <w:spacing w:line="240" w:lineRule="auto"/>
              <w:rPr>
                <w:sz w:val="18"/>
                <w:szCs w:val="18"/>
              </w:rPr>
            </w:pPr>
            <w:r>
              <w:rPr>
                <w:sz w:val="18"/>
                <w:szCs w:val="18"/>
              </w:rPr>
              <w:t>0.0292</w:t>
            </w:r>
          </w:p>
        </w:tc>
      </w:tr>
      <w:tr>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314" w:hRule="atLeast"/>
        </w:trPr>
        <w:tc>
          <w:tcPr>
            <w:tcW w:w="1616" w:type="dxa"/>
            <w:vMerge w:val="continue"/>
          </w:tcPr>
          <w:p>
            <w:pPr>
              <w:widowControl w:val="0"/>
              <w:spacing w:line="240" w:lineRule="auto"/>
              <w:rPr>
                <w:sz w:val="18"/>
                <w:szCs w:val="18"/>
              </w:rPr>
            </w:pPr>
          </w:p>
        </w:tc>
        <w:tc>
          <w:tcPr>
            <w:tcW w:w="647" w:type="dxa"/>
          </w:tcPr>
          <w:p>
            <w:pPr>
              <w:spacing w:line="240" w:lineRule="auto"/>
              <w:rPr>
                <w:sz w:val="18"/>
                <w:szCs w:val="18"/>
              </w:rPr>
            </w:pPr>
            <w:r>
              <w:rPr>
                <w:sz w:val="18"/>
                <w:szCs w:val="18"/>
              </w:rPr>
              <w:t>#6</w:t>
            </w:r>
          </w:p>
        </w:tc>
        <w:tc>
          <w:tcPr>
            <w:tcW w:w="5910" w:type="dxa"/>
          </w:tcPr>
          <w:p>
            <w:pPr>
              <w:spacing w:line="240" w:lineRule="auto"/>
              <w:rPr>
                <w:sz w:val="18"/>
                <w:szCs w:val="18"/>
              </w:rPr>
            </w:pPr>
            <w:r>
              <w:rPr>
                <w:sz w:val="18"/>
                <w:szCs w:val="18"/>
              </w:rPr>
              <w:t>Imaging protocol with acquisition parameters</w:t>
            </w:r>
          </w:p>
          <w:p>
            <w:pPr>
              <w:spacing w:line="240" w:lineRule="auto"/>
              <w:rPr>
                <w:sz w:val="18"/>
                <w:szCs w:val="18"/>
              </w:rPr>
            </w:pPr>
            <w:r>
              <w:rPr>
                <w:sz w:val="18"/>
                <w:szCs w:val="18"/>
              </w:rPr>
              <w:t>&gt;&gt;&gt; Whether the image acquisition protocol is clearly reported to ensure the replicability of the method.</w:t>
            </w:r>
          </w:p>
        </w:tc>
        <w:tc>
          <w:tcPr>
            <w:tcW w:w="1056" w:type="dxa"/>
          </w:tcPr>
          <w:p>
            <w:pPr>
              <w:spacing w:line="240" w:lineRule="auto"/>
              <w:rPr>
                <w:sz w:val="18"/>
                <w:szCs w:val="18"/>
              </w:rPr>
            </w:pPr>
            <w:r>
              <w:rPr>
                <w:sz w:val="18"/>
                <w:szCs w:val="18"/>
              </w:rPr>
              <w:t>0.0438</w:t>
            </w:r>
          </w:p>
        </w:tc>
        <w:tc>
          <w:tcPr>
            <w:tcW w:w="1056" w:type="dxa"/>
          </w:tcPr>
          <w:p>
            <w:pPr>
              <w:spacing w:line="240" w:lineRule="auto"/>
              <w:rPr>
                <w:sz w:val="18"/>
                <w:szCs w:val="18"/>
              </w:rPr>
            </w:pPr>
            <w:r>
              <w:rPr>
                <w:sz w:val="18"/>
                <w:szCs w:val="18"/>
              </w:rPr>
              <w:t>0.0438</w:t>
            </w:r>
          </w:p>
        </w:tc>
      </w:tr>
      <w:tr>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314" w:hRule="atLeast"/>
        </w:trPr>
        <w:tc>
          <w:tcPr>
            <w:tcW w:w="1616" w:type="dxa"/>
            <w:vMerge w:val="continue"/>
          </w:tcPr>
          <w:p>
            <w:pPr>
              <w:widowControl w:val="0"/>
              <w:spacing w:line="240" w:lineRule="auto"/>
              <w:rPr>
                <w:sz w:val="18"/>
                <w:szCs w:val="18"/>
              </w:rPr>
            </w:pPr>
          </w:p>
        </w:tc>
        <w:tc>
          <w:tcPr>
            <w:tcW w:w="647" w:type="dxa"/>
          </w:tcPr>
          <w:p>
            <w:pPr>
              <w:spacing w:line="240" w:lineRule="auto"/>
              <w:rPr>
                <w:sz w:val="18"/>
                <w:szCs w:val="18"/>
              </w:rPr>
            </w:pPr>
            <w:r>
              <w:rPr>
                <w:sz w:val="18"/>
                <w:szCs w:val="18"/>
              </w:rPr>
              <w:t>#7</w:t>
            </w:r>
          </w:p>
        </w:tc>
        <w:tc>
          <w:tcPr>
            <w:tcW w:w="5910" w:type="dxa"/>
          </w:tcPr>
          <w:p>
            <w:pPr>
              <w:spacing w:line="240" w:lineRule="auto"/>
              <w:rPr>
                <w:sz w:val="18"/>
                <w:szCs w:val="18"/>
              </w:rPr>
            </w:pPr>
            <w:r>
              <w:rPr>
                <w:sz w:val="18"/>
                <w:szCs w:val="18"/>
              </w:rPr>
              <w:t>The interval between imaging used and reference standard</w:t>
            </w:r>
          </w:p>
          <w:p>
            <w:pPr>
              <w:spacing w:line="240" w:lineRule="auto"/>
              <w:rPr>
                <w:sz w:val="18"/>
                <w:szCs w:val="18"/>
              </w:rPr>
            </w:pPr>
            <w:r>
              <w:rPr>
                <w:sz w:val="18"/>
                <w:szCs w:val="18"/>
              </w:rPr>
              <w:t>&gt;&gt;&gt; Whether the time interval between the diagnostic imaging exams (used as an input for the radiomics analysis) and the outcome measure/reference standard acquisition is appropriate to validate the presence or absence of target conditions of the radiomics analysis at the moment of the diagnostic imaging exams.</w:t>
            </w:r>
          </w:p>
        </w:tc>
        <w:tc>
          <w:tcPr>
            <w:tcW w:w="1056" w:type="dxa"/>
          </w:tcPr>
          <w:p>
            <w:pPr>
              <w:spacing w:line="240" w:lineRule="auto"/>
              <w:rPr>
                <w:sz w:val="18"/>
                <w:szCs w:val="18"/>
              </w:rPr>
            </w:pPr>
            <w:r>
              <w:rPr>
                <w:sz w:val="18"/>
                <w:szCs w:val="18"/>
              </w:rPr>
              <w:t>0.0292</w:t>
            </w:r>
          </w:p>
        </w:tc>
        <w:tc>
          <w:tcPr>
            <w:tcW w:w="1056" w:type="dxa"/>
          </w:tcPr>
          <w:p>
            <w:pPr>
              <w:spacing w:line="240" w:lineRule="auto"/>
              <w:rPr>
                <w:sz w:val="18"/>
                <w:szCs w:val="18"/>
              </w:rPr>
            </w:pPr>
            <w:r>
              <w:rPr>
                <w:sz w:val="18"/>
                <w:szCs w:val="18"/>
              </w:rPr>
              <w:t>0.0292</w:t>
            </w:r>
          </w:p>
        </w:tc>
      </w:tr>
      <w:tr>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314" w:hRule="atLeast"/>
        </w:trPr>
        <w:tc>
          <w:tcPr>
            <w:tcW w:w="1616" w:type="dxa"/>
            <w:vMerge w:val="restart"/>
          </w:tcPr>
          <w:p>
            <w:pPr>
              <w:spacing w:line="240" w:lineRule="auto"/>
              <w:rPr>
                <w:sz w:val="18"/>
                <w:szCs w:val="18"/>
              </w:rPr>
            </w:pPr>
            <w:r>
              <w:rPr>
                <w:sz w:val="18"/>
                <w:szCs w:val="18"/>
              </w:rPr>
              <w:t>Segmentation</w:t>
            </w:r>
            <w:r>
              <w:rPr>
                <w:sz w:val="18"/>
                <w:szCs w:val="18"/>
                <w:vertAlign w:val="superscript"/>
              </w:rPr>
              <w:t>1</w:t>
            </w:r>
          </w:p>
        </w:tc>
        <w:tc>
          <w:tcPr>
            <w:tcW w:w="647" w:type="dxa"/>
          </w:tcPr>
          <w:p>
            <w:pPr>
              <w:spacing w:line="240" w:lineRule="auto"/>
              <w:rPr>
                <w:sz w:val="18"/>
                <w:szCs w:val="18"/>
              </w:rPr>
            </w:pPr>
            <w:r>
              <w:rPr>
                <w:sz w:val="18"/>
                <w:szCs w:val="18"/>
              </w:rPr>
              <w:t>#8</w:t>
            </w:r>
          </w:p>
        </w:tc>
        <w:tc>
          <w:tcPr>
            <w:tcW w:w="5910" w:type="dxa"/>
          </w:tcPr>
          <w:p>
            <w:pPr>
              <w:spacing w:line="240" w:lineRule="auto"/>
              <w:rPr>
                <w:sz w:val="18"/>
                <w:szCs w:val="18"/>
              </w:rPr>
            </w:pPr>
            <w:r>
              <w:rPr>
                <w:sz w:val="18"/>
                <w:szCs w:val="18"/>
              </w:rPr>
              <w:t>Transparent description of segmentation methodology</w:t>
            </w:r>
          </w:p>
          <w:p>
            <w:pPr>
              <w:spacing w:line="240" w:lineRule="auto"/>
              <w:rPr>
                <w:sz w:val="18"/>
                <w:szCs w:val="18"/>
              </w:rPr>
            </w:pPr>
            <w:r>
              <w:rPr>
                <w:sz w:val="18"/>
                <w:szCs w:val="18"/>
              </w:rPr>
              <w:t>&gt;&gt;&gt; Whether the rules or the method of the segmentation are defined (e.g., margin shrinkage, peri-tumoral sampling, details of segmentation regardless of whether manual, semi-automated or automated methods are used). In the case of DL-based radiomics, the segmentation can refer to the rough delineation with bounding boxes or cropping the image around a region of interest.</w:t>
            </w:r>
          </w:p>
        </w:tc>
        <w:tc>
          <w:tcPr>
            <w:tcW w:w="1056" w:type="dxa"/>
          </w:tcPr>
          <w:p>
            <w:pPr>
              <w:spacing w:line="240" w:lineRule="auto"/>
              <w:rPr>
                <w:sz w:val="18"/>
                <w:szCs w:val="18"/>
              </w:rPr>
            </w:pPr>
            <w:r>
              <w:rPr>
                <w:sz w:val="18"/>
                <w:szCs w:val="18"/>
              </w:rPr>
              <w:t>0.0337</w:t>
            </w:r>
          </w:p>
        </w:tc>
        <w:tc>
          <w:tcPr>
            <w:tcW w:w="1056" w:type="dxa"/>
          </w:tcPr>
          <w:p>
            <w:pPr>
              <w:spacing w:line="240" w:lineRule="auto"/>
              <w:rPr>
                <w:sz w:val="18"/>
                <w:szCs w:val="18"/>
              </w:rPr>
            </w:pPr>
            <w:r>
              <w:rPr>
                <w:sz w:val="18"/>
                <w:szCs w:val="18"/>
              </w:rPr>
              <w:t>0.0337</w:t>
            </w:r>
          </w:p>
        </w:tc>
      </w:tr>
      <w:tr>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314" w:hRule="atLeast"/>
        </w:trPr>
        <w:tc>
          <w:tcPr>
            <w:tcW w:w="1616" w:type="dxa"/>
            <w:vMerge w:val="continue"/>
          </w:tcPr>
          <w:p>
            <w:pPr>
              <w:widowControl w:val="0"/>
              <w:spacing w:line="240" w:lineRule="auto"/>
              <w:rPr>
                <w:sz w:val="18"/>
                <w:szCs w:val="18"/>
              </w:rPr>
            </w:pPr>
          </w:p>
        </w:tc>
        <w:tc>
          <w:tcPr>
            <w:tcW w:w="647" w:type="dxa"/>
          </w:tcPr>
          <w:p>
            <w:pPr>
              <w:spacing w:line="240" w:lineRule="auto"/>
              <w:rPr>
                <w:sz w:val="18"/>
                <w:szCs w:val="18"/>
              </w:rPr>
            </w:pPr>
            <w:r>
              <w:rPr>
                <w:sz w:val="18"/>
                <w:szCs w:val="18"/>
              </w:rPr>
              <w:t>#9</w:t>
            </w:r>
          </w:p>
        </w:tc>
        <w:tc>
          <w:tcPr>
            <w:tcW w:w="5910" w:type="dxa"/>
          </w:tcPr>
          <w:p>
            <w:pPr>
              <w:spacing w:line="240" w:lineRule="auto"/>
              <w:rPr>
                <w:sz w:val="18"/>
                <w:szCs w:val="18"/>
              </w:rPr>
            </w:pPr>
            <w:r>
              <w:rPr>
                <w:sz w:val="18"/>
                <w:szCs w:val="18"/>
              </w:rPr>
              <w:t>Formal evaluation of fully automated segmentation2</w:t>
            </w:r>
          </w:p>
          <w:p>
            <w:pPr>
              <w:spacing w:line="240" w:lineRule="auto"/>
              <w:rPr>
                <w:sz w:val="18"/>
                <w:szCs w:val="18"/>
              </w:rPr>
            </w:pPr>
            <w:r>
              <w:rPr>
                <w:sz w:val="18"/>
                <w:szCs w:val="18"/>
              </w:rPr>
              <w:t>&gt;&gt;&gt; If a segmentation technique that does not require any sort of human intervention is used, examples of the results should be presented and a formal assessment of its accuracy compared to domain expert annotations included in the study (e.g., DICE score or Jaccard index compared with a radiologist’s semantic annotation). Any intervention to the annotation in terms of volume or area should be considered as the use of a semi-automated segmentation technique. This item also applies to the use of segmentation models previously validated on other datasets.</w:t>
            </w:r>
          </w:p>
        </w:tc>
        <w:tc>
          <w:tcPr>
            <w:tcW w:w="1056" w:type="dxa"/>
          </w:tcPr>
          <w:p>
            <w:pPr>
              <w:spacing w:line="240" w:lineRule="auto"/>
              <w:rPr>
                <w:sz w:val="18"/>
                <w:szCs w:val="18"/>
              </w:rPr>
            </w:pPr>
            <w:r>
              <w:rPr>
                <w:sz w:val="18"/>
                <w:szCs w:val="18"/>
              </w:rPr>
              <w:t>0.0225</w:t>
            </w:r>
          </w:p>
        </w:tc>
        <w:tc>
          <w:tcPr>
            <w:tcW w:w="1056" w:type="dxa"/>
          </w:tcPr>
          <w:p>
            <w:pPr>
              <w:spacing w:line="240" w:lineRule="auto"/>
              <w:rPr>
                <w:rFonts w:hint="eastAsia" w:eastAsia="宋体"/>
                <w:sz w:val="18"/>
                <w:szCs w:val="18"/>
                <w:lang w:val="en-US" w:eastAsia="zh-CN"/>
              </w:rPr>
            </w:pPr>
            <w:r>
              <w:rPr>
                <w:rFonts w:hint="eastAsia" w:eastAsia="宋体"/>
                <w:sz w:val="18"/>
                <w:szCs w:val="18"/>
                <w:lang w:val="en-US" w:eastAsia="zh-CN"/>
              </w:rPr>
              <w:t>0</w:t>
            </w:r>
          </w:p>
        </w:tc>
      </w:tr>
      <w:tr>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314" w:hRule="atLeast"/>
        </w:trPr>
        <w:tc>
          <w:tcPr>
            <w:tcW w:w="1616" w:type="dxa"/>
            <w:vMerge w:val="continue"/>
          </w:tcPr>
          <w:p>
            <w:pPr>
              <w:widowControl w:val="0"/>
              <w:spacing w:line="240" w:lineRule="auto"/>
              <w:rPr>
                <w:sz w:val="18"/>
                <w:szCs w:val="18"/>
              </w:rPr>
            </w:pPr>
          </w:p>
        </w:tc>
        <w:tc>
          <w:tcPr>
            <w:tcW w:w="647" w:type="dxa"/>
          </w:tcPr>
          <w:p>
            <w:pPr>
              <w:spacing w:line="240" w:lineRule="auto"/>
              <w:rPr>
                <w:sz w:val="18"/>
                <w:szCs w:val="18"/>
              </w:rPr>
            </w:pPr>
            <w:r>
              <w:rPr>
                <w:sz w:val="18"/>
                <w:szCs w:val="18"/>
              </w:rPr>
              <w:t>#10</w:t>
            </w:r>
          </w:p>
        </w:tc>
        <w:tc>
          <w:tcPr>
            <w:tcW w:w="5910" w:type="dxa"/>
          </w:tcPr>
          <w:p>
            <w:pPr>
              <w:spacing w:line="240" w:lineRule="auto"/>
              <w:rPr>
                <w:sz w:val="18"/>
                <w:szCs w:val="18"/>
              </w:rPr>
            </w:pPr>
            <w:r>
              <w:rPr>
                <w:sz w:val="18"/>
                <w:szCs w:val="18"/>
              </w:rPr>
              <w:t>Test set segmentation masks produced by a single reader or automated tool</w:t>
            </w:r>
          </w:p>
          <w:p>
            <w:pPr>
              <w:spacing w:line="240" w:lineRule="auto"/>
              <w:rPr>
                <w:sz w:val="18"/>
                <w:szCs w:val="18"/>
              </w:rPr>
            </w:pPr>
            <w:r>
              <w:rPr>
                <w:sz w:val="18"/>
                <w:szCs w:val="18"/>
              </w:rPr>
              <w:t>&gt;&gt;&gt; Whether final segmentation in the test set is produced by a single reader (manually or with a semi-automated tool) or an entirely automated tool, to better reflect clinical practice.</w:t>
            </w:r>
          </w:p>
        </w:tc>
        <w:tc>
          <w:tcPr>
            <w:tcW w:w="1056" w:type="dxa"/>
          </w:tcPr>
          <w:p>
            <w:pPr>
              <w:spacing w:line="240" w:lineRule="auto"/>
              <w:rPr>
                <w:sz w:val="18"/>
                <w:szCs w:val="18"/>
              </w:rPr>
            </w:pPr>
            <w:r>
              <w:rPr>
                <w:sz w:val="18"/>
                <w:szCs w:val="18"/>
              </w:rPr>
              <w:t>0.0112</w:t>
            </w:r>
          </w:p>
        </w:tc>
        <w:tc>
          <w:tcPr>
            <w:tcW w:w="1056" w:type="dxa"/>
          </w:tcPr>
          <w:p>
            <w:pPr>
              <w:spacing w:line="240" w:lineRule="auto"/>
              <w:rPr>
                <w:sz w:val="18"/>
                <w:szCs w:val="18"/>
              </w:rPr>
            </w:pPr>
            <w:r>
              <w:rPr>
                <w:sz w:val="18"/>
                <w:szCs w:val="18"/>
              </w:rPr>
              <w:t>0.0112</w:t>
            </w:r>
          </w:p>
        </w:tc>
      </w:tr>
      <w:tr>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314" w:hRule="atLeast"/>
        </w:trPr>
        <w:tc>
          <w:tcPr>
            <w:tcW w:w="1616" w:type="dxa"/>
            <w:vMerge w:val="restart"/>
          </w:tcPr>
          <w:p>
            <w:pPr>
              <w:spacing w:line="240" w:lineRule="auto"/>
              <w:rPr>
                <w:sz w:val="18"/>
                <w:szCs w:val="18"/>
              </w:rPr>
            </w:pPr>
            <w:r>
              <w:rPr>
                <w:sz w:val="18"/>
                <w:szCs w:val="18"/>
              </w:rPr>
              <w:t>Image Processing and Feature Extraction</w:t>
            </w:r>
          </w:p>
        </w:tc>
        <w:tc>
          <w:tcPr>
            <w:tcW w:w="647" w:type="dxa"/>
          </w:tcPr>
          <w:p>
            <w:pPr>
              <w:spacing w:line="240" w:lineRule="auto"/>
              <w:rPr>
                <w:sz w:val="18"/>
                <w:szCs w:val="18"/>
              </w:rPr>
            </w:pPr>
            <w:r>
              <w:rPr>
                <w:sz w:val="18"/>
                <w:szCs w:val="18"/>
              </w:rPr>
              <w:t>#11</w:t>
            </w:r>
          </w:p>
        </w:tc>
        <w:tc>
          <w:tcPr>
            <w:tcW w:w="5910" w:type="dxa"/>
          </w:tcPr>
          <w:p>
            <w:pPr>
              <w:spacing w:line="240" w:lineRule="auto"/>
              <w:rPr>
                <w:sz w:val="18"/>
                <w:szCs w:val="18"/>
              </w:rPr>
            </w:pPr>
            <w:r>
              <w:rPr>
                <w:sz w:val="18"/>
                <w:szCs w:val="18"/>
              </w:rPr>
              <w:t>Appropriate use of image preprocessing techniques with transparent description</w:t>
            </w:r>
          </w:p>
          <w:p>
            <w:pPr>
              <w:spacing w:line="240" w:lineRule="auto"/>
              <w:rPr>
                <w:sz w:val="18"/>
                <w:szCs w:val="18"/>
              </w:rPr>
            </w:pPr>
            <w:r>
              <w:rPr>
                <w:rFonts w:eastAsia="Arial Unicode MS"/>
                <w:sz w:val="18"/>
                <w:szCs w:val="18"/>
              </w:rPr>
              <w:t xml:space="preserve">&gt;&gt;&gt; Whether preprocessing of the images is appropriately performed considering the imaging modality (e.g., gray level normalization for MRI, image registration in case of multiple contrasts or modalities) and feature extraction techniques (i.e., 2D or 3D) that are used. For instance, in the case of large slice thickness (e.g., ≥5 mm), extreme upsampling (e.g., 1 x 1 x 1 mm3) of the volume might be inappropriate. In such a case, 2D feature extraction could be preferable, ensuring in-plane isotropy of the pixels. On the other hand, achieving isotropic voxel values should be targeted in 3D feature extraction, to allow for texture feature rotational invariance. Also, whether gray level discretization parameters (bin width, along with resulting gray level range, or bin count) are described in full detail. Description of different image types used (e.g., original, filtered) should also be included (e.g., high and low pass filter combinations for wavelet decomposition, sigma values for Laplacian </w:t>
            </w:r>
            <w:r>
              <w:rPr>
                <w:sz w:val="18"/>
                <w:szCs w:val="18"/>
              </w:rPr>
              <w:t>of Gaussian edge enhancement filtering). If the image window is fixed, it should be clarified.</w:t>
            </w:r>
          </w:p>
        </w:tc>
        <w:tc>
          <w:tcPr>
            <w:tcW w:w="1056" w:type="dxa"/>
          </w:tcPr>
          <w:p>
            <w:pPr>
              <w:spacing w:line="240" w:lineRule="auto"/>
              <w:rPr>
                <w:sz w:val="18"/>
                <w:szCs w:val="18"/>
              </w:rPr>
            </w:pPr>
            <w:r>
              <w:rPr>
                <w:sz w:val="18"/>
                <w:szCs w:val="18"/>
              </w:rPr>
              <w:t>0.0622</w:t>
            </w:r>
          </w:p>
        </w:tc>
        <w:tc>
          <w:tcPr>
            <w:tcW w:w="1056" w:type="dxa"/>
          </w:tcPr>
          <w:p>
            <w:pPr>
              <w:spacing w:line="240" w:lineRule="auto"/>
              <w:rPr>
                <w:sz w:val="18"/>
                <w:szCs w:val="18"/>
              </w:rPr>
            </w:pPr>
            <w:r>
              <w:rPr>
                <w:sz w:val="18"/>
                <w:szCs w:val="18"/>
              </w:rPr>
              <w:t>0.0622</w:t>
            </w:r>
          </w:p>
        </w:tc>
      </w:tr>
      <w:tr>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314" w:hRule="atLeast"/>
        </w:trPr>
        <w:tc>
          <w:tcPr>
            <w:tcW w:w="1616" w:type="dxa"/>
            <w:vMerge w:val="continue"/>
          </w:tcPr>
          <w:p>
            <w:pPr>
              <w:widowControl w:val="0"/>
              <w:spacing w:line="240" w:lineRule="auto"/>
              <w:rPr>
                <w:sz w:val="18"/>
                <w:szCs w:val="18"/>
              </w:rPr>
            </w:pPr>
          </w:p>
        </w:tc>
        <w:tc>
          <w:tcPr>
            <w:tcW w:w="647" w:type="dxa"/>
          </w:tcPr>
          <w:p>
            <w:pPr>
              <w:spacing w:line="240" w:lineRule="auto"/>
              <w:rPr>
                <w:sz w:val="18"/>
                <w:szCs w:val="18"/>
              </w:rPr>
            </w:pPr>
            <w:r>
              <w:rPr>
                <w:sz w:val="18"/>
                <w:szCs w:val="18"/>
              </w:rPr>
              <w:t>#12</w:t>
            </w:r>
          </w:p>
        </w:tc>
        <w:tc>
          <w:tcPr>
            <w:tcW w:w="5910" w:type="dxa"/>
          </w:tcPr>
          <w:p>
            <w:pPr>
              <w:spacing w:line="240" w:lineRule="auto"/>
              <w:rPr>
                <w:sz w:val="18"/>
                <w:szCs w:val="18"/>
                <w:vertAlign w:val="superscript"/>
              </w:rPr>
            </w:pPr>
            <w:r>
              <w:rPr>
                <w:sz w:val="18"/>
                <w:szCs w:val="18"/>
              </w:rPr>
              <w:t>Use of standardized feature extraction software</w:t>
            </w:r>
            <w:r>
              <w:rPr>
                <w:sz w:val="18"/>
                <w:szCs w:val="18"/>
                <w:vertAlign w:val="superscript"/>
              </w:rPr>
              <w:t>3</w:t>
            </w:r>
          </w:p>
          <w:p>
            <w:pPr>
              <w:spacing w:line="240" w:lineRule="auto"/>
              <w:rPr>
                <w:sz w:val="18"/>
                <w:szCs w:val="18"/>
              </w:rPr>
            </w:pPr>
            <w:r>
              <w:rPr>
                <w:sz w:val="18"/>
                <w:szCs w:val="18"/>
              </w:rPr>
              <w:t>&gt;&gt;&gt; Whether a standardized software (e.g., compliant with IBSI) was used for feature extraction, including information on the version number.</w:t>
            </w:r>
          </w:p>
        </w:tc>
        <w:tc>
          <w:tcPr>
            <w:tcW w:w="1056" w:type="dxa"/>
          </w:tcPr>
          <w:p>
            <w:pPr>
              <w:spacing w:line="240" w:lineRule="auto"/>
              <w:rPr>
                <w:sz w:val="18"/>
                <w:szCs w:val="18"/>
              </w:rPr>
            </w:pPr>
            <w:r>
              <w:rPr>
                <w:sz w:val="18"/>
                <w:szCs w:val="18"/>
              </w:rPr>
              <w:t>0.0311</w:t>
            </w:r>
          </w:p>
        </w:tc>
        <w:tc>
          <w:tcPr>
            <w:tcW w:w="1056" w:type="dxa"/>
          </w:tcPr>
          <w:p>
            <w:pPr>
              <w:spacing w:line="240" w:lineRule="auto"/>
              <w:rPr>
                <w:sz w:val="18"/>
                <w:szCs w:val="18"/>
              </w:rPr>
            </w:pPr>
            <w:r>
              <w:rPr>
                <w:sz w:val="18"/>
                <w:szCs w:val="18"/>
              </w:rPr>
              <w:t>0.0311</w:t>
            </w:r>
          </w:p>
        </w:tc>
      </w:tr>
      <w:tr>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314" w:hRule="atLeast"/>
        </w:trPr>
        <w:tc>
          <w:tcPr>
            <w:tcW w:w="1616" w:type="dxa"/>
            <w:vMerge w:val="continue"/>
          </w:tcPr>
          <w:p>
            <w:pPr>
              <w:widowControl w:val="0"/>
              <w:spacing w:line="240" w:lineRule="auto"/>
              <w:rPr>
                <w:sz w:val="18"/>
                <w:szCs w:val="18"/>
              </w:rPr>
            </w:pPr>
          </w:p>
        </w:tc>
        <w:tc>
          <w:tcPr>
            <w:tcW w:w="647" w:type="dxa"/>
          </w:tcPr>
          <w:p>
            <w:pPr>
              <w:spacing w:line="240" w:lineRule="auto"/>
              <w:rPr>
                <w:sz w:val="18"/>
                <w:szCs w:val="18"/>
              </w:rPr>
            </w:pPr>
            <w:r>
              <w:rPr>
                <w:sz w:val="18"/>
                <w:szCs w:val="18"/>
              </w:rPr>
              <w:t>#13</w:t>
            </w:r>
          </w:p>
        </w:tc>
        <w:tc>
          <w:tcPr>
            <w:tcW w:w="5910" w:type="dxa"/>
          </w:tcPr>
          <w:p>
            <w:pPr>
              <w:spacing w:line="240" w:lineRule="auto"/>
              <w:rPr>
                <w:sz w:val="18"/>
                <w:szCs w:val="18"/>
              </w:rPr>
            </w:pPr>
            <w:r>
              <w:rPr>
                <w:sz w:val="18"/>
                <w:szCs w:val="18"/>
              </w:rPr>
              <w:t>Transparent reporting of feature extraction parameters, otherwise providing a default configuration statement</w:t>
            </w:r>
          </w:p>
          <w:p>
            <w:pPr>
              <w:spacing w:line="240" w:lineRule="auto"/>
              <w:rPr>
                <w:sz w:val="18"/>
                <w:szCs w:val="18"/>
              </w:rPr>
            </w:pPr>
            <w:r>
              <w:rPr>
                <w:sz w:val="18"/>
                <w:szCs w:val="18"/>
              </w:rPr>
              <w:t>&gt;&gt;&gt; Whether feature types (e.g., hand-crafted, deep features) and feature classes (for hand-crafted) are described. Also, if a default configuration statement is provided for the remaining feature extraction parameters. A file presenting the complete configuration of these settings should be included in the study materials (e.g., parameter file such as in YAML format, screenshot if a dedicated file for this is not available for the software). In the case of DL, neural network architecture along with all image operations should be described.</w:t>
            </w:r>
          </w:p>
        </w:tc>
        <w:tc>
          <w:tcPr>
            <w:tcW w:w="1056" w:type="dxa"/>
          </w:tcPr>
          <w:p>
            <w:pPr>
              <w:spacing w:line="240" w:lineRule="auto"/>
              <w:rPr>
                <w:sz w:val="18"/>
                <w:szCs w:val="18"/>
              </w:rPr>
            </w:pPr>
            <w:r>
              <w:rPr>
                <w:sz w:val="18"/>
                <w:szCs w:val="18"/>
              </w:rPr>
              <w:t>0.0415</w:t>
            </w:r>
          </w:p>
        </w:tc>
        <w:tc>
          <w:tcPr>
            <w:tcW w:w="1056" w:type="dxa"/>
          </w:tcPr>
          <w:p>
            <w:pPr>
              <w:spacing w:line="240" w:lineRule="auto"/>
              <w:rPr>
                <w:sz w:val="18"/>
                <w:szCs w:val="18"/>
              </w:rPr>
            </w:pPr>
            <w:r>
              <w:rPr>
                <w:sz w:val="18"/>
                <w:szCs w:val="18"/>
              </w:rPr>
              <w:t>0.0415</w:t>
            </w:r>
          </w:p>
        </w:tc>
      </w:tr>
      <w:tr>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314" w:hRule="atLeast"/>
        </w:trPr>
        <w:tc>
          <w:tcPr>
            <w:tcW w:w="1616" w:type="dxa"/>
            <w:vMerge w:val="restart"/>
          </w:tcPr>
          <w:p>
            <w:pPr>
              <w:spacing w:line="240" w:lineRule="auto"/>
              <w:rPr>
                <w:sz w:val="18"/>
                <w:szCs w:val="18"/>
              </w:rPr>
            </w:pPr>
            <w:r>
              <w:rPr>
                <w:sz w:val="18"/>
                <w:szCs w:val="18"/>
              </w:rPr>
              <w:t>Feature Processing</w:t>
            </w:r>
          </w:p>
        </w:tc>
        <w:tc>
          <w:tcPr>
            <w:tcW w:w="647" w:type="dxa"/>
          </w:tcPr>
          <w:p>
            <w:pPr>
              <w:spacing w:line="240" w:lineRule="auto"/>
              <w:rPr>
                <w:sz w:val="18"/>
                <w:szCs w:val="18"/>
              </w:rPr>
            </w:pPr>
            <w:r>
              <w:rPr>
                <w:sz w:val="18"/>
                <w:szCs w:val="18"/>
              </w:rPr>
              <w:t>#14</w:t>
            </w:r>
          </w:p>
        </w:tc>
        <w:tc>
          <w:tcPr>
            <w:tcW w:w="5910" w:type="dxa"/>
          </w:tcPr>
          <w:p>
            <w:pPr>
              <w:spacing w:line="240" w:lineRule="auto"/>
              <w:rPr>
                <w:sz w:val="18"/>
                <w:szCs w:val="18"/>
                <w:vertAlign w:val="superscript"/>
              </w:rPr>
            </w:pPr>
            <w:r>
              <w:rPr>
                <w:sz w:val="18"/>
                <w:szCs w:val="18"/>
              </w:rPr>
              <w:t>Removal of non-robust features</w:t>
            </w:r>
            <w:r>
              <w:rPr>
                <w:sz w:val="18"/>
                <w:szCs w:val="18"/>
                <w:vertAlign w:val="superscript"/>
              </w:rPr>
              <w:t>4</w:t>
            </w:r>
          </w:p>
          <w:p>
            <w:pPr>
              <w:spacing w:line="240" w:lineRule="auto"/>
              <w:rPr>
                <w:sz w:val="18"/>
                <w:szCs w:val="18"/>
              </w:rPr>
            </w:pPr>
            <w:r>
              <w:rPr>
                <w:sz w:val="18"/>
                <w:szCs w:val="18"/>
              </w:rPr>
              <w:t>&gt;&gt;&gt; Whether unstable features are removed via test-retest, reproducibility analysis by analysis of different segmentations, or stability analysis [i.e., image perturbations]. Instability may be due to random noise introduced by manual or even automated image segmentation or exposed in a scan-rescan setting. The specific methods used should be clearly presented, with specific results for each component in multi-step feature removal pipelines.</w:t>
            </w:r>
          </w:p>
        </w:tc>
        <w:tc>
          <w:tcPr>
            <w:tcW w:w="1056" w:type="dxa"/>
          </w:tcPr>
          <w:p>
            <w:pPr>
              <w:spacing w:line="240" w:lineRule="auto"/>
              <w:rPr>
                <w:sz w:val="18"/>
                <w:szCs w:val="18"/>
              </w:rPr>
            </w:pPr>
            <w:r>
              <w:rPr>
                <w:sz w:val="18"/>
                <w:szCs w:val="18"/>
              </w:rPr>
              <w:t>0.0200</w:t>
            </w:r>
          </w:p>
        </w:tc>
        <w:tc>
          <w:tcPr>
            <w:tcW w:w="1056" w:type="dxa"/>
          </w:tcPr>
          <w:p>
            <w:pPr>
              <w:spacing w:line="240" w:lineRule="auto"/>
              <w:rPr>
                <w:sz w:val="18"/>
                <w:szCs w:val="18"/>
              </w:rPr>
            </w:pPr>
            <w:r>
              <w:rPr>
                <w:sz w:val="18"/>
                <w:szCs w:val="18"/>
              </w:rPr>
              <w:t>0.0200</w:t>
            </w:r>
          </w:p>
        </w:tc>
      </w:tr>
      <w:tr>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314" w:hRule="atLeast"/>
        </w:trPr>
        <w:tc>
          <w:tcPr>
            <w:tcW w:w="1616" w:type="dxa"/>
            <w:vMerge w:val="continue"/>
          </w:tcPr>
          <w:p>
            <w:pPr>
              <w:widowControl w:val="0"/>
              <w:spacing w:line="240" w:lineRule="auto"/>
              <w:rPr>
                <w:sz w:val="18"/>
                <w:szCs w:val="18"/>
              </w:rPr>
            </w:pPr>
          </w:p>
        </w:tc>
        <w:tc>
          <w:tcPr>
            <w:tcW w:w="647" w:type="dxa"/>
          </w:tcPr>
          <w:p>
            <w:pPr>
              <w:spacing w:line="240" w:lineRule="auto"/>
              <w:rPr>
                <w:sz w:val="18"/>
                <w:szCs w:val="18"/>
              </w:rPr>
            </w:pPr>
            <w:r>
              <w:rPr>
                <w:sz w:val="18"/>
                <w:szCs w:val="18"/>
              </w:rPr>
              <w:t>#15</w:t>
            </w:r>
          </w:p>
        </w:tc>
        <w:tc>
          <w:tcPr>
            <w:tcW w:w="5910" w:type="dxa"/>
          </w:tcPr>
          <w:p>
            <w:pPr>
              <w:spacing w:line="240" w:lineRule="auto"/>
              <w:rPr>
                <w:sz w:val="18"/>
                <w:szCs w:val="18"/>
                <w:vertAlign w:val="superscript"/>
              </w:rPr>
            </w:pPr>
            <w:r>
              <w:rPr>
                <w:sz w:val="18"/>
                <w:szCs w:val="18"/>
              </w:rPr>
              <w:t>Removal of redundant features</w:t>
            </w:r>
            <w:r>
              <w:rPr>
                <w:sz w:val="18"/>
                <w:szCs w:val="18"/>
                <w:vertAlign w:val="superscript"/>
              </w:rPr>
              <w:t>4</w:t>
            </w:r>
          </w:p>
          <w:p>
            <w:pPr>
              <w:spacing w:line="240" w:lineRule="auto"/>
              <w:rPr>
                <w:sz w:val="18"/>
                <w:szCs w:val="18"/>
              </w:rPr>
            </w:pPr>
            <w:r>
              <w:rPr>
                <w:sz w:val="18"/>
                <w:szCs w:val="18"/>
              </w:rPr>
              <w:t>&gt;&gt;&gt; Whether dimensionality is reduced by selecting the more informative features such as with algorithm-based feature selection (e.g., LASSO coefficients, Random Forest feature importance), univariate correlation, collinearity, or variance analysis. The specific methods used should be clearly presented, with specific results for each component in multi-step feature removal pipelines.</w:t>
            </w:r>
          </w:p>
        </w:tc>
        <w:tc>
          <w:tcPr>
            <w:tcW w:w="1056" w:type="dxa"/>
          </w:tcPr>
          <w:p>
            <w:pPr>
              <w:spacing w:line="240" w:lineRule="auto"/>
              <w:rPr>
                <w:sz w:val="18"/>
                <w:szCs w:val="18"/>
              </w:rPr>
            </w:pPr>
            <w:r>
              <w:rPr>
                <w:sz w:val="18"/>
                <w:szCs w:val="18"/>
              </w:rPr>
              <w:t>0.0200</w:t>
            </w:r>
          </w:p>
        </w:tc>
        <w:tc>
          <w:tcPr>
            <w:tcW w:w="1056" w:type="dxa"/>
          </w:tcPr>
          <w:p>
            <w:pPr>
              <w:spacing w:line="240" w:lineRule="auto"/>
              <w:rPr>
                <w:sz w:val="18"/>
                <w:szCs w:val="18"/>
              </w:rPr>
            </w:pPr>
            <w:r>
              <w:rPr>
                <w:sz w:val="18"/>
                <w:szCs w:val="18"/>
              </w:rPr>
              <w:t>0.0200</w:t>
            </w:r>
          </w:p>
        </w:tc>
      </w:tr>
      <w:tr>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314" w:hRule="atLeast"/>
        </w:trPr>
        <w:tc>
          <w:tcPr>
            <w:tcW w:w="1616" w:type="dxa"/>
            <w:vMerge w:val="continue"/>
          </w:tcPr>
          <w:p>
            <w:pPr>
              <w:widowControl w:val="0"/>
              <w:spacing w:line="240" w:lineRule="auto"/>
              <w:rPr>
                <w:sz w:val="18"/>
                <w:szCs w:val="18"/>
              </w:rPr>
            </w:pPr>
          </w:p>
        </w:tc>
        <w:tc>
          <w:tcPr>
            <w:tcW w:w="647" w:type="dxa"/>
          </w:tcPr>
          <w:p>
            <w:pPr>
              <w:spacing w:line="240" w:lineRule="auto"/>
              <w:rPr>
                <w:sz w:val="18"/>
                <w:szCs w:val="18"/>
              </w:rPr>
            </w:pPr>
            <w:r>
              <w:rPr>
                <w:sz w:val="18"/>
                <w:szCs w:val="18"/>
              </w:rPr>
              <w:t>#16</w:t>
            </w:r>
          </w:p>
        </w:tc>
        <w:tc>
          <w:tcPr>
            <w:tcW w:w="5910" w:type="dxa"/>
          </w:tcPr>
          <w:p>
            <w:pPr>
              <w:spacing w:line="240" w:lineRule="auto"/>
              <w:rPr>
                <w:sz w:val="18"/>
                <w:szCs w:val="18"/>
                <w:vertAlign w:val="superscript"/>
              </w:rPr>
            </w:pPr>
            <w:r>
              <w:rPr>
                <w:sz w:val="18"/>
                <w:szCs w:val="18"/>
              </w:rPr>
              <w:t>Appropriateness of dimensionality compared to data size</w:t>
            </w:r>
            <w:r>
              <w:rPr>
                <w:sz w:val="18"/>
                <w:szCs w:val="18"/>
                <w:vertAlign w:val="superscript"/>
              </w:rPr>
              <w:t>4</w:t>
            </w:r>
          </w:p>
          <w:p>
            <w:pPr>
              <w:spacing w:line="240" w:lineRule="auto"/>
              <w:rPr>
                <w:sz w:val="18"/>
                <w:szCs w:val="18"/>
              </w:rPr>
            </w:pPr>
            <w:r>
              <w:rPr>
                <w:sz w:val="18"/>
                <w:szCs w:val="18"/>
              </w:rPr>
              <w:t>&gt;&gt;&gt; Whether the number of instances and features in the final training data set is appropriate according to the research question and modeling algorithm. This should be demonstrated by statistical means, empirically through consistency of performance in validation and testing, or based on previous evidence in the literature.</w:t>
            </w:r>
          </w:p>
        </w:tc>
        <w:tc>
          <w:tcPr>
            <w:tcW w:w="1056" w:type="dxa"/>
          </w:tcPr>
          <w:p>
            <w:pPr>
              <w:spacing w:line="240" w:lineRule="auto"/>
              <w:rPr>
                <w:sz w:val="18"/>
                <w:szCs w:val="18"/>
              </w:rPr>
            </w:pPr>
            <w:r>
              <w:rPr>
                <w:sz w:val="18"/>
                <w:szCs w:val="18"/>
              </w:rPr>
              <w:t>0.0300</w:t>
            </w:r>
          </w:p>
        </w:tc>
        <w:tc>
          <w:tcPr>
            <w:tcW w:w="1056" w:type="dxa"/>
          </w:tcPr>
          <w:p>
            <w:pPr>
              <w:spacing w:line="240" w:lineRule="auto"/>
              <w:rPr>
                <w:sz w:val="18"/>
                <w:szCs w:val="18"/>
              </w:rPr>
            </w:pPr>
            <w:r>
              <w:rPr>
                <w:sz w:val="18"/>
                <w:szCs w:val="18"/>
              </w:rPr>
              <w:t>0.0300</w:t>
            </w:r>
          </w:p>
        </w:tc>
      </w:tr>
      <w:tr>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314" w:hRule="atLeast"/>
        </w:trPr>
        <w:tc>
          <w:tcPr>
            <w:tcW w:w="1616" w:type="dxa"/>
            <w:vMerge w:val="continue"/>
          </w:tcPr>
          <w:p>
            <w:pPr>
              <w:widowControl w:val="0"/>
              <w:spacing w:line="240" w:lineRule="auto"/>
              <w:rPr>
                <w:sz w:val="18"/>
                <w:szCs w:val="18"/>
              </w:rPr>
            </w:pPr>
          </w:p>
        </w:tc>
        <w:tc>
          <w:tcPr>
            <w:tcW w:w="647" w:type="dxa"/>
          </w:tcPr>
          <w:p>
            <w:pPr>
              <w:spacing w:line="240" w:lineRule="auto"/>
              <w:rPr>
                <w:sz w:val="18"/>
                <w:szCs w:val="18"/>
              </w:rPr>
            </w:pPr>
            <w:r>
              <w:rPr>
                <w:sz w:val="18"/>
                <w:szCs w:val="18"/>
              </w:rPr>
              <w:t>#17</w:t>
            </w:r>
          </w:p>
        </w:tc>
        <w:tc>
          <w:tcPr>
            <w:tcW w:w="5910" w:type="dxa"/>
          </w:tcPr>
          <w:p>
            <w:pPr>
              <w:spacing w:line="240" w:lineRule="auto"/>
              <w:rPr>
                <w:sz w:val="18"/>
                <w:szCs w:val="18"/>
              </w:rPr>
            </w:pPr>
            <w:r>
              <w:rPr>
                <w:sz w:val="18"/>
                <w:szCs w:val="18"/>
              </w:rPr>
              <w:t>Robustness assessment of end-to-end deep learning pipelines5</w:t>
            </w:r>
          </w:p>
          <w:p>
            <w:pPr>
              <w:spacing w:line="240" w:lineRule="auto"/>
              <w:rPr>
                <w:sz w:val="18"/>
                <w:szCs w:val="18"/>
              </w:rPr>
            </w:pPr>
            <w:r>
              <w:rPr>
                <w:sz w:val="18"/>
                <w:szCs w:val="18"/>
              </w:rPr>
              <w:t>&gt;&gt;&gt; Whether DL pipeline consistency of performance has been assessed in a test-retest setting, for example by a scan-rescan approach, use of segmentations by different readers, or stability analysis [i.e., image perturbations]. The specific methods used should be clearly presented.</w:t>
            </w:r>
          </w:p>
        </w:tc>
        <w:tc>
          <w:tcPr>
            <w:tcW w:w="1056" w:type="dxa"/>
          </w:tcPr>
          <w:p>
            <w:pPr>
              <w:spacing w:line="240" w:lineRule="auto"/>
              <w:rPr>
                <w:sz w:val="18"/>
                <w:szCs w:val="18"/>
              </w:rPr>
            </w:pPr>
            <w:r>
              <w:rPr>
                <w:sz w:val="18"/>
                <w:szCs w:val="18"/>
              </w:rPr>
              <w:t>0.0200</w:t>
            </w:r>
          </w:p>
        </w:tc>
        <w:tc>
          <w:tcPr>
            <w:tcW w:w="1056" w:type="dxa"/>
          </w:tcPr>
          <w:p>
            <w:pPr>
              <w:spacing w:line="240" w:lineRule="auto"/>
              <w:rPr>
                <w:rFonts w:hint="eastAsia" w:eastAsia="宋体"/>
                <w:sz w:val="18"/>
                <w:szCs w:val="18"/>
                <w:lang w:val="en-US" w:eastAsia="zh-CN"/>
              </w:rPr>
            </w:pPr>
            <w:r>
              <w:rPr>
                <w:rFonts w:hint="eastAsia" w:eastAsia="宋体"/>
                <w:sz w:val="18"/>
                <w:szCs w:val="18"/>
                <w:lang w:val="en-US" w:eastAsia="zh-CN"/>
              </w:rPr>
              <w:t>0</w:t>
            </w:r>
          </w:p>
        </w:tc>
      </w:tr>
      <w:tr>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314" w:hRule="atLeast"/>
        </w:trPr>
        <w:tc>
          <w:tcPr>
            <w:tcW w:w="1616" w:type="dxa"/>
            <w:vMerge w:val="restart"/>
          </w:tcPr>
          <w:p>
            <w:pPr>
              <w:spacing w:line="240" w:lineRule="auto"/>
              <w:rPr>
                <w:sz w:val="18"/>
                <w:szCs w:val="18"/>
              </w:rPr>
            </w:pPr>
            <w:r>
              <w:rPr>
                <w:sz w:val="18"/>
                <w:szCs w:val="18"/>
              </w:rPr>
              <w:t>Preparation for Modeling</w:t>
            </w:r>
          </w:p>
        </w:tc>
        <w:tc>
          <w:tcPr>
            <w:tcW w:w="647" w:type="dxa"/>
          </w:tcPr>
          <w:p>
            <w:pPr>
              <w:spacing w:line="240" w:lineRule="auto"/>
              <w:rPr>
                <w:sz w:val="18"/>
                <w:szCs w:val="18"/>
              </w:rPr>
            </w:pPr>
            <w:r>
              <w:rPr>
                <w:sz w:val="18"/>
                <w:szCs w:val="18"/>
              </w:rPr>
              <w:t>#18</w:t>
            </w:r>
          </w:p>
        </w:tc>
        <w:tc>
          <w:tcPr>
            <w:tcW w:w="5910" w:type="dxa"/>
          </w:tcPr>
          <w:p>
            <w:pPr>
              <w:spacing w:line="240" w:lineRule="auto"/>
              <w:rPr>
                <w:sz w:val="18"/>
                <w:szCs w:val="18"/>
              </w:rPr>
            </w:pPr>
            <w:r>
              <w:rPr>
                <w:sz w:val="18"/>
                <w:szCs w:val="18"/>
              </w:rPr>
              <w:t>Proper data partitioning process</w:t>
            </w:r>
          </w:p>
          <w:p>
            <w:pPr>
              <w:spacing w:line="240" w:lineRule="auto"/>
              <w:rPr>
                <w:sz w:val="18"/>
                <w:szCs w:val="18"/>
              </w:rPr>
            </w:pPr>
            <w:r>
              <w:rPr>
                <w:sz w:val="18"/>
                <w:szCs w:val="18"/>
              </w:rPr>
              <w:t>&gt;&gt;&gt; Whether the training-validation-test data split is done at the very beginning of the analysis pipeline, prior to any processing step. Data split should be random but reproducible (e.g., fixed random seed), preferably without altering outcome variable distribution in the test set (e.g., using a stratified data split). Moreover, the data split should be on the patient level, not the scan level (i.e., different scans of the same patient should be in the same set). Proper data partitioning should guarantee that all data processing (e.g., scaling, missing value imputation, oversampling or undersampling) is done blinded to the test set data. These techniques should be exclusively fitted on training (or development) data sets and then used to transform test data at the time of inference. If a single training-validation data split is not done and a resampling technique (e.g., cross-validation) is used instead, test data should always be handled separately from this.</w:t>
            </w:r>
          </w:p>
        </w:tc>
        <w:tc>
          <w:tcPr>
            <w:tcW w:w="1056" w:type="dxa"/>
          </w:tcPr>
          <w:p>
            <w:pPr>
              <w:spacing w:line="240" w:lineRule="auto"/>
              <w:rPr>
                <w:sz w:val="18"/>
                <w:szCs w:val="18"/>
              </w:rPr>
            </w:pPr>
            <w:r>
              <w:rPr>
                <w:sz w:val="18"/>
                <w:szCs w:val="18"/>
              </w:rPr>
              <w:t>0.0599</w:t>
            </w:r>
          </w:p>
        </w:tc>
        <w:tc>
          <w:tcPr>
            <w:tcW w:w="1056" w:type="dxa"/>
          </w:tcPr>
          <w:p>
            <w:pPr>
              <w:spacing w:line="240" w:lineRule="auto"/>
              <w:rPr>
                <w:sz w:val="18"/>
                <w:szCs w:val="18"/>
              </w:rPr>
            </w:pPr>
            <w:r>
              <w:rPr>
                <w:sz w:val="18"/>
                <w:szCs w:val="18"/>
              </w:rPr>
              <w:t>0.0599</w:t>
            </w:r>
          </w:p>
        </w:tc>
      </w:tr>
      <w:tr>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314" w:hRule="atLeast"/>
        </w:trPr>
        <w:tc>
          <w:tcPr>
            <w:tcW w:w="1616" w:type="dxa"/>
            <w:vMerge w:val="continue"/>
          </w:tcPr>
          <w:p>
            <w:pPr>
              <w:widowControl w:val="0"/>
              <w:spacing w:line="240" w:lineRule="auto"/>
              <w:rPr>
                <w:sz w:val="18"/>
                <w:szCs w:val="18"/>
              </w:rPr>
            </w:pPr>
          </w:p>
        </w:tc>
        <w:tc>
          <w:tcPr>
            <w:tcW w:w="647" w:type="dxa"/>
          </w:tcPr>
          <w:p>
            <w:pPr>
              <w:spacing w:line="240" w:lineRule="auto"/>
              <w:rPr>
                <w:sz w:val="18"/>
                <w:szCs w:val="18"/>
              </w:rPr>
            </w:pPr>
            <w:r>
              <w:rPr>
                <w:sz w:val="18"/>
                <w:szCs w:val="18"/>
              </w:rPr>
              <w:t>#19</w:t>
            </w:r>
          </w:p>
        </w:tc>
        <w:tc>
          <w:tcPr>
            <w:tcW w:w="5910" w:type="dxa"/>
          </w:tcPr>
          <w:p>
            <w:pPr>
              <w:spacing w:line="240" w:lineRule="auto"/>
              <w:rPr>
                <w:sz w:val="18"/>
                <w:szCs w:val="18"/>
              </w:rPr>
            </w:pPr>
            <w:r>
              <w:rPr>
                <w:sz w:val="18"/>
                <w:szCs w:val="18"/>
              </w:rPr>
              <w:t>Handling of confounding factors</w:t>
            </w:r>
          </w:p>
          <w:p>
            <w:pPr>
              <w:spacing w:line="240" w:lineRule="auto"/>
              <w:rPr>
                <w:sz w:val="18"/>
                <w:szCs w:val="18"/>
              </w:rPr>
            </w:pPr>
            <w:r>
              <w:rPr>
                <w:sz w:val="18"/>
                <w:szCs w:val="18"/>
              </w:rPr>
              <w:t>&gt;&gt;&gt; Whether potential confounding factors were analyzed, identified if present, and removed if necessary (e.g., if it has a strong influence on generalizability). These may include different distributions of patient characteristics (e.g., gender, lesion stage or grade) across sites or scanners.</w:t>
            </w:r>
          </w:p>
        </w:tc>
        <w:tc>
          <w:tcPr>
            <w:tcW w:w="1056" w:type="dxa"/>
          </w:tcPr>
          <w:p>
            <w:pPr>
              <w:spacing w:line="240" w:lineRule="auto"/>
              <w:rPr>
                <w:sz w:val="18"/>
                <w:szCs w:val="18"/>
              </w:rPr>
            </w:pPr>
            <w:r>
              <w:rPr>
                <w:sz w:val="18"/>
                <w:szCs w:val="18"/>
              </w:rPr>
              <w:t>0.0300</w:t>
            </w:r>
          </w:p>
        </w:tc>
        <w:tc>
          <w:tcPr>
            <w:tcW w:w="1056" w:type="dxa"/>
          </w:tcPr>
          <w:p>
            <w:pPr>
              <w:spacing w:line="240" w:lineRule="auto"/>
              <w:rPr>
                <w:sz w:val="18"/>
                <w:szCs w:val="18"/>
              </w:rPr>
            </w:pPr>
            <w:r>
              <w:rPr>
                <w:sz w:val="18"/>
                <w:szCs w:val="18"/>
              </w:rPr>
              <w:t>0.0300</w:t>
            </w:r>
          </w:p>
        </w:tc>
      </w:tr>
      <w:tr>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314" w:hRule="atLeast"/>
        </w:trPr>
        <w:tc>
          <w:tcPr>
            <w:tcW w:w="1616" w:type="dxa"/>
            <w:vMerge w:val="restart"/>
          </w:tcPr>
          <w:p>
            <w:pPr>
              <w:spacing w:line="240" w:lineRule="auto"/>
              <w:rPr>
                <w:sz w:val="18"/>
                <w:szCs w:val="18"/>
              </w:rPr>
            </w:pPr>
            <w:r>
              <w:rPr>
                <w:sz w:val="18"/>
                <w:szCs w:val="18"/>
              </w:rPr>
              <w:t>Metrics and Comparison</w:t>
            </w:r>
          </w:p>
        </w:tc>
        <w:tc>
          <w:tcPr>
            <w:tcW w:w="647" w:type="dxa"/>
          </w:tcPr>
          <w:p>
            <w:pPr>
              <w:spacing w:line="240" w:lineRule="auto"/>
              <w:rPr>
                <w:sz w:val="18"/>
                <w:szCs w:val="18"/>
              </w:rPr>
            </w:pPr>
            <w:r>
              <w:rPr>
                <w:sz w:val="18"/>
                <w:szCs w:val="18"/>
              </w:rPr>
              <w:t>#20</w:t>
            </w:r>
          </w:p>
        </w:tc>
        <w:tc>
          <w:tcPr>
            <w:tcW w:w="5910" w:type="dxa"/>
          </w:tcPr>
          <w:p>
            <w:pPr>
              <w:spacing w:line="240" w:lineRule="auto"/>
              <w:rPr>
                <w:sz w:val="18"/>
                <w:szCs w:val="18"/>
              </w:rPr>
            </w:pPr>
            <w:r>
              <w:rPr>
                <w:sz w:val="18"/>
                <w:szCs w:val="18"/>
              </w:rPr>
              <w:t>Use of appropriate performance evaluation metrics for task</w:t>
            </w:r>
          </w:p>
          <w:p>
            <w:pPr>
              <w:spacing w:line="240" w:lineRule="auto"/>
              <w:rPr>
                <w:sz w:val="18"/>
                <w:szCs w:val="18"/>
              </w:rPr>
            </w:pPr>
            <w:r>
              <w:rPr>
                <w:sz w:val="18"/>
                <w:szCs w:val="18"/>
              </w:rPr>
              <w:t>&gt;&gt;&gt; Whether appropriate accuracy metrics are reported, such as AUC for Receiver Operating Characteristics (ROC) or Precision-Recall (PRC) curves and confusion matrix-derived accuracy metrics (e.g., specificity, sensitivity, precision, F1 score) for classification tasks; MSE, RMSE, and MAE for regression tasks. For classification tasks, the confusion matrix should always be included, to allow the calculation of additional metrics. If training a DL network, loss curves should be presented.</w:t>
            </w:r>
          </w:p>
        </w:tc>
        <w:tc>
          <w:tcPr>
            <w:tcW w:w="1056" w:type="dxa"/>
          </w:tcPr>
          <w:p>
            <w:pPr>
              <w:spacing w:line="240" w:lineRule="auto"/>
              <w:rPr>
                <w:sz w:val="18"/>
                <w:szCs w:val="18"/>
              </w:rPr>
            </w:pPr>
            <w:r>
              <w:rPr>
                <w:sz w:val="18"/>
                <w:szCs w:val="18"/>
              </w:rPr>
              <w:t>0.0352</w:t>
            </w:r>
          </w:p>
        </w:tc>
        <w:tc>
          <w:tcPr>
            <w:tcW w:w="1056" w:type="dxa"/>
          </w:tcPr>
          <w:p>
            <w:pPr>
              <w:spacing w:line="240" w:lineRule="auto"/>
              <w:rPr>
                <w:sz w:val="18"/>
                <w:szCs w:val="18"/>
              </w:rPr>
            </w:pPr>
            <w:r>
              <w:rPr>
                <w:sz w:val="18"/>
                <w:szCs w:val="18"/>
              </w:rPr>
              <w:t>0.0352</w:t>
            </w:r>
          </w:p>
        </w:tc>
      </w:tr>
      <w:tr>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314" w:hRule="atLeast"/>
        </w:trPr>
        <w:tc>
          <w:tcPr>
            <w:tcW w:w="1616" w:type="dxa"/>
            <w:vMerge w:val="continue"/>
          </w:tcPr>
          <w:p>
            <w:pPr>
              <w:widowControl w:val="0"/>
              <w:spacing w:line="240" w:lineRule="auto"/>
              <w:rPr>
                <w:sz w:val="18"/>
                <w:szCs w:val="18"/>
              </w:rPr>
            </w:pPr>
          </w:p>
        </w:tc>
        <w:tc>
          <w:tcPr>
            <w:tcW w:w="647" w:type="dxa"/>
          </w:tcPr>
          <w:p>
            <w:pPr>
              <w:spacing w:line="240" w:lineRule="auto"/>
              <w:rPr>
                <w:sz w:val="18"/>
                <w:szCs w:val="18"/>
              </w:rPr>
            </w:pPr>
            <w:r>
              <w:rPr>
                <w:sz w:val="18"/>
                <w:szCs w:val="18"/>
              </w:rPr>
              <w:t>#21</w:t>
            </w:r>
          </w:p>
        </w:tc>
        <w:tc>
          <w:tcPr>
            <w:tcW w:w="5910" w:type="dxa"/>
          </w:tcPr>
          <w:p>
            <w:pPr>
              <w:spacing w:line="240" w:lineRule="auto"/>
              <w:rPr>
                <w:sz w:val="18"/>
                <w:szCs w:val="18"/>
              </w:rPr>
            </w:pPr>
            <w:r>
              <w:rPr>
                <w:sz w:val="18"/>
                <w:szCs w:val="18"/>
              </w:rPr>
              <w:t>Consideration of uncertainty</w:t>
            </w:r>
          </w:p>
          <w:p>
            <w:pPr>
              <w:spacing w:line="240" w:lineRule="auto"/>
              <w:rPr>
                <w:sz w:val="18"/>
                <w:szCs w:val="18"/>
              </w:rPr>
            </w:pPr>
            <w:r>
              <w:rPr>
                <w:sz w:val="18"/>
                <w:szCs w:val="18"/>
              </w:rPr>
              <w:t>&gt;&gt;&gt; Whether uncertainty measures are included in the analysis, such as 95% confidence interval (CI), standard deviation (SD), or standard error (SE). Report on methodology to derive that distribution (ie. bootstrapping with replacement, etc).</w:t>
            </w:r>
          </w:p>
        </w:tc>
        <w:tc>
          <w:tcPr>
            <w:tcW w:w="1056" w:type="dxa"/>
          </w:tcPr>
          <w:p>
            <w:pPr>
              <w:spacing w:line="240" w:lineRule="auto"/>
              <w:rPr>
                <w:sz w:val="18"/>
                <w:szCs w:val="18"/>
              </w:rPr>
            </w:pPr>
            <w:r>
              <w:rPr>
                <w:sz w:val="18"/>
                <w:szCs w:val="18"/>
              </w:rPr>
              <w:t>0.0234</w:t>
            </w:r>
          </w:p>
        </w:tc>
        <w:tc>
          <w:tcPr>
            <w:tcW w:w="1056" w:type="dxa"/>
          </w:tcPr>
          <w:p>
            <w:pPr>
              <w:spacing w:line="240" w:lineRule="auto"/>
              <w:rPr>
                <w:sz w:val="18"/>
                <w:szCs w:val="18"/>
              </w:rPr>
            </w:pPr>
            <w:r>
              <w:rPr>
                <w:sz w:val="18"/>
                <w:szCs w:val="18"/>
              </w:rPr>
              <w:t>0.0234</w:t>
            </w:r>
          </w:p>
        </w:tc>
      </w:tr>
      <w:tr>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314" w:hRule="atLeast"/>
        </w:trPr>
        <w:tc>
          <w:tcPr>
            <w:tcW w:w="1616" w:type="dxa"/>
            <w:vMerge w:val="continue"/>
          </w:tcPr>
          <w:p>
            <w:pPr>
              <w:widowControl w:val="0"/>
              <w:spacing w:line="240" w:lineRule="auto"/>
              <w:rPr>
                <w:sz w:val="18"/>
                <w:szCs w:val="18"/>
              </w:rPr>
            </w:pPr>
          </w:p>
        </w:tc>
        <w:tc>
          <w:tcPr>
            <w:tcW w:w="647" w:type="dxa"/>
          </w:tcPr>
          <w:p>
            <w:pPr>
              <w:spacing w:line="240" w:lineRule="auto"/>
              <w:rPr>
                <w:sz w:val="18"/>
                <w:szCs w:val="18"/>
              </w:rPr>
            </w:pPr>
            <w:r>
              <w:rPr>
                <w:sz w:val="18"/>
                <w:szCs w:val="18"/>
              </w:rPr>
              <w:t>#22</w:t>
            </w:r>
          </w:p>
        </w:tc>
        <w:tc>
          <w:tcPr>
            <w:tcW w:w="5910" w:type="dxa"/>
          </w:tcPr>
          <w:p>
            <w:pPr>
              <w:spacing w:line="240" w:lineRule="auto"/>
              <w:rPr>
                <w:sz w:val="18"/>
                <w:szCs w:val="18"/>
              </w:rPr>
            </w:pPr>
            <w:r>
              <w:rPr>
                <w:sz w:val="18"/>
                <w:szCs w:val="18"/>
              </w:rPr>
              <w:t>Calibration assessment</w:t>
            </w:r>
          </w:p>
          <w:p>
            <w:pPr>
              <w:spacing w:line="240" w:lineRule="auto"/>
              <w:rPr>
                <w:sz w:val="18"/>
                <w:szCs w:val="18"/>
              </w:rPr>
            </w:pPr>
            <w:r>
              <w:rPr>
                <w:sz w:val="18"/>
                <w:szCs w:val="18"/>
              </w:rPr>
              <w:t>&gt;&gt;&gt; Whether the final model’s calibration is assessed.</w:t>
            </w:r>
          </w:p>
        </w:tc>
        <w:tc>
          <w:tcPr>
            <w:tcW w:w="1056" w:type="dxa"/>
          </w:tcPr>
          <w:p>
            <w:pPr>
              <w:spacing w:line="240" w:lineRule="auto"/>
              <w:rPr>
                <w:sz w:val="18"/>
                <w:szCs w:val="18"/>
              </w:rPr>
            </w:pPr>
            <w:r>
              <w:rPr>
                <w:sz w:val="18"/>
                <w:szCs w:val="18"/>
              </w:rPr>
              <w:t>0.0176</w:t>
            </w:r>
          </w:p>
        </w:tc>
        <w:tc>
          <w:tcPr>
            <w:tcW w:w="1056" w:type="dxa"/>
          </w:tcPr>
          <w:p>
            <w:pPr>
              <w:spacing w:line="240" w:lineRule="auto"/>
              <w:rPr>
                <w:sz w:val="18"/>
                <w:szCs w:val="18"/>
              </w:rPr>
            </w:pPr>
            <w:r>
              <w:rPr>
                <w:sz w:val="18"/>
                <w:szCs w:val="18"/>
              </w:rPr>
              <w:t>0.0176</w:t>
            </w:r>
          </w:p>
        </w:tc>
      </w:tr>
      <w:tr>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314" w:hRule="atLeast"/>
        </w:trPr>
        <w:tc>
          <w:tcPr>
            <w:tcW w:w="1616" w:type="dxa"/>
            <w:vMerge w:val="continue"/>
          </w:tcPr>
          <w:p>
            <w:pPr>
              <w:widowControl w:val="0"/>
              <w:spacing w:line="240" w:lineRule="auto"/>
              <w:rPr>
                <w:sz w:val="18"/>
                <w:szCs w:val="18"/>
              </w:rPr>
            </w:pPr>
          </w:p>
        </w:tc>
        <w:tc>
          <w:tcPr>
            <w:tcW w:w="647" w:type="dxa"/>
          </w:tcPr>
          <w:p>
            <w:pPr>
              <w:spacing w:line="240" w:lineRule="auto"/>
              <w:rPr>
                <w:sz w:val="18"/>
                <w:szCs w:val="18"/>
              </w:rPr>
            </w:pPr>
            <w:r>
              <w:rPr>
                <w:sz w:val="18"/>
                <w:szCs w:val="18"/>
              </w:rPr>
              <w:t>#23</w:t>
            </w:r>
          </w:p>
        </w:tc>
        <w:tc>
          <w:tcPr>
            <w:tcW w:w="5910" w:type="dxa"/>
          </w:tcPr>
          <w:p>
            <w:pPr>
              <w:spacing w:line="240" w:lineRule="auto"/>
              <w:rPr>
                <w:sz w:val="18"/>
                <w:szCs w:val="18"/>
              </w:rPr>
            </w:pPr>
            <w:r>
              <w:rPr>
                <w:sz w:val="18"/>
                <w:szCs w:val="18"/>
              </w:rPr>
              <w:t>Use of uni-parametric imaging or proof of its inferiority</w:t>
            </w:r>
          </w:p>
          <w:p>
            <w:pPr>
              <w:spacing w:line="240" w:lineRule="auto"/>
              <w:rPr>
                <w:sz w:val="18"/>
                <w:szCs w:val="18"/>
              </w:rPr>
            </w:pPr>
            <w:r>
              <w:rPr>
                <w:sz w:val="18"/>
                <w:szCs w:val="18"/>
              </w:rPr>
              <w:t>&gt;&gt;&gt; Use of a single imaging set (such as a single MRI sequence rather than multiple, or a single phase in a dynamic contrast-enhanced scan) should be preferred, as multi-parametric imaging may unnecessarily increase data dimensionality and risk of overfitting. Therefore, in the case of multi-parametric studies, uni-parametric evaluations should also be performed to justify the need for a multi-parametric approach by formally comparing their performance (e.g., DeLong’s or McNemar’s tests). This item is also intended to reward studies that experimentally justify the use of more complex models compared to simpler alternatives, in regard to input data type.</w:t>
            </w:r>
          </w:p>
        </w:tc>
        <w:tc>
          <w:tcPr>
            <w:tcW w:w="1056" w:type="dxa"/>
          </w:tcPr>
          <w:p>
            <w:pPr>
              <w:spacing w:line="240" w:lineRule="auto"/>
              <w:rPr>
                <w:sz w:val="18"/>
                <w:szCs w:val="18"/>
              </w:rPr>
            </w:pPr>
            <w:r>
              <w:rPr>
                <w:sz w:val="18"/>
                <w:szCs w:val="18"/>
              </w:rPr>
              <w:t>0.0117</w:t>
            </w:r>
          </w:p>
        </w:tc>
        <w:tc>
          <w:tcPr>
            <w:tcW w:w="1056" w:type="dxa"/>
          </w:tcPr>
          <w:p>
            <w:pPr>
              <w:spacing w:line="240" w:lineRule="auto"/>
              <w:rPr>
                <w:sz w:val="18"/>
                <w:szCs w:val="18"/>
              </w:rPr>
            </w:pPr>
            <w:r>
              <w:rPr>
                <w:sz w:val="18"/>
                <w:szCs w:val="18"/>
              </w:rPr>
              <w:t>0.0117</w:t>
            </w:r>
          </w:p>
        </w:tc>
      </w:tr>
      <w:tr>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314" w:hRule="atLeast"/>
        </w:trPr>
        <w:tc>
          <w:tcPr>
            <w:tcW w:w="1616" w:type="dxa"/>
            <w:vMerge w:val="continue"/>
          </w:tcPr>
          <w:p>
            <w:pPr>
              <w:widowControl w:val="0"/>
              <w:spacing w:line="240" w:lineRule="auto"/>
              <w:rPr>
                <w:sz w:val="18"/>
                <w:szCs w:val="18"/>
              </w:rPr>
            </w:pPr>
          </w:p>
        </w:tc>
        <w:tc>
          <w:tcPr>
            <w:tcW w:w="647" w:type="dxa"/>
          </w:tcPr>
          <w:p>
            <w:pPr>
              <w:spacing w:line="240" w:lineRule="auto"/>
              <w:rPr>
                <w:sz w:val="18"/>
                <w:szCs w:val="18"/>
              </w:rPr>
            </w:pPr>
            <w:r>
              <w:rPr>
                <w:sz w:val="18"/>
                <w:szCs w:val="18"/>
              </w:rPr>
              <w:t>#24</w:t>
            </w:r>
          </w:p>
        </w:tc>
        <w:tc>
          <w:tcPr>
            <w:tcW w:w="5910" w:type="dxa"/>
          </w:tcPr>
          <w:p>
            <w:pPr>
              <w:spacing w:line="240" w:lineRule="auto"/>
              <w:rPr>
                <w:color w:val="auto"/>
                <w:sz w:val="18"/>
                <w:szCs w:val="18"/>
              </w:rPr>
            </w:pPr>
            <w:r>
              <w:rPr>
                <w:color w:val="auto"/>
                <w:sz w:val="18"/>
                <w:szCs w:val="18"/>
              </w:rPr>
              <w:t>Comparison with a non-radiomic approach or proof of added clinical value</w:t>
            </w:r>
          </w:p>
          <w:p>
            <w:pPr>
              <w:spacing w:line="240" w:lineRule="auto"/>
              <w:rPr>
                <w:sz w:val="18"/>
                <w:szCs w:val="18"/>
              </w:rPr>
            </w:pPr>
            <w:r>
              <w:rPr>
                <w:color w:val="auto"/>
                <w:sz w:val="18"/>
                <w:szCs w:val="18"/>
              </w:rPr>
              <w:t>&gt;&gt;&gt; Whether a non-radiomic method that is representative of the clinical practice is included in the analysis for comparison purposes. Non-radiomic methods might include semantic features, RADS or RECIST scoring, and simple volume or size evaluations. If no non-radiomics method is available, proof of improved diagnostic accuracy (e.g., improved performance of a radiologist assisted by the model’s output) or patient outcome (e.g., decision analysis, overall survival) should be provided. In any case, the comparison should be done with an appropriate statistical method to evaluate the added practical and clinical value of the model (e.g., DeLong’s test for AUC comparison, decision curve analysis for net benefit comparison, Net Reclassification Index). Furthermore, in case of multiple comparisons, multiple testing correction methods (e.g., Bonferroni) should be considered in order to reduce the false discovery rate provided that the statistical comparison is done with a frequentist approach (rather than Bayesian).</w:t>
            </w:r>
          </w:p>
        </w:tc>
        <w:tc>
          <w:tcPr>
            <w:tcW w:w="1056" w:type="dxa"/>
          </w:tcPr>
          <w:p>
            <w:pPr>
              <w:spacing w:line="240" w:lineRule="auto"/>
              <w:rPr>
                <w:sz w:val="18"/>
                <w:szCs w:val="18"/>
              </w:rPr>
            </w:pPr>
            <w:r>
              <w:rPr>
                <w:sz w:val="18"/>
                <w:szCs w:val="18"/>
              </w:rPr>
              <w:t>0.0293</w:t>
            </w:r>
          </w:p>
        </w:tc>
        <w:tc>
          <w:tcPr>
            <w:tcW w:w="1056" w:type="dxa"/>
          </w:tcPr>
          <w:p>
            <w:pPr>
              <w:spacing w:line="240" w:lineRule="auto"/>
              <w:rPr>
                <w:rFonts w:hint="eastAsia" w:eastAsia="宋体"/>
                <w:sz w:val="18"/>
                <w:szCs w:val="18"/>
                <w:lang w:val="en-US" w:eastAsia="zh-CN"/>
              </w:rPr>
            </w:pPr>
            <w:r>
              <w:rPr>
                <w:rFonts w:hint="eastAsia" w:eastAsia="宋体"/>
                <w:sz w:val="18"/>
                <w:szCs w:val="18"/>
                <w:lang w:val="en-US" w:eastAsia="zh-CN"/>
              </w:rPr>
              <w:t>0</w:t>
            </w:r>
          </w:p>
        </w:tc>
      </w:tr>
      <w:tr>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314" w:hRule="atLeast"/>
        </w:trPr>
        <w:tc>
          <w:tcPr>
            <w:tcW w:w="1616" w:type="dxa"/>
            <w:vMerge w:val="continue"/>
          </w:tcPr>
          <w:p>
            <w:pPr>
              <w:widowControl w:val="0"/>
              <w:spacing w:line="240" w:lineRule="auto"/>
              <w:rPr>
                <w:sz w:val="18"/>
                <w:szCs w:val="18"/>
              </w:rPr>
            </w:pPr>
          </w:p>
        </w:tc>
        <w:tc>
          <w:tcPr>
            <w:tcW w:w="647" w:type="dxa"/>
          </w:tcPr>
          <w:p>
            <w:pPr>
              <w:spacing w:line="240" w:lineRule="auto"/>
              <w:rPr>
                <w:sz w:val="18"/>
                <w:szCs w:val="18"/>
              </w:rPr>
            </w:pPr>
            <w:r>
              <w:rPr>
                <w:sz w:val="18"/>
                <w:szCs w:val="18"/>
              </w:rPr>
              <w:t>#25</w:t>
            </w:r>
          </w:p>
        </w:tc>
        <w:tc>
          <w:tcPr>
            <w:tcW w:w="5910" w:type="dxa"/>
          </w:tcPr>
          <w:p>
            <w:pPr>
              <w:spacing w:line="240" w:lineRule="auto"/>
              <w:rPr>
                <w:sz w:val="18"/>
                <w:szCs w:val="18"/>
              </w:rPr>
            </w:pPr>
            <w:r>
              <w:rPr>
                <w:sz w:val="18"/>
                <w:szCs w:val="18"/>
              </w:rPr>
              <w:t>Comparison with simple or classical statistical models</w:t>
            </w:r>
          </w:p>
          <w:p>
            <w:pPr>
              <w:spacing w:line="240" w:lineRule="auto"/>
              <w:rPr>
                <w:sz w:val="18"/>
                <w:szCs w:val="18"/>
              </w:rPr>
            </w:pPr>
            <w:r>
              <w:rPr>
                <w:sz w:val="18"/>
                <w:szCs w:val="18"/>
              </w:rPr>
              <w:t>&gt;&gt;&gt; Whether a comparison with a simple baseline reference model (such as a Zero Rules/No Information Rate classifier) was performed. Use of machine learning methods should be justified by proof of increased performance. In any case, the comparison should be done with an appropriate statistical method (e.g., DeLong’s test for AUC comparison, Net Reclassification Index). Furthermore, in case of multiple comparisons, multiple testing correction methods (e.g., Bonferroni, Benjamini–Hochberg, or Tukey) should be considered in order to reduce the false discovery rate provided that the statistical comparison is done with a frequentist approach (rather than Bayesian).</w:t>
            </w:r>
          </w:p>
        </w:tc>
        <w:tc>
          <w:tcPr>
            <w:tcW w:w="1056" w:type="dxa"/>
          </w:tcPr>
          <w:p>
            <w:pPr>
              <w:spacing w:line="240" w:lineRule="auto"/>
              <w:rPr>
                <w:sz w:val="18"/>
                <w:szCs w:val="18"/>
              </w:rPr>
            </w:pPr>
            <w:r>
              <w:rPr>
                <w:sz w:val="18"/>
                <w:szCs w:val="18"/>
              </w:rPr>
              <w:t>0.0176</w:t>
            </w:r>
          </w:p>
        </w:tc>
        <w:tc>
          <w:tcPr>
            <w:tcW w:w="1056" w:type="dxa"/>
          </w:tcPr>
          <w:p>
            <w:pPr>
              <w:spacing w:line="240" w:lineRule="auto"/>
              <w:rPr>
                <w:sz w:val="18"/>
                <w:szCs w:val="18"/>
              </w:rPr>
            </w:pPr>
            <w:r>
              <w:rPr>
                <w:sz w:val="18"/>
                <w:szCs w:val="18"/>
              </w:rPr>
              <w:t>0.0176</w:t>
            </w:r>
          </w:p>
        </w:tc>
      </w:tr>
      <w:tr>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314" w:hRule="atLeast"/>
        </w:trPr>
        <w:tc>
          <w:tcPr>
            <w:tcW w:w="1616" w:type="dxa"/>
            <w:vMerge w:val="restart"/>
          </w:tcPr>
          <w:p>
            <w:pPr>
              <w:spacing w:line="240" w:lineRule="auto"/>
              <w:rPr>
                <w:sz w:val="18"/>
                <w:szCs w:val="18"/>
              </w:rPr>
            </w:pPr>
            <w:r>
              <w:rPr>
                <w:sz w:val="18"/>
                <w:szCs w:val="18"/>
              </w:rPr>
              <w:t>Testing</w:t>
            </w:r>
          </w:p>
        </w:tc>
        <w:tc>
          <w:tcPr>
            <w:tcW w:w="647" w:type="dxa"/>
          </w:tcPr>
          <w:p>
            <w:pPr>
              <w:spacing w:line="240" w:lineRule="auto"/>
              <w:rPr>
                <w:sz w:val="18"/>
                <w:szCs w:val="18"/>
              </w:rPr>
            </w:pPr>
            <w:r>
              <w:rPr>
                <w:sz w:val="18"/>
                <w:szCs w:val="18"/>
              </w:rPr>
              <w:t>#26</w:t>
            </w:r>
          </w:p>
        </w:tc>
        <w:tc>
          <w:tcPr>
            <w:tcW w:w="5910" w:type="dxa"/>
          </w:tcPr>
          <w:p>
            <w:pPr>
              <w:spacing w:line="240" w:lineRule="auto"/>
              <w:rPr>
                <w:sz w:val="18"/>
                <w:szCs w:val="18"/>
              </w:rPr>
            </w:pPr>
            <w:r>
              <w:rPr>
                <w:sz w:val="18"/>
                <w:szCs w:val="18"/>
              </w:rPr>
              <w:t>Internal testing</w:t>
            </w:r>
          </w:p>
          <w:p>
            <w:pPr>
              <w:spacing w:line="240" w:lineRule="auto"/>
              <w:rPr>
                <w:sz w:val="18"/>
                <w:szCs w:val="18"/>
              </w:rPr>
            </w:pPr>
            <w:r>
              <w:rPr>
                <w:sz w:val="18"/>
                <w:szCs w:val="18"/>
              </w:rPr>
              <w:t>&gt;&gt;&gt; Whether the model is tested on an independent data set that is sampled from the same source as the training and/or validation sets.</w:t>
            </w:r>
          </w:p>
        </w:tc>
        <w:tc>
          <w:tcPr>
            <w:tcW w:w="1056" w:type="dxa"/>
          </w:tcPr>
          <w:p>
            <w:pPr>
              <w:spacing w:line="240" w:lineRule="auto"/>
              <w:rPr>
                <w:sz w:val="18"/>
                <w:szCs w:val="18"/>
              </w:rPr>
            </w:pPr>
            <w:r>
              <w:rPr>
                <w:sz w:val="18"/>
                <w:szCs w:val="18"/>
              </w:rPr>
              <w:t>0.0375</w:t>
            </w:r>
          </w:p>
        </w:tc>
        <w:tc>
          <w:tcPr>
            <w:tcW w:w="1056" w:type="dxa"/>
          </w:tcPr>
          <w:p>
            <w:pPr>
              <w:spacing w:line="240" w:lineRule="auto"/>
              <w:rPr>
                <w:sz w:val="18"/>
                <w:szCs w:val="18"/>
              </w:rPr>
            </w:pPr>
            <w:r>
              <w:rPr>
                <w:sz w:val="18"/>
                <w:szCs w:val="18"/>
              </w:rPr>
              <w:t>0.0375</w:t>
            </w:r>
          </w:p>
        </w:tc>
      </w:tr>
      <w:tr>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314" w:hRule="atLeast"/>
        </w:trPr>
        <w:tc>
          <w:tcPr>
            <w:tcW w:w="1616" w:type="dxa"/>
            <w:vMerge w:val="continue"/>
          </w:tcPr>
          <w:p>
            <w:pPr>
              <w:widowControl w:val="0"/>
              <w:spacing w:line="240" w:lineRule="auto"/>
              <w:rPr>
                <w:sz w:val="18"/>
                <w:szCs w:val="18"/>
              </w:rPr>
            </w:pPr>
          </w:p>
        </w:tc>
        <w:tc>
          <w:tcPr>
            <w:tcW w:w="647" w:type="dxa"/>
          </w:tcPr>
          <w:p>
            <w:pPr>
              <w:spacing w:line="240" w:lineRule="auto"/>
              <w:rPr>
                <w:sz w:val="18"/>
                <w:szCs w:val="18"/>
              </w:rPr>
            </w:pPr>
            <w:r>
              <w:rPr>
                <w:sz w:val="18"/>
                <w:szCs w:val="18"/>
              </w:rPr>
              <w:t>#27</w:t>
            </w:r>
          </w:p>
        </w:tc>
        <w:tc>
          <w:tcPr>
            <w:tcW w:w="5910" w:type="dxa"/>
          </w:tcPr>
          <w:p>
            <w:pPr>
              <w:spacing w:line="240" w:lineRule="auto"/>
              <w:rPr>
                <w:sz w:val="18"/>
                <w:szCs w:val="18"/>
              </w:rPr>
            </w:pPr>
            <w:r>
              <w:rPr>
                <w:sz w:val="18"/>
                <w:szCs w:val="18"/>
              </w:rPr>
              <w:t>External testing</w:t>
            </w:r>
          </w:p>
          <w:p>
            <w:pPr>
              <w:spacing w:line="240" w:lineRule="auto"/>
              <w:rPr>
                <w:sz w:val="18"/>
                <w:szCs w:val="18"/>
              </w:rPr>
            </w:pPr>
            <w:r>
              <w:rPr>
                <w:sz w:val="18"/>
                <w:szCs w:val="18"/>
              </w:rPr>
              <w:t>&gt;&gt;&gt; Whether the model is tested with independent data from other institution(s). This also applies to the studies validating the previously published models trained at another institution.</w:t>
            </w:r>
          </w:p>
        </w:tc>
        <w:tc>
          <w:tcPr>
            <w:tcW w:w="1056" w:type="dxa"/>
          </w:tcPr>
          <w:p>
            <w:pPr>
              <w:spacing w:line="240" w:lineRule="auto"/>
              <w:rPr>
                <w:sz w:val="18"/>
                <w:szCs w:val="18"/>
              </w:rPr>
            </w:pPr>
            <w:r>
              <w:rPr>
                <w:sz w:val="18"/>
                <w:szCs w:val="18"/>
              </w:rPr>
              <w:t>0.0749</w:t>
            </w:r>
          </w:p>
        </w:tc>
        <w:tc>
          <w:tcPr>
            <w:tcW w:w="1056" w:type="dxa"/>
          </w:tcPr>
          <w:p>
            <w:pPr>
              <w:spacing w:line="240" w:lineRule="auto"/>
              <w:rPr>
                <w:sz w:val="18"/>
                <w:szCs w:val="18"/>
              </w:rPr>
            </w:pPr>
            <w:r>
              <w:rPr>
                <w:sz w:val="18"/>
                <w:szCs w:val="18"/>
              </w:rPr>
              <w:t>0.0749</w:t>
            </w:r>
          </w:p>
        </w:tc>
      </w:tr>
      <w:tr>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314" w:hRule="atLeast"/>
        </w:trPr>
        <w:tc>
          <w:tcPr>
            <w:tcW w:w="1616" w:type="dxa"/>
            <w:vMerge w:val="restart"/>
          </w:tcPr>
          <w:p>
            <w:pPr>
              <w:spacing w:line="240" w:lineRule="auto"/>
              <w:rPr>
                <w:color w:val="auto"/>
                <w:sz w:val="18"/>
                <w:szCs w:val="18"/>
              </w:rPr>
            </w:pPr>
            <w:r>
              <w:rPr>
                <w:color w:val="auto"/>
                <w:sz w:val="18"/>
                <w:szCs w:val="18"/>
              </w:rPr>
              <w:t>Open Science</w:t>
            </w:r>
          </w:p>
        </w:tc>
        <w:tc>
          <w:tcPr>
            <w:tcW w:w="647" w:type="dxa"/>
          </w:tcPr>
          <w:p>
            <w:pPr>
              <w:spacing w:line="240" w:lineRule="auto"/>
              <w:rPr>
                <w:color w:val="auto"/>
                <w:sz w:val="18"/>
                <w:szCs w:val="18"/>
              </w:rPr>
            </w:pPr>
            <w:r>
              <w:rPr>
                <w:color w:val="auto"/>
                <w:sz w:val="18"/>
                <w:szCs w:val="18"/>
              </w:rPr>
              <w:t>#28</w:t>
            </w:r>
          </w:p>
        </w:tc>
        <w:tc>
          <w:tcPr>
            <w:tcW w:w="5910" w:type="dxa"/>
          </w:tcPr>
          <w:p>
            <w:pPr>
              <w:spacing w:line="240" w:lineRule="auto"/>
              <w:rPr>
                <w:color w:val="auto"/>
                <w:sz w:val="18"/>
                <w:szCs w:val="18"/>
              </w:rPr>
            </w:pPr>
            <w:r>
              <w:rPr>
                <w:color w:val="auto"/>
                <w:sz w:val="18"/>
                <w:szCs w:val="18"/>
              </w:rPr>
              <w:t>Data availability</w:t>
            </w:r>
          </w:p>
          <w:p>
            <w:pPr>
              <w:spacing w:line="240" w:lineRule="auto"/>
              <w:rPr>
                <w:color w:val="auto"/>
                <w:sz w:val="18"/>
                <w:szCs w:val="18"/>
              </w:rPr>
            </w:pPr>
            <w:r>
              <w:rPr>
                <w:color w:val="auto"/>
                <w:sz w:val="18"/>
                <w:szCs w:val="18"/>
              </w:rPr>
              <w:t>&gt;&gt;&gt; Whether any imaging, segmentation, clinical, or radiomics analysis data is shared with the public.</w:t>
            </w:r>
          </w:p>
        </w:tc>
        <w:tc>
          <w:tcPr>
            <w:tcW w:w="1056" w:type="dxa"/>
          </w:tcPr>
          <w:p>
            <w:pPr>
              <w:spacing w:line="240" w:lineRule="auto"/>
              <w:rPr>
                <w:sz w:val="18"/>
                <w:szCs w:val="18"/>
              </w:rPr>
            </w:pPr>
            <w:r>
              <w:rPr>
                <w:sz w:val="18"/>
                <w:szCs w:val="18"/>
              </w:rPr>
              <w:t>0.0075</w:t>
            </w:r>
          </w:p>
        </w:tc>
        <w:tc>
          <w:tcPr>
            <w:tcW w:w="1056" w:type="dxa"/>
          </w:tcPr>
          <w:p>
            <w:pPr>
              <w:spacing w:line="240" w:lineRule="auto"/>
              <w:rPr>
                <w:rFonts w:hint="default" w:eastAsia="宋体"/>
                <w:sz w:val="18"/>
                <w:szCs w:val="18"/>
                <w:lang w:val="en-US" w:eastAsia="zh-CN"/>
              </w:rPr>
            </w:pPr>
            <w:r>
              <w:rPr>
                <w:rFonts w:hint="eastAsia" w:eastAsia="宋体"/>
                <w:sz w:val="18"/>
                <w:szCs w:val="18"/>
                <w:lang w:val="en-US" w:eastAsia="zh-CN"/>
              </w:rPr>
              <w:t>0</w:t>
            </w:r>
          </w:p>
        </w:tc>
      </w:tr>
      <w:tr>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314" w:hRule="atLeast"/>
        </w:trPr>
        <w:tc>
          <w:tcPr>
            <w:tcW w:w="1616" w:type="dxa"/>
            <w:vMerge w:val="continue"/>
          </w:tcPr>
          <w:p>
            <w:pPr>
              <w:widowControl w:val="0"/>
              <w:spacing w:line="240" w:lineRule="auto"/>
              <w:rPr>
                <w:color w:val="auto"/>
                <w:sz w:val="18"/>
                <w:szCs w:val="18"/>
              </w:rPr>
            </w:pPr>
          </w:p>
        </w:tc>
        <w:tc>
          <w:tcPr>
            <w:tcW w:w="647" w:type="dxa"/>
          </w:tcPr>
          <w:p>
            <w:pPr>
              <w:spacing w:line="240" w:lineRule="auto"/>
              <w:rPr>
                <w:color w:val="auto"/>
                <w:sz w:val="18"/>
                <w:szCs w:val="18"/>
              </w:rPr>
            </w:pPr>
            <w:r>
              <w:rPr>
                <w:color w:val="auto"/>
                <w:sz w:val="18"/>
                <w:szCs w:val="18"/>
              </w:rPr>
              <w:t>#29</w:t>
            </w:r>
          </w:p>
        </w:tc>
        <w:tc>
          <w:tcPr>
            <w:tcW w:w="5910" w:type="dxa"/>
          </w:tcPr>
          <w:p>
            <w:pPr>
              <w:spacing w:line="240" w:lineRule="auto"/>
              <w:rPr>
                <w:color w:val="auto"/>
                <w:sz w:val="18"/>
                <w:szCs w:val="18"/>
              </w:rPr>
            </w:pPr>
            <w:r>
              <w:rPr>
                <w:color w:val="auto"/>
                <w:sz w:val="18"/>
                <w:szCs w:val="18"/>
              </w:rPr>
              <w:t>Code availability</w:t>
            </w:r>
          </w:p>
          <w:p>
            <w:pPr>
              <w:spacing w:line="240" w:lineRule="auto"/>
              <w:rPr>
                <w:color w:val="auto"/>
                <w:sz w:val="18"/>
                <w:szCs w:val="18"/>
              </w:rPr>
            </w:pPr>
            <w:r>
              <w:rPr>
                <w:color w:val="auto"/>
                <w:sz w:val="18"/>
                <w:szCs w:val="18"/>
              </w:rPr>
              <w:t>&gt;&gt;&gt; Whether all scripts related to automatic segmentation and/or modeling are shared with the public. These should include clear instructions for their implementation (e.g., accompanying documentation, tutorials).</w:t>
            </w:r>
          </w:p>
        </w:tc>
        <w:tc>
          <w:tcPr>
            <w:tcW w:w="1056" w:type="dxa"/>
          </w:tcPr>
          <w:p>
            <w:pPr>
              <w:spacing w:line="240" w:lineRule="auto"/>
              <w:rPr>
                <w:sz w:val="18"/>
                <w:szCs w:val="18"/>
              </w:rPr>
            </w:pPr>
            <w:r>
              <w:rPr>
                <w:sz w:val="18"/>
                <w:szCs w:val="18"/>
              </w:rPr>
              <w:t>0.0075</w:t>
            </w:r>
          </w:p>
        </w:tc>
        <w:tc>
          <w:tcPr>
            <w:tcW w:w="1056" w:type="dxa"/>
          </w:tcPr>
          <w:p>
            <w:pPr>
              <w:spacing w:line="240" w:lineRule="auto"/>
              <w:rPr>
                <w:rFonts w:hint="eastAsia" w:eastAsia="宋体"/>
                <w:sz w:val="18"/>
                <w:szCs w:val="18"/>
                <w:lang w:val="en-US" w:eastAsia="zh-CN"/>
              </w:rPr>
            </w:pPr>
            <w:r>
              <w:rPr>
                <w:rFonts w:hint="eastAsia" w:eastAsia="宋体"/>
                <w:sz w:val="18"/>
                <w:szCs w:val="18"/>
                <w:lang w:val="en-US" w:eastAsia="zh-CN"/>
              </w:rPr>
              <w:t>0</w:t>
            </w:r>
          </w:p>
        </w:tc>
      </w:tr>
      <w:tr>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314" w:hRule="atLeast"/>
        </w:trPr>
        <w:tc>
          <w:tcPr>
            <w:tcW w:w="1616" w:type="dxa"/>
            <w:vMerge w:val="continue"/>
          </w:tcPr>
          <w:p>
            <w:pPr>
              <w:widowControl w:val="0"/>
              <w:spacing w:line="240" w:lineRule="auto"/>
              <w:rPr>
                <w:color w:val="auto"/>
                <w:sz w:val="18"/>
                <w:szCs w:val="18"/>
              </w:rPr>
            </w:pPr>
          </w:p>
        </w:tc>
        <w:tc>
          <w:tcPr>
            <w:tcW w:w="647" w:type="dxa"/>
          </w:tcPr>
          <w:p>
            <w:pPr>
              <w:spacing w:line="240" w:lineRule="auto"/>
              <w:rPr>
                <w:color w:val="auto"/>
                <w:sz w:val="18"/>
                <w:szCs w:val="18"/>
              </w:rPr>
            </w:pPr>
            <w:r>
              <w:rPr>
                <w:color w:val="auto"/>
                <w:sz w:val="18"/>
                <w:szCs w:val="18"/>
              </w:rPr>
              <w:t>#30</w:t>
            </w:r>
          </w:p>
        </w:tc>
        <w:tc>
          <w:tcPr>
            <w:tcW w:w="5910" w:type="dxa"/>
          </w:tcPr>
          <w:p>
            <w:pPr>
              <w:spacing w:line="240" w:lineRule="auto"/>
              <w:rPr>
                <w:color w:val="auto"/>
                <w:sz w:val="18"/>
                <w:szCs w:val="18"/>
              </w:rPr>
            </w:pPr>
            <w:bookmarkStart w:id="0" w:name="_GoBack"/>
            <w:r>
              <w:rPr>
                <w:color w:val="auto"/>
                <w:sz w:val="18"/>
                <w:szCs w:val="18"/>
              </w:rPr>
              <w:t>Model availability</w:t>
            </w:r>
          </w:p>
          <w:p>
            <w:pPr>
              <w:spacing w:line="240" w:lineRule="auto"/>
              <w:rPr>
                <w:color w:val="auto"/>
                <w:sz w:val="18"/>
                <w:szCs w:val="18"/>
              </w:rPr>
            </w:pPr>
            <w:r>
              <w:rPr>
                <w:color w:val="auto"/>
                <w:sz w:val="18"/>
                <w:szCs w:val="18"/>
              </w:rPr>
              <w:t>&gt;&gt;&gt; Whether the final model is shared in the form of a raw model file or as a ready-to-use system. If automated segmentation was employed, the corresponding trained model should also be made available to allow replication. These should include clear instructions for their usage (e.g., accompanying documentation, tutorials).</w:t>
            </w:r>
            <w:bookmarkEnd w:id="0"/>
          </w:p>
        </w:tc>
        <w:tc>
          <w:tcPr>
            <w:tcW w:w="1056" w:type="dxa"/>
          </w:tcPr>
          <w:p>
            <w:pPr>
              <w:spacing w:line="240" w:lineRule="auto"/>
              <w:rPr>
                <w:sz w:val="18"/>
                <w:szCs w:val="18"/>
              </w:rPr>
            </w:pPr>
            <w:r>
              <w:rPr>
                <w:sz w:val="18"/>
                <w:szCs w:val="18"/>
              </w:rPr>
              <w:t>0.0075</w:t>
            </w:r>
          </w:p>
        </w:tc>
        <w:tc>
          <w:tcPr>
            <w:tcW w:w="1056" w:type="dxa"/>
          </w:tcPr>
          <w:p>
            <w:pPr>
              <w:spacing w:line="240" w:lineRule="auto"/>
              <w:rPr>
                <w:rFonts w:hint="eastAsia" w:eastAsia="宋体"/>
                <w:sz w:val="18"/>
                <w:szCs w:val="18"/>
                <w:lang w:val="en-US" w:eastAsia="zh-CN"/>
              </w:rPr>
            </w:pPr>
            <w:r>
              <w:rPr>
                <w:rFonts w:hint="eastAsia" w:eastAsia="宋体"/>
                <w:sz w:val="18"/>
                <w:szCs w:val="18"/>
                <w:lang w:val="en-US" w:eastAsia="zh-CN"/>
              </w:rPr>
              <w:t>0</w:t>
            </w:r>
          </w:p>
        </w:tc>
      </w:tr>
      <w:tr>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314" w:hRule="atLeast"/>
        </w:trPr>
        <w:tc>
          <w:tcPr>
            <w:tcW w:w="9229" w:type="dxa"/>
            <w:gridSpan w:val="4"/>
          </w:tcPr>
          <w:p>
            <w:pPr>
              <w:spacing w:line="240" w:lineRule="auto"/>
              <w:rPr>
                <w:sz w:val="18"/>
                <w:szCs w:val="18"/>
              </w:rPr>
            </w:pPr>
            <w:r>
              <w:rPr>
                <w:sz w:val="18"/>
                <w:szCs w:val="18"/>
              </w:rPr>
              <w:t>Total METRICS score (should be given as percentage)</w:t>
            </w:r>
          </w:p>
        </w:tc>
        <w:tc>
          <w:tcPr>
            <w:tcW w:w="1056" w:type="dxa"/>
          </w:tcPr>
          <w:p>
            <w:pPr>
              <w:spacing w:line="240" w:lineRule="auto"/>
              <w:rPr>
                <w:rFonts w:hint="default" w:eastAsia="宋体"/>
                <w:sz w:val="18"/>
                <w:szCs w:val="18"/>
                <w:lang w:val="en-US" w:eastAsia="zh-CN"/>
              </w:rPr>
            </w:pPr>
            <w:r>
              <w:rPr>
                <w:rFonts w:hint="eastAsia" w:eastAsia="宋体"/>
                <w:sz w:val="18"/>
                <w:szCs w:val="18"/>
                <w:lang w:val="en-US" w:eastAsia="zh-CN"/>
              </w:rPr>
              <w:t>91.32%</w:t>
            </w:r>
          </w:p>
        </w:tc>
      </w:tr>
      <w:tr>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314" w:hRule="atLeast"/>
        </w:trPr>
        <w:tc>
          <w:tcPr>
            <w:tcW w:w="9229" w:type="dxa"/>
            <w:gridSpan w:val="4"/>
          </w:tcPr>
          <w:p>
            <w:pPr>
              <w:spacing w:line="240" w:lineRule="auto"/>
              <w:rPr>
                <w:sz w:val="18"/>
                <w:szCs w:val="18"/>
              </w:rPr>
            </w:pPr>
            <w:r>
              <w:rPr>
                <w:sz w:val="18"/>
                <w:szCs w:val="18"/>
              </w:rPr>
              <w:t>Quality category</w:t>
            </w:r>
            <w:r>
              <w:rPr>
                <w:sz w:val="18"/>
                <w:szCs w:val="18"/>
                <w:vertAlign w:val="superscript"/>
              </w:rPr>
              <w:t>7</w:t>
            </w:r>
          </w:p>
        </w:tc>
        <w:tc>
          <w:tcPr>
            <w:tcW w:w="1056" w:type="dxa"/>
          </w:tcPr>
          <w:p>
            <w:pPr>
              <w:spacing w:line="240" w:lineRule="auto"/>
              <w:rPr>
                <w:sz w:val="18"/>
                <w:szCs w:val="18"/>
              </w:rPr>
            </w:pPr>
            <w:r>
              <w:rPr>
                <w:sz w:val="18"/>
                <w:szCs w:val="18"/>
              </w:rPr>
              <w:t>excellent</w:t>
            </w:r>
          </w:p>
        </w:tc>
      </w:tr>
    </w:tbl>
    <w:p>
      <w:pPr>
        <w:spacing w:line="360" w:lineRule="auto"/>
        <w:jc w:val="both"/>
        <w:rPr>
          <w:sz w:val="18"/>
          <w:szCs w:val="18"/>
        </w:rPr>
      </w:pPr>
      <w:r>
        <w:rPr>
          <w:sz w:val="18"/>
          <w:szCs w:val="18"/>
          <w:vertAlign w:val="superscript"/>
        </w:rPr>
        <w:t xml:space="preserve">1 </w:t>
      </w:r>
      <w:r>
        <w:rPr>
          <w:sz w:val="18"/>
          <w:szCs w:val="18"/>
        </w:rPr>
        <w:t xml:space="preserve">Conditional for studies including region/volume of interest labeling. </w:t>
      </w:r>
      <w:r>
        <w:rPr>
          <w:sz w:val="18"/>
          <w:szCs w:val="18"/>
          <w:vertAlign w:val="superscript"/>
        </w:rPr>
        <w:t xml:space="preserve">2 </w:t>
      </w:r>
      <w:r>
        <w:rPr>
          <w:sz w:val="18"/>
          <w:szCs w:val="18"/>
        </w:rPr>
        <w:t xml:space="preserve">Conditional for studies using fully automated segmentation. </w:t>
      </w:r>
      <w:r>
        <w:rPr>
          <w:sz w:val="18"/>
          <w:szCs w:val="18"/>
          <w:vertAlign w:val="superscript"/>
        </w:rPr>
        <w:t xml:space="preserve">3 </w:t>
      </w:r>
      <w:r>
        <w:rPr>
          <w:sz w:val="18"/>
          <w:szCs w:val="18"/>
        </w:rPr>
        <w:t xml:space="preserve">Conditional for the hand-crafted radiomics. </w:t>
      </w:r>
      <w:r>
        <w:rPr>
          <w:sz w:val="18"/>
          <w:szCs w:val="18"/>
          <w:vertAlign w:val="superscript"/>
        </w:rPr>
        <w:t xml:space="preserve">4 </w:t>
      </w:r>
      <w:r>
        <w:rPr>
          <w:sz w:val="18"/>
          <w:szCs w:val="18"/>
        </w:rPr>
        <w:t xml:space="preserve">Conditional for tabular data use. </w:t>
      </w:r>
      <w:r>
        <w:rPr>
          <w:sz w:val="18"/>
          <w:szCs w:val="18"/>
          <w:vertAlign w:val="superscript"/>
        </w:rPr>
        <w:t xml:space="preserve">5 </w:t>
      </w:r>
      <w:r>
        <w:rPr>
          <w:sz w:val="18"/>
          <w:szCs w:val="18"/>
        </w:rPr>
        <w:t>Conditional on the use of end-to-end deep learning.</w:t>
      </w:r>
      <w:r>
        <w:rPr>
          <w:sz w:val="18"/>
          <w:szCs w:val="18"/>
          <w:vertAlign w:val="superscript"/>
        </w:rPr>
        <w:t>6</w:t>
      </w:r>
      <w:r>
        <w:rPr>
          <w:sz w:val="18"/>
          <w:szCs w:val="18"/>
        </w:rPr>
        <w:t xml:space="preserve"> Score is simply the weight if present and 0 otherwise. </w:t>
      </w:r>
      <w:r>
        <w:rPr>
          <w:sz w:val="18"/>
          <w:szCs w:val="18"/>
          <w:vertAlign w:val="superscript"/>
        </w:rPr>
        <w:t>7</w:t>
      </w:r>
      <w:r>
        <w:rPr>
          <w:sz w:val="18"/>
          <w:szCs w:val="18"/>
        </w:rPr>
        <w:t xml:space="preserve"> Proposed total score categories: 0≤score&lt;20%, “very low”; 20≤score&lt;40%, “low”; 40≤score&lt;60%, “moderate”; 60≤score&lt;80%, “good”; and 80≤score≤100%, “excellent” quality.</w:t>
      </w:r>
    </w:p>
    <w:sectPr>
      <w:footerReference r:id="rId5" w:type="default"/>
      <w:pgSz w:w="11909" w:h="16834"/>
      <w:pgMar w:top="1417" w:right="1417" w:bottom="1417" w:left="1417" w:header="708" w:footer="708" w:gutter="0"/>
      <w:cols w:space="708"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Unicode MS">
    <w:altName w:val="Arial"/>
    <w:panose1 w:val="020B0604020202020204"/>
    <w:charset w:val="80"/>
    <w:family w:val="swiss"/>
    <w:pitch w:val="default"/>
    <w:sig w:usb0="00000000" w:usb1="00000000" w:usb2="0000003F" w:usb3="00000000" w:csb0="603F01FF" w:csb1="FFFF0000"/>
  </w:font>
  <w:font w:name="Arial">
    <w:panose1 w:val="020B0604020202020204"/>
    <w:charset w:val="00"/>
    <w:family w:val="auto"/>
    <w:pitch w:val="default"/>
    <w:sig w:usb0="E0002A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rPr>
        <w:sz w:val="18"/>
        <w:szCs w:val="18"/>
      </w:rPr>
    </w:pPr>
    <w:r>
      <w:rPr>
        <w:sz w:val="18"/>
        <w:szCs w:val="18"/>
        <w:lang w:val="tr-TR"/>
      </w:rPr>
      <w:t>Insights Imaging (2023) Kocak B, Akinci D’Antonoli T, Mercaldo N et al.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76" w:lineRule="auto"/>
      </w:pPr>
      <w:r>
        <w:separator/>
      </w:r>
    </w:p>
  </w:footnote>
  <w:footnote w:type="continuationSeparator" w:id="1">
    <w:p>
      <w:pPr>
        <w:spacing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720"/>
  <w:hyphenationZone w:val="425"/>
  <w:characterSpacingControl w:val="doNotCompress"/>
  <w:footnotePr>
    <w:footnote w:id="0"/>
    <w:footnote w:id="1"/>
  </w:footnotePr>
  <w:endnotePr>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MTI1NDMyNzSxtDAzMjJQ0lEKTi0uzszPAykwqwUAChy6mywAAAA="/>
    <w:docVar w:name="commondata" w:val="eyJoZGlkIjoiZDQwNWJiM2IxNDRmNWMzZTZjOTQxNDQ1YTA3NDI3MGIifQ=="/>
  </w:docVars>
  <w:rsids>
    <w:rsidRoot w:val="00656BC5"/>
    <w:rsid w:val="000601B8"/>
    <w:rsid w:val="001655B0"/>
    <w:rsid w:val="00167B6A"/>
    <w:rsid w:val="00172A4E"/>
    <w:rsid w:val="00307309"/>
    <w:rsid w:val="00386784"/>
    <w:rsid w:val="003B0B0F"/>
    <w:rsid w:val="00656BC5"/>
    <w:rsid w:val="006B2DE4"/>
    <w:rsid w:val="006C0927"/>
    <w:rsid w:val="008531CE"/>
    <w:rsid w:val="00AF680B"/>
    <w:rsid w:val="00B420E2"/>
    <w:rsid w:val="00BE1699"/>
    <w:rsid w:val="00CC0C3E"/>
    <w:rsid w:val="00D96BAD"/>
    <w:rsid w:val="00DC23FC"/>
    <w:rsid w:val="00EE55B8"/>
    <w:rsid w:val="00F10674"/>
    <w:rsid w:val="00FC48C9"/>
    <w:rsid w:val="11366ED6"/>
    <w:rsid w:val="22CE363D"/>
    <w:rsid w:val="2E2B796A"/>
    <w:rsid w:val="429E4DDC"/>
    <w:rsid w:val="43F77E57"/>
    <w:rsid w:val="6DA22912"/>
  </w:rsids>
  <m:mathPr>
    <m:mathFont m:val="Cambria Math"/>
    <m:brkBin m:val="before"/>
    <m:brkBinSub m:val="--"/>
    <m:smallFrac m:val="0"/>
    <m:dispDef/>
    <m:lMargin m:val="0"/>
    <m:rMargin m:val="0"/>
    <m:defJc m:val="centerGroup"/>
    <m:wrapIndent m:val="1440"/>
    <m:intLim m:val="subSup"/>
    <m:naryLim m:val="undOvr"/>
  </m:mathPr>
  <w:themeFontLang w:val="tr-TR"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276" w:lineRule="auto"/>
    </w:pPr>
    <w:rPr>
      <w:rFonts w:ascii="Arial" w:hAnsi="Arial" w:eastAsia="Arial" w:cs="Arial"/>
      <w:sz w:val="22"/>
      <w:szCs w:val="22"/>
      <w:lang w:val="en" w:eastAsia="tr-TR" w:bidi="ar-SA"/>
    </w:rPr>
  </w:style>
  <w:style w:type="paragraph" w:styleId="2">
    <w:name w:val="heading 1"/>
    <w:basedOn w:val="1"/>
    <w:next w:val="1"/>
    <w:qFormat/>
    <w:uiPriority w:val="9"/>
    <w:pPr>
      <w:keepNext/>
      <w:keepLines/>
      <w:spacing w:before="400" w:after="120"/>
      <w:outlineLvl w:val="0"/>
    </w:pPr>
    <w:rPr>
      <w:sz w:val="40"/>
      <w:szCs w:val="40"/>
    </w:rPr>
  </w:style>
  <w:style w:type="paragraph" w:styleId="3">
    <w:name w:val="heading 2"/>
    <w:basedOn w:val="1"/>
    <w:next w:val="1"/>
    <w:unhideWhenUsed/>
    <w:qFormat/>
    <w:uiPriority w:val="9"/>
    <w:pPr>
      <w:keepNext/>
      <w:keepLines/>
      <w:spacing w:before="360" w:after="120"/>
      <w:outlineLvl w:val="1"/>
    </w:pPr>
    <w:rPr>
      <w:sz w:val="32"/>
      <w:szCs w:val="32"/>
    </w:rPr>
  </w:style>
  <w:style w:type="paragraph" w:styleId="4">
    <w:name w:val="heading 3"/>
    <w:basedOn w:val="1"/>
    <w:next w:val="1"/>
    <w:unhideWhenUsed/>
    <w:qFormat/>
    <w:uiPriority w:val="9"/>
    <w:pPr>
      <w:keepNext/>
      <w:keepLines/>
      <w:spacing w:before="320" w:after="80"/>
      <w:outlineLvl w:val="2"/>
    </w:pPr>
    <w:rPr>
      <w:color w:val="434343"/>
      <w:sz w:val="28"/>
      <w:szCs w:val="28"/>
    </w:rPr>
  </w:style>
  <w:style w:type="paragraph" w:styleId="5">
    <w:name w:val="heading 4"/>
    <w:basedOn w:val="1"/>
    <w:next w:val="1"/>
    <w:semiHidden/>
    <w:unhideWhenUsed/>
    <w:qFormat/>
    <w:uiPriority w:val="9"/>
    <w:pPr>
      <w:keepNext/>
      <w:keepLines/>
      <w:spacing w:before="280" w:after="80"/>
      <w:outlineLvl w:val="3"/>
    </w:pPr>
    <w:rPr>
      <w:color w:val="666666"/>
      <w:sz w:val="24"/>
      <w:szCs w:val="24"/>
    </w:rPr>
  </w:style>
  <w:style w:type="paragraph" w:styleId="6">
    <w:name w:val="heading 5"/>
    <w:basedOn w:val="1"/>
    <w:next w:val="1"/>
    <w:semiHidden/>
    <w:unhideWhenUsed/>
    <w:qFormat/>
    <w:uiPriority w:val="9"/>
    <w:pPr>
      <w:keepNext/>
      <w:keepLines/>
      <w:spacing w:before="240" w:after="80"/>
      <w:outlineLvl w:val="4"/>
    </w:pPr>
    <w:rPr>
      <w:color w:val="666666"/>
    </w:rPr>
  </w:style>
  <w:style w:type="paragraph" w:styleId="7">
    <w:name w:val="heading 6"/>
    <w:basedOn w:val="1"/>
    <w:next w:val="1"/>
    <w:semiHidden/>
    <w:unhideWhenUsed/>
    <w:qFormat/>
    <w:uiPriority w:val="9"/>
    <w:pPr>
      <w:keepNext/>
      <w:keepLines/>
      <w:spacing w:before="240" w:after="80"/>
      <w:outlineLvl w:val="5"/>
    </w:pPr>
    <w:rPr>
      <w:i/>
      <w:color w:val="666666"/>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8">
    <w:name w:val="footer"/>
    <w:basedOn w:val="1"/>
    <w:link w:val="23"/>
    <w:unhideWhenUsed/>
    <w:qFormat/>
    <w:uiPriority w:val="99"/>
    <w:pPr>
      <w:tabs>
        <w:tab w:val="center" w:pos="4513"/>
        <w:tab w:val="right" w:pos="9026"/>
      </w:tabs>
      <w:spacing w:line="240" w:lineRule="auto"/>
    </w:pPr>
  </w:style>
  <w:style w:type="paragraph" w:styleId="9">
    <w:name w:val="header"/>
    <w:basedOn w:val="1"/>
    <w:link w:val="22"/>
    <w:unhideWhenUsed/>
    <w:qFormat/>
    <w:uiPriority w:val="99"/>
    <w:pPr>
      <w:tabs>
        <w:tab w:val="center" w:pos="4513"/>
        <w:tab w:val="right" w:pos="9026"/>
      </w:tabs>
      <w:spacing w:line="240" w:lineRule="auto"/>
    </w:pPr>
  </w:style>
  <w:style w:type="paragraph" w:styleId="10">
    <w:name w:val="Subtitle"/>
    <w:basedOn w:val="1"/>
    <w:next w:val="1"/>
    <w:qFormat/>
    <w:uiPriority w:val="11"/>
    <w:pPr>
      <w:keepNext/>
      <w:keepLines/>
      <w:spacing w:after="320"/>
    </w:pPr>
    <w:rPr>
      <w:color w:val="666666"/>
      <w:sz w:val="30"/>
      <w:szCs w:val="30"/>
    </w:rPr>
  </w:style>
  <w:style w:type="paragraph" w:styleId="11">
    <w:name w:val="Normal (Web)"/>
    <w:basedOn w:val="1"/>
    <w:semiHidden/>
    <w:unhideWhenUsed/>
    <w:qFormat/>
    <w:uiPriority w:val="99"/>
    <w:pPr>
      <w:spacing w:before="100" w:beforeAutospacing="1" w:after="100" w:afterAutospacing="1" w:line="240" w:lineRule="auto"/>
    </w:pPr>
    <w:rPr>
      <w:rFonts w:ascii="Times New Roman" w:hAnsi="Times New Roman" w:eastAsia="Times New Roman" w:cs="Times New Roman"/>
      <w:sz w:val="24"/>
      <w:szCs w:val="24"/>
      <w:lang w:eastAsia="en-GB"/>
    </w:rPr>
  </w:style>
  <w:style w:type="paragraph" w:styleId="12">
    <w:name w:val="Title"/>
    <w:basedOn w:val="1"/>
    <w:next w:val="1"/>
    <w:qFormat/>
    <w:uiPriority w:val="10"/>
    <w:pPr>
      <w:keepNext/>
      <w:keepLines/>
      <w:spacing w:after="60"/>
    </w:pPr>
    <w:rPr>
      <w:sz w:val="52"/>
      <w:szCs w:val="52"/>
    </w:rPr>
  </w:style>
  <w:style w:type="table" w:customStyle="1" w:styleId="15">
    <w:name w:val="_Style 11"/>
    <w:basedOn w:val="13"/>
    <w:qFormat/>
    <w:uiPriority w:val="0"/>
    <w:tblPr>
      <w:tblCellMar>
        <w:top w:w="100" w:type="dxa"/>
        <w:left w:w="100" w:type="dxa"/>
        <w:bottom w:w="100" w:type="dxa"/>
        <w:right w:w="100" w:type="dxa"/>
      </w:tblCellMar>
    </w:tblPr>
  </w:style>
  <w:style w:type="table" w:customStyle="1" w:styleId="16">
    <w:name w:val="_Style 12"/>
    <w:basedOn w:val="13"/>
    <w:qFormat/>
    <w:uiPriority w:val="0"/>
    <w:pPr>
      <w:spacing w:line="240" w:lineRule="auto"/>
    </w:pPr>
  </w:style>
  <w:style w:type="table" w:customStyle="1" w:styleId="17">
    <w:name w:val="_Style 13"/>
    <w:basedOn w:val="13"/>
    <w:qFormat/>
    <w:uiPriority w:val="0"/>
    <w:pPr>
      <w:spacing w:line="240" w:lineRule="auto"/>
    </w:pPr>
  </w:style>
  <w:style w:type="table" w:customStyle="1" w:styleId="18">
    <w:name w:val="_Style 14"/>
    <w:basedOn w:val="13"/>
    <w:qFormat/>
    <w:uiPriority w:val="0"/>
    <w:pPr>
      <w:spacing w:line="240" w:lineRule="auto"/>
    </w:pPr>
  </w:style>
  <w:style w:type="table" w:customStyle="1" w:styleId="19">
    <w:name w:val="_Style 15"/>
    <w:basedOn w:val="13"/>
    <w:qFormat/>
    <w:uiPriority w:val="0"/>
    <w:pPr>
      <w:spacing w:line="240" w:lineRule="auto"/>
    </w:pPr>
    <w:tblStylePr w:type="firstRow">
      <w:rPr>
        <w:b/>
      </w:rPr>
      <w:tcPr>
        <w:tcBorders>
          <w:bottom w:val="single" w:color="7F7F7F" w:sz="4" w:space="0"/>
        </w:tcBorders>
      </w:tcPr>
    </w:tblStylePr>
    <w:tblStylePr w:type="lastRow">
      <w:rPr>
        <w:b/>
      </w:rPr>
      <w:tcPr>
        <w:tcBorders>
          <w:top w:val="single" w:color="7F7F7F" w:sz="4" w:space="0"/>
        </w:tcBorders>
      </w:tcPr>
    </w:tblStylePr>
    <w:tblStylePr w:type="firstCol">
      <w:rPr>
        <w:b/>
      </w:rPr>
    </w:tblStylePr>
    <w:tblStylePr w:type="lastCol">
      <w:rPr>
        <w:b/>
      </w:rPr>
    </w:tblStylePr>
    <w:tblStylePr w:type="band1Vert">
      <w:tcPr>
        <w:tcBorders>
          <w:left w:val="single" w:color="7F7F7F" w:sz="4" w:space="0"/>
          <w:right w:val="single" w:color="7F7F7F" w:sz="4" w:space="0"/>
        </w:tcBorders>
      </w:tcPr>
    </w:tblStylePr>
    <w:tblStylePr w:type="band2Vert">
      <w:tcPr>
        <w:tcBorders>
          <w:left w:val="single" w:color="7F7F7F" w:sz="4" w:space="0"/>
          <w:right w:val="single" w:color="7F7F7F" w:sz="4" w:space="0"/>
        </w:tcBorders>
      </w:tcPr>
    </w:tblStylePr>
    <w:tblStylePr w:type="band1Horz">
      <w:tcPr>
        <w:tcBorders>
          <w:top w:val="single" w:color="7F7F7F" w:sz="4" w:space="0"/>
          <w:bottom w:val="single" w:color="7F7F7F" w:sz="4" w:space="0"/>
        </w:tcBorders>
      </w:tcPr>
    </w:tblStylePr>
  </w:style>
  <w:style w:type="table" w:customStyle="1" w:styleId="20">
    <w:name w:val="_Style 16"/>
    <w:basedOn w:val="13"/>
    <w:qFormat/>
    <w:uiPriority w:val="0"/>
    <w:pPr>
      <w:spacing w:line="240" w:lineRule="auto"/>
    </w:pPr>
  </w:style>
  <w:style w:type="table" w:customStyle="1" w:styleId="21">
    <w:name w:val="Grid Table Light"/>
    <w:basedOn w:val="13"/>
    <w:qFormat/>
    <w:uiPriority w:val="40"/>
    <w:pPr>
      <w:spacing w:line="240" w:lineRule="auto"/>
    </w:pPr>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style>
  <w:style w:type="character" w:customStyle="1" w:styleId="22">
    <w:name w:val="Header Char"/>
    <w:basedOn w:val="14"/>
    <w:link w:val="9"/>
    <w:qFormat/>
    <w:uiPriority w:val="99"/>
  </w:style>
  <w:style w:type="character" w:customStyle="1" w:styleId="23">
    <w:name w:val="Footer Char"/>
    <w:basedOn w:val="14"/>
    <w:link w:val="8"/>
    <w:qFormat/>
    <w:uiPriority w:val="99"/>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Normal.dotm</Template>
  <Pages>4</Pages>
  <Words>2050</Words>
  <Characters>12252</Characters>
  <Lines>100</Lines>
  <Paragraphs>28</Paragraphs>
  <TotalTime>11</TotalTime>
  <ScaleCrop>false</ScaleCrop>
  <LinksUpToDate>false</LinksUpToDate>
  <CharactersWithSpaces>14131</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2023-10-23T06:31:00Z</dcterms:created>
  <dc:creator>Administrator</dc:creator>
  <cp:lastModifiedBy>奋斗吧，骚年</cp:lastModifiedBy>
  <dcterms:modified xsi:type="dcterms:W3CDTF">2024-07-11T14:18:06Z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971D76FDBEAC46959F4B4B43B5CD2A28_12</vt:lpwstr>
  </property>
</Properties>
</file>