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E34" w:rsidRPr="00261E7D" w:rsidRDefault="002C2E34" w:rsidP="00082DE4">
      <w:pPr>
        <w:rPr>
          <w:rFonts w:ascii="Times New Roman" w:hAnsi="Times New Roman" w:cs="Times New Roman"/>
          <w:b/>
          <w:sz w:val="20"/>
          <w:szCs w:val="20"/>
        </w:rPr>
      </w:pPr>
      <w:bookmarkStart w:id="0" w:name="OLE_LINK54"/>
      <w:bookmarkStart w:id="1" w:name="OLE_LINK55"/>
      <w:r w:rsidRPr="00261E7D">
        <w:rPr>
          <w:rFonts w:ascii="Times New Roman" w:hAnsi="Times New Roman" w:cs="Times New Roman"/>
          <w:b/>
          <w:sz w:val="20"/>
          <w:szCs w:val="20"/>
        </w:rPr>
        <w:t>Supplementary materials</w:t>
      </w:r>
    </w:p>
    <w:bookmarkEnd w:id="0"/>
    <w:bookmarkEnd w:id="1"/>
    <w:p w:rsidR="002C2E34" w:rsidRPr="00261E7D" w:rsidRDefault="002C2E34" w:rsidP="00082DE4">
      <w:pPr>
        <w:rPr>
          <w:rFonts w:ascii="Times New Roman" w:hAnsi="Times New Roman" w:cs="Times New Roman"/>
          <w:b/>
          <w:sz w:val="20"/>
          <w:szCs w:val="20"/>
        </w:rPr>
      </w:pPr>
    </w:p>
    <w:p w:rsidR="00082DE4" w:rsidRPr="00261E7D" w:rsidRDefault="00082DE4" w:rsidP="00082DE4">
      <w:pPr>
        <w:rPr>
          <w:rFonts w:ascii="Times New Roman" w:hAnsi="Times New Roman" w:cs="Times New Roman"/>
          <w:b/>
          <w:sz w:val="20"/>
          <w:szCs w:val="20"/>
        </w:rPr>
      </w:pPr>
      <w:r w:rsidRPr="00261E7D">
        <w:rPr>
          <w:rFonts w:ascii="Times New Roman" w:hAnsi="Times New Roman" w:cs="Times New Roman"/>
          <w:b/>
          <w:sz w:val="20"/>
          <w:szCs w:val="20"/>
        </w:rPr>
        <w:t>Appendix S1</w:t>
      </w:r>
      <w:r w:rsidR="00C55786" w:rsidRPr="00261E7D">
        <w:rPr>
          <w:rFonts w:ascii="Times New Roman" w:hAnsi="Times New Roman" w:cs="Times New Roman"/>
          <w:b/>
          <w:sz w:val="20"/>
          <w:szCs w:val="20"/>
        </w:rPr>
        <w:t>.</w:t>
      </w:r>
      <w:r w:rsidR="00C55786" w:rsidRPr="00261E7D">
        <w:rPr>
          <w:rFonts w:ascii="Times New Roman" w:hAnsi="Times New Roman" w:cs="Times New Roman"/>
          <w:sz w:val="20"/>
          <w:szCs w:val="20"/>
        </w:rPr>
        <w:t xml:space="preserve"> </w:t>
      </w:r>
      <w:r w:rsidR="00C55786" w:rsidRPr="00261E7D">
        <w:rPr>
          <w:rFonts w:ascii="Times New Roman" w:hAnsi="Times New Roman" w:cs="Times New Roman"/>
          <w:b/>
          <w:sz w:val="20"/>
          <w:szCs w:val="20"/>
        </w:rPr>
        <w:t>The detailed CT parameters</w:t>
      </w:r>
    </w:p>
    <w:p w:rsidR="00082DE4" w:rsidRPr="00261E7D" w:rsidRDefault="00082DE4" w:rsidP="00082DE4">
      <w:pPr>
        <w:rPr>
          <w:rFonts w:ascii="Times New Roman" w:hAnsi="Times New Roman" w:cs="Times New Roman"/>
          <w:bCs/>
          <w:color w:val="000000" w:themeColor="text1"/>
          <w:sz w:val="20"/>
          <w:szCs w:val="20"/>
        </w:rPr>
      </w:pPr>
      <w:r w:rsidRPr="00261E7D">
        <w:rPr>
          <w:rFonts w:ascii="Times New Roman" w:hAnsi="Times New Roman" w:cs="Times New Roman"/>
          <w:sz w:val="20"/>
          <w:szCs w:val="20"/>
        </w:rPr>
        <w:t xml:space="preserve">Our hospital uses the following multidetector CT scanners: GE Lightspeed 64 (Ge Healthcare Chicago, Il, USA), Siemens Sensation 16 (Siemens Healthineers, Erlangen, Germany) and Siemens Definition 64 (Siemens Healthineers). </w:t>
      </w:r>
      <w:r w:rsidRPr="00261E7D">
        <w:rPr>
          <w:rFonts w:ascii="Times New Roman" w:hAnsi="Times New Roman" w:cs="Times New Roman"/>
          <w:bCs/>
          <w:color w:val="000000" w:themeColor="text1"/>
          <w:sz w:val="20"/>
          <w:szCs w:val="20"/>
        </w:rPr>
        <w:t>The parameters were as follows: tube voltage 120 kVp, tube current 150–200 mA, Pixel size, 0.4-1.0mm, slice thickness 5 mm, interval thickness 5 mm, and nonionic contrast media iomeperol at a rate of 3.0 ml/s with a dose of 1.3 ml/kg. A 100-Hu threshold of the abdominal aorta at the celiac artery was taken as the baseline, then the arterial phase was examined 15-30 s after the unenhanced phase.</w:t>
      </w:r>
    </w:p>
    <w:p w:rsidR="00525FB2" w:rsidRPr="00261E7D" w:rsidRDefault="00525FB2" w:rsidP="00082DE4">
      <w:pPr>
        <w:rPr>
          <w:rFonts w:ascii="Times New Roman" w:hAnsi="Times New Roman" w:cs="Times New Roman"/>
          <w:bCs/>
          <w:color w:val="000000" w:themeColor="text1"/>
          <w:sz w:val="20"/>
          <w:szCs w:val="20"/>
        </w:rPr>
      </w:pPr>
    </w:p>
    <w:p w:rsidR="00525FB2" w:rsidRPr="00261E7D" w:rsidRDefault="00525FB2" w:rsidP="00082DE4">
      <w:pPr>
        <w:rPr>
          <w:rFonts w:ascii="Times New Roman" w:hAnsi="Times New Roman" w:cs="Times New Roman"/>
          <w:b/>
          <w:sz w:val="20"/>
          <w:szCs w:val="20"/>
        </w:rPr>
      </w:pPr>
      <w:r w:rsidRPr="00261E7D">
        <w:rPr>
          <w:rFonts w:ascii="Times New Roman" w:hAnsi="Times New Roman" w:cs="Times New Roman"/>
          <w:b/>
          <w:sz w:val="20"/>
          <w:szCs w:val="20"/>
        </w:rPr>
        <w:t>Appendix S2. The details about tumor segmentation</w:t>
      </w:r>
    </w:p>
    <w:p w:rsidR="00525FB2" w:rsidRPr="00261E7D" w:rsidRDefault="00525FB2" w:rsidP="00082DE4">
      <w:pPr>
        <w:rPr>
          <w:rFonts w:ascii="Times New Roman" w:hAnsi="Times New Roman" w:cs="Times New Roman"/>
          <w:bCs/>
          <w:color w:val="000000" w:themeColor="text1"/>
          <w:sz w:val="20"/>
          <w:szCs w:val="20"/>
        </w:rPr>
      </w:pPr>
      <w:r w:rsidRPr="00261E7D">
        <w:rPr>
          <w:rFonts w:ascii="Times New Roman" w:hAnsi="Times New Roman" w:cs="Times New Roman"/>
          <w:bCs/>
          <w:color w:val="000000" w:themeColor="text1"/>
          <w:sz w:val="20"/>
          <w:szCs w:val="20"/>
        </w:rPr>
        <w:t>Arterial-phase CT images of the patients with ccRCC were analyzed.</w:t>
      </w:r>
      <w:r w:rsidR="00970741" w:rsidRPr="00261E7D">
        <w:rPr>
          <w:rFonts w:ascii="Times New Roman" w:hAnsi="Times New Roman" w:cs="Times New Roman"/>
          <w:bCs/>
          <w:color w:val="000000" w:themeColor="text1"/>
          <w:sz w:val="20"/>
          <w:szCs w:val="20"/>
        </w:rPr>
        <w:t xml:space="preserve"> </w:t>
      </w:r>
      <w:r w:rsidRPr="00261E7D">
        <w:rPr>
          <w:rFonts w:ascii="Times New Roman" w:hAnsi="Times New Roman" w:cs="Times New Roman"/>
          <w:bCs/>
          <w:color w:val="000000" w:themeColor="text1"/>
          <w:sz w:val="20"/>
          <w:szCs w:val="20"/>
        </w:rPr>
        <w:t xml:space="preserve">The regions of interest (ROIs) for </w:t>
      </w:r>
      <w:r w:rsidR="00D04220" w:rsidRPr="00261E7D">
        <w:rPr>
          <w:rFonts w:ascii="Times New Roman" w:hAnsi="Times New Roman" w:cs="Times New Roman" w:hint="eastAsia"/>
          <w:bCs/>
          <w:color w:val="000000" w:themeColor="text1"/>
          <w:sz w:val="20"/>
          <w:szCs w:val="20"/>
        </w:rPr>
        <w:t>cc</w:t>
      </w:r>
      <w:r w:rsidR="00D04220" w:rsidRPr="00261E7D">
        <w:rPr>
          <w:rFonts w:ascii="Times New Roman" w:hAnsi="Times New Roman" w:cs="Times New Roman"/>
          <w:bCs/>
          <w:color w:val="000000" w:themeColor="text1"/>
          <w:sz w:val="20"/>
          <w:szCs w:val="20"/>
        </w:rPr>
        <w:t xml:space="preserve">RCC </w:t>
      </w:r>
      <w:r w:rsidRPr="00261E7D">
        <w:rPr>
          <w:rFonts w:ascii="Times New Roman" w:hAnsi="Times New Roman" w:cs="Times New Roman"/>
          <w:bCs/>
          <w:color w:val="000000" w:themeColor="text1"/>
          <w:sz w:val="20"/>
          <w:szCs w:val="20"/>
        </w:rPr>
        <w:t xml:space="preserve">were identified by two experienced radiologists. The internal area of the tumor (IAT) encompasses the entire tumor volume, delineated layer by layer along its border. Previous research [1], has demonstrated that a 5mm region surrounding the tumor can provide valuable insights into the heterogeneity of </w:t>
      </w:r>
      <w:r w:rsidR="00D04220" w:rsidRPr="00261E7D">
        <w:rPr>
          <w:rFonts w:ascii="Times New Roman" w:hAnsi="Times New Roman" w:cs="Times New Roman"/>
          <w:bCs/>
          <w:color w:val="000000" w:themeColor="text1"/>
          <w:sz w:val="20"/>
          <w:szCs w:val="20"/>
        </w:rPr>
        <w:t>ccRCC</w:t>
      </w:r>
      <w:r w:rsidRPr="00261E7D">
        <w:rPr>
          <w:rFonts w:ascii="Times New Roman" w:hAnsi="Times New Roman" w:cs="Times New Roman"/>
          <w:bCs/>
          <w:color w:val="000000" w:themeColor="text1"/>
          <w:sz w:val="20"/>
          <w:szCs w:val="20"/>
        </w:rPr>
        <w:t>. In accordance with this study, the peritumoral ROIs were obtained by uniformly automatedly expanding the IAT, resulting in the acquisition of the intratumoral and peritumoral area of the tumor (IPAT), which included both the IPAT 3mm and IPAT 5mm regions. The primary advantage of this automatic process is the reduction of manual intervention in PAT segmentation, thereby ensuring consistency and reproducibility. However, expanding the ROI by 3 mm or 5 mm from the tumor's inner boundary may lead to the ROI extending beyond the abdominal wall or encroaching into areas outside the abdominal cavity in the case of larger tumors. Consequently, following the automatic delineation process, it is essential to review and manually adjust the ROI area that extends beyond the abdominal wall, ensuring that it remains confined within the abdominal cavity.</w:t>
      </w:r>
    </w:p>
    <w:p w:rsidR="00525FB2" w:rsidRPr="00261E7D" w:rsidRDefault="00525FB2" w:rsidP="00082DE4">
      <w:pPr>
        <w:rPr>
          <w:rFonts w:ascii="Times New Roman" w:hAnsi="Times New Roman" w:cs="Times New Roman"/>
          <w:bCs/>
          <w:color w:val="000000" w:themeColor="text1"/>
          <w:sz w:val="20"/>
          <w:szCs w:val="20"/>
        </w:rPr>
      </w:pPr>
    </w:p>
    <w:p w:rsidR="00525FB2" w:rsidRPr="00261E7D" w:rsidRDefault="00525FB2" w:rsidP="00082DE4">
      <w:pPr>
        <w:rPr>
          <w:rFonts w:ascii="Times New Roman" w:hAnsi="Times New Roman" w:cs="Times New Roman"/>
          <w:bCs/>
          <w:color w:val="000000" w:themeColor="text1"/>
          <w:sz w:val="20"/>
          <w:szCs w:val="20"/>
        </w:rPr>
      </w:pPr>
      <w:r w:rsidRPr="00261E7D">
        <w:rPr>
          <w:rFonts w:ascii="Times New Roman" w:hAnsi="Times New Roman" w:cs="Times New Roman"/>
          <w:bCs/>
          <w:color w:val="000000" w:themeColor="text1"/>
          <w:sz w:val="20"/>
          <w:szCs w:val="20"/>
        </w:rPr>
        <w:t>Reference</w:t>
      </w:r>
    </w:p>
    <w:p w:rsidR="00525FB2" w:rsidRPr="00261E7D" w:rsidRDefault="00525FB2" w:rsidP="00525FB2">
      <w:pPr>
        <w:pStyle w:val="EndNoteBibliography"/>
        <w:jc w:val="both"/>
        <w:rPr>
          <w:rFonts w:ascii="Times New Roman" w:eastAsiaTheme="minorEastAsia" w:hAnsi="Times New Roman" w:cs="Times New Roman"/>
          <w:bCs/>
          <w:color w:val="000000" w:themeColor="text1"/>
          <w:kern w:val="2"/>
          <w:szCs w:val="20"/>
        </w:rPr>
      </w:pPr>
      <w:r w:rsidRPr="00261E7D">
        <w:rPr>
          <w:rFonts w:ascii="Times New Roman" w:eastAsiaTheme="minorEastAsia" w:hAnsi="Times New Roman" w:cs="Times New Roman"/>
          <w:bCs/>
          <w:color w:val="000000" w:themeColor="text1"/>
          <w:kern w:val="2"/>
          <w:szCs w:val="20"/>
        </w:rPr>
        <w:t>1. Zhou Z, Qian X, Hu J, et al. CT-based peritumoral radiomics signatures for malignancy grading of clear cell renal cell carcinoma. Abdom Radiol (NY) 2021;46(6): 2690-2698.</w:t>
      </w:r>
    </w:p>
    <w:p w:rsidR="00B763A8" w:rsidRPr="00261E7D" w:rsidRDefault="00B763A8" w:rsidP="00082DE4">
      <w:pPr>
        <w:rPr>
          <w:rFonts w:ascii="Times New Roman" w:hAnsi="Times New Roman" w:cs="Times New Roman"/>
          <w:bCs/>
          <w:color w:val="000000" w:themeColor="text1"/>
          <w:sz w:val="20"/>
          <w:szCs w:val="20"/>
        </w:rPr>
      </w:pPr>
    </w:p>
    <w:p w:rsidR="00B763A8" w:rsidRPr="00261E7D" w:rsidRDefault="00B763A8" w:rsidP="00B763A8">
      <w:pPr>
        <w:rPr>
          <w:rFonts w:ascii="Times New Roman" w:hAnsi="Times New Roman" w:cs="Times New Roman"/>
          <w:b/>
          <w:sz w:val="20"/>
          <w:szCs w:val="20"/>
        </w:rPr>
      </w:pPr>
      <w:r w:rsidRPr="00261E7D">
        <w:rPr>
          <w:rFonts w:ascii="Times New Roman" w:hAnsi="Times New Roman" w:cs="Times New Roman"/>
          <w:b/>
          <w:sz w:val="20"/>
          <w:szCs w:val="20"/>
        </w:rPr>
        <w:t>A</w:t>
      </w:r>
      <w:r w:rsidR="00525FB2" w:rsidRPr="00261E7D">
        <w:rPr>
          <w:rFonts w:ascii="Times New Roman" w:hAnsi="Times New Roman" w:cs="Times New Roman"/>
          <w:b/>
          <w:sz w:val="20"/>
          <w:szCs w:val="20"/>
        </w:rPr>
        <w:t>ppendix S3</w:t>
      </w:r>
      <w:r w:rsidR="007D5BCC" w:rsidRPr="00261E7D">
        <w:rPr>
          <w:rFonts w:ascii="Times New Roman" w:hAnsi="Times New Roman" w:cs="Times New Roman"/>
          <w:b/>
          <w:sz w:val="20"/>
          <w:szCs w:val="20"/>
        </w:rPr>
        <w:t>.</w:t>
      </w:r>
      <w:r w:rsidR="007D5BCC" w:rsidRPr="00261E7D">
        <w:rPr>
          <w:rFonts w:ascii="Times New Roman" w:hAnsi="Times New Roman" w:cs="Times New Roman"/>
          <w:sz w:val="20"/>
          <w:szCs w:val="20"/>
        </w:rPr>
        <w:t xml:space="preserve"> </w:t>
      </w:r>
      <w:r w:rsidR="007D5BCC" w:rsidRPr="00261E7D">
        <w:rPr>
          <w:rFonts w:ascii="Times New Roman" w:hAnsi="Times New Roman" w:cs="Times New Roman"/>
          <w:b/>
          <w:sz w:val="20"/>
          <w:szCs w:val="20"/>
        </w:rPr>
        <w:t>The details about the extracted features</w:t>
      </w:r>
    </w:p>
    <w:p w:rsidR="00B763A8" w:rsidRPr="00261E7D" w:rsidRDefault="00B763A8" w:rsidP="00B763A8">
      <w:pPr>
        <w:rPr>
          <w:rFonts w:ascii="Times New Roman" w:hAnsi="Times New Roman" w:cs="Times New Roman"/>
          <w:sz w:val="20"/>
          <w:szCs w:val="20"/>
        </w:rPr>
      </w:pPr>
      <w:r w:rsidRPr="00261E7D">
        <w:rPr>
          <w:rFonts w:ascii="Times New Roman" w:hAnsi="Times New Roman" w:cs="Times New Roman"/>
          <w:sz w:val="20"/>
          <w:szCs w:val="20"/>
        </w:rPr>
        <w:t xml:space="preserve">To obtain more high-throughput features, </w:t>
      </w:r>
      <w:r w:rsidR="007D5BCC" w:rsidRPr="00261E7D">
        <w:rPr>
          <w:rFonts w:ascii="Times New Roman" w:hAnsi="Times New Roman" w:cs="Times New Roman"/>
          <w:sz w:val="20"/>
          <w:szCs w:val="20"/>
        </w:rPr>
        <w:t>Wavelet filter, Laplacian of Gaussian filters (LoG), Square, Logarithm, Square-Root, Gradient Exponential and Local Binary Pattern 2D/3D (LBP)</w:t>
      </w:r>
      <w:r w:rsidRPr="00261E7D">
        <w:rPr>
          <w:rFonts w:ascii="Times New Roman" w:hAnsi="Times New Roman" w:cs="Times New Roman"/>
          <w:sz w:val="20"/>
          <w:szCs w:val="20"/>
        </w:rPr>
        <w:t xml:space="preserve"> ﬁlters were used to transform the normalized CT images. Then, the ﬁrst-order features and texture features, including the gray-level size zone matrix (GLSZM), graylevel co-occurrence matrix (GLCM), neighborhood graytone difference matrix (NGTDM), gray-level dependence matrix (GLDM) and gray-level run length matrix (GLRLM), were extracted from the transformed images. 1834 features were extracted for each type of ROI, and each patient had a total of 3 types of ROI, totaling 5502 features.</w:t>
      </w:r>
    </w:p>
    <w:p w:rsidR="00923C7A" w:rsidRPr="00261E7D" w:rsidRDefault="00923C7A" w:rsidP="00B763A8">
      <w:pPr>
        <w:rPr>
          <w:rFonts w:ascii="Times New Roman" w:hAnsi="Times New Roman" w:cs="Times New Roman"/>
          <w:sz w:val="20"/>
          <w:szCs w:val="20"/>
        </w:rPr>
      </w:pPr>
    </w:p>
    <w:p w:rsidR="00923C7A" w:rsidRPr="00261E7D" w:rsidRDefault="00923C7A" w:rsidP="00B763A8">
      <w:pPr>
        <w:rPr>
          <w:rFonts w:ascii="Times New Roman" w:hAnsi="Times New Roman" w:cs="Times New Roman"/>
          <w:b/>
          <w:sz w:val="20"/>
          <w:szCs w:val="20"/>
        </w:rPr>
      </w:pPr>
      <w:r w:rsidRPr="00261E7D">
        <w:rPr>
          <w:rFonts w:ascii="Times New Roman" w:hAnsi="Times New Roman" w:cs="Times New Roman"/>
          <w:b/>
          <w:sz w:val="20"/>
          <w:szCs w:val="20"/>
        </w:rPr>
        <w:t>Appendix S4.</w:t>
      </w:r>
      <w:r w:rsidR="00261E7D">
        <w:rPr>
          <w:rFonts w:ascii="Times New Roman" w:hAnsi="Times New Roman" w:cs="Times New Roman"/>
          <w:b/>
          <w:sz w:val="20"/>
          <w:szCs w:val="20"/>
        </w:rPr>
        <w:t xml:space="preserve"> </w:t>
      </w:r>
      <w:r w:rsidR="00261E7D" w:rsidRPr="00261E7D">
        <w:rPr>
          <w:rFonts w:ascii="Times New Roman" w:hAnsi="Times New Roman" w:cs="Times New Roman"/>
          <w:b/>
          <w:sz w:val="20"/>
          <w:szCs w:val="20"/>
        </w:rPr>
        <w:t>The details about the SSIGN score</w:t>
      </w:r>
    </w:p>
    <w:p w:rsidR="00B763A8" w:rsidRPr="00261E7D" w:rsidRDefault="00AE24C7" w:rsidP="00B763A8">
      <w:pPr>
        <w:rPr>
          <w:rFonts w:ascii="Times New Roman" w:hAnsi="Times New Roman" w:cs="Times New Roman"/>
          <w:sz w:val="20"/>
          <w:szCs w:val="20"/>
        </w:rPr>
      </w:pPr>
      <w:r w:rsidRPr="00261E7D">
        <w:rPr>
          <w:rFonts w:ascii="Times New Roman" w:hAnsi="Times New Roman" w:cs="Times New Roman"/>
          <w:sz w:val="20"/>
          <w:szCs w:val="20"/>
        </w:rPr>
        <w:t>The SSIGN score was calculated as 1 (pT2 tumors) + 2 (pT3a) + 2 (pT3b, pT3c) + 2 (pN1 and pN2) + 2 (tumor size ≥5 cm) + 1 (grade 3) + 3 (grade 4)</w:t>
      </w:r>
      <w:r w:rsidRPr="00261E7D">
        <w:rPr>
          <w:rFonts w:ascii="Times New Roman" w:hAnsi="Times New Roman" w:cs="Times New Roman" w:hint="eastAsia"/>
          <w:sz w:val="20"/>
          <w:szCs w:val="20"/>
        </w:rPr>
        <w:t xml:space="preserve"> </w:t>
      </w:r>
      <w:r w:rsidRPr="00261E7D">
        <w:rPr>
          <w:rFonts w:ascii="Times New Roman" w:hAnsi="Times New Roman" w:cs="Times New Roman"/>
          <w:sz w:val="20"/>
          <w:szCs w:val="20"/>
        </w:rPr>
        <w:t>+ 2 (necrosis), and 0 otherwise. Patients with 0 to 2 scores are considered low risk, those with 3 to 5 scores are considered intermediate risk, and patients with 6 or more scores are considered high risk [2].</w:t>
      </w:r>
    </w:p>
    <w:p w:rsidR="00AE24C7" w:rsidRPr="00261E7D" w:rsidRDefault="00AE24C7" w:rsidP="00B763A8">
      <w:pPr>
        <w:rPr>
          <w:rFonts w:ascii="Times New Roman" w:hAnsi="Times New Roman" w:cs="Times New Roman"/>
          <w:sz w:val="20"/>
          <w:szCs w:val="20"/>
        </w:rPr>
      </w:pPr>
    </w:p>
    <w:p w:rsidR="00AE24C7" w:rsidRPr="00261E7D" w:rsidRDefault="00AE24C7" w:rsidP="00AE24C7">
      <w:pPr>
        <w:rPr>
          <w:rFonts w:ascii="Times New Roman" w:hAnsi="Times New Roman" w:cs="Times New Roman"/>
          <w:bCs/>
          <w:color w:val="000000" w:themeColor="text1"/>
          <w:sz w:val="20"/>
          <w:szCs w:val="20"/>
        </w:rPr>
      </w:pPr>
      <w:r w:rsidRPr="00261E7D">
        <w:rPr>
          <w:rFonts w:ascii="Times New Roman" w:hAnsi="Times New Roman" w:cs="Times New Roman"/>
          <w:bCs/>
          <w:color w:val="000000" w:themeColor="text1"/>
          <w:sz w:val="20"/>
          <w:szCs w:val="20"/>
        </w:rPr>
        <w:t>Reference</w:t>
      </w:r>
    </w:p>
    <w:p w:rsidR="00AE24C7" w:rsidRPr="00261E7D" w:rsidRDefault="00AE24C7" w:rsidP="00AE24C7">
      <w:pPr>
        <w:rPr>
          <w:rFonts w:ascii="Times New Roman" w:hAnsi="Times New Roman" w:cs="Times New Roman"/>
          <w:bCs/>
          <w:color w:val="000000" w:themeColor="text1"/>
          <w:sz w:val="20"/>
          <w:szCs w:val="20"/>
        </w:rPr>
      </w:pPr>
      <w:r w:rsidRPr="00261E7D">
        <w:rPr>
          <w:rFonts w:ascii="Times New Roman" w:hAnsi="Times New Roman" w:cs="Times New Roman"/>
          <w:bCs/>
          <w:color w:val="000000" w:themeColor="text1"/>
          <w:sz w:val="20"/>
          <w:szCs w:val="20"/>
        </w:rPr>
        <w:t>2.</w:t>
      </w:r>
      <w:r w:rsidRPr="00261E7D">
        <w:rPr>
          <w:sz w:val="20"/>
          <w:szCs w:val="20"/>
        </w:rPr>
        <w:t xml:space="preserve"> </w:t>
      </w:r>
      <w:r w:rsidRPr="00261E7D">
        <w:rPr>
          <w:rFonts w:ascii="Times New Roman" w:hAnsi="Times New Roman" w:cs="Times New Roman"/>
          <w:bCs/>
          <w:color w:val="000000" w:themeColor="text1"/>
          <w:sz w:val="20"/>
          <w:szCs w:val="20"/>
        </w:rPr>
        <w:t>Frank I, Blute ML, Cheville JC, Lohse CM, Weaver AL, Zincke H. An outcome prediction model for patients with clear cell renal cell carcinoma treated with radical nephrectomy based on tumor stage, size, grade and necrosis: the SSIGN score. J Urol. 2002 Dec;168(6):2395-400.</w:t>
      </w:r>
    </w:p>
    <w:p w:rsidR="00AE24C7" w:rsidRPr="00261E7D" w:rsidRDefault="00AE24C7" w:rsidP="00B763A8">
      <w:pPr>
        <w:rPr>
          <w:rFonts w:ascii="Times New Roman" w:hAnsi="Times New Roman" w:cs="Times New Roman"/>
          <w:sz w:val="20"/>
          <w:szCs w:val="20"/>
        </w:rPr>
      </w:pPr>
    </w:p>
    <w:p w:rsidR="00AE24C7" w:rsidRPr="00261E7D" w:rsidRDefault="00AE24C7" w:rsidP="00B763A8">
      <w:pPr>
        <w:rPr>
          <w:rFonts w:ascii="Times New Roman" w:hAnsi="Times New Roman" w:cs="Times New Roman"/>
          <w:b/>
          <w:sz w:val="20"/>
          <w:szCs w:val="20"/>
        </w:rPr>
      </w:pPr>
    </w:p>
    <w:p w:rsidR="00AE24C7" w:rsidRPr="00261E7D" w:rsidRDefault="000851E3" w:rsidP="00B763A8">
      <w:pPr>
        <w:rPr>
          <w:rFonts w:ascii="Times New Roman" w:hAnsi="Times New Roman" w:cs="Times New Roman"/>
          <w:b/>
          <w:sz w:val="20"/>
          <w:szCs w:val="20"/>
        </w:rPr>
      </w:pPr>
      <w:r w:rsidRPr="00261E7D">
        <w:rPr>
          <w:rFonts w:ascii="Times New Roman" w:hAnsi="Times New Roman" w:cs="Times New Roman"/>
          <w:b/>
          <w:sz w:val="20"/>
          <w:szCs w:val="20"/>
        </w:rPr>
        <w:t>A</w:t>
      </w:r>
      <w:r w:rsidR="00923C7A" w:rsidRPr="00261E7D">
        <w:rPr>
          <w:rFonts w:ascii="Times New Roman" w:hAnsi="Times New Roman" w:cs="Times New Roman"/>
          <w:b/>
          <w:sz w:val="20"/>
          <w:szCs w:val="20"/>
        </w:rPr>
        <w:t>ppendix S5</w:t>
      </w:r>
      <w:r w:rsidRPr="00261E7D">
        <w:rPr>
          <w:rFonts w:ascii="Times New Roman" w:hAnsi="Times New Roman" w:cs="Times New Roman"/>
          <w:b/>
          <w:sz w:val="20"/>
          <w:szCs w:val="20"/>
        </w:rPr>
        <w:t>. The specific Radscore formulas for three radiomics models</w:t>
      </w:r>
    </w:p>
    <w:p w:rsidR="008E3666" w:rsidRPr="00261E7D" w:rsidRDefault="006B6E2B" w:rsidP="00AE24C7">
      <w:pPr>
        <w:rPr>
          <w:rFonts w:ascii="Times New Roman" w:hAnsi="Times New Roman" w:cs="Times New Roman"/>
          <w:sz w:val="20"/>
          <w:szCs w:val="20"/>
        </w:rPr>
      </w:pPr>
      <w:r w:rsidRPr="00261E7D">
        <w:rPr>
          <w:rFonts w:ascii="Times New Roman" w:hAnsi="Times New Roman" w:cs="Times New Roman"/>
          <w:sz w:val="20"/>
          <w:szCs w:val="20"/>
        </w:rPr>
        <w:t xml:space="preserve">The formula of IAT model for the Radscore was as follows: </w:t>
      </w:r>
      <w:r w:rsidR="008E3666" w:rsidRPr="00261E7D">
        <w:rPr>
          <w:rFonts w:ascii="Times New Roman" w:hAnsi="Times New Roman" w:cs="Times New Roman"/>
          <w:sz w:val="20"/>
          <w:szCs w:val="20"/>
        </w:rPr>
        <w:t>Radscore=</w:t>
      </w:r>
      <w:r w:rsidR="004918BC" w:rsidRPr="00261E7D">
        <w:rPr>
          <w:rFonts w:ascii="Times New Roman" w:hAnsi="Times New Roman" w:cs="Times New Roman"/>
          <w:sz w:val="20"/>
          <w:szCs w:val="20"/>
        </w:rPr>
        <w:t>0.04576589+exponential_gldm_DependenceNonUniformit</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0.33590635+ lbp_3D_k_glrlm_RunVariance</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0.09023009+lbp_3D_k_ngtdm_Busyness</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0.03811079+lbp_3D_m1_glrlm_LongRunLowGrayLevelEmphasis</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0.16156474+original_shape_MajorAxisLength</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0.22560263</w:t>
      </w:r>
      <w:r w:rsidRPr="00261E7D">
        <w:rPr>
          <w:rFonts w:ascii="Times New Roman" w:hAnsi="Times New Roman" w:cs="Times New Roman"/>
          <w:sz w:val="20"/>
          <w:szCs w:val="20"/>
        </w:rPr>
        <w:t>.</w:t>
      </w:r>
      <w:r w:rsidR="00EF6A7A" w:rsidRPr="00261E7D">
        <w:rPr>
          <w:rFonts w:ascii="Times New Roman" w:hAnsi="Times New Roman" w:cs="Times New Roman"/>
          <w:sz w:val="20"/>
          <w:szCs w:val="20"/>
        </w:rPr>
        <w:br/>
      </w:r>
    </w:p>
    <w:p w:rsidR="004918BC" w:rsidRPr="00261E7D" w:rsidRDefault="00F4360A" w:rsidP="00AE24C7">
      <w:pPr>
        <w:rPr>
          <w:rFonts w:ascii="Times New Roman" w:hAnsi="Times New Roman" w:cs="Times New Roman"/>
          <w:sz w:val="20"/>
          <w:szCs w:val="20"/>
        </w:rPr>
      </w:pPr>
      <w:r w:rsidRPr="00261E7D">
        <w:rPr>
          <w:rFonts w:ascii="Times New Roman" w:hAnsi="Times New Roman" w:cs="Times New Roman"/>
          <w:sz w:val="20"/>
          <w:szCs w:val="20"/>
        </w:rPr>
        <w:t xml:space="preserve">The formula of IPAT 3mm model for the Radscore was as follows: </w:t>
      </w:r>
      <w:r w:rsidR="004918BC" w:rsidRPr="00261E7D">
        <w:rPr>
          <w:rFonts w:ascii="Times New Roman" w:hAnsi="Times New Roman" w:cs="Times New Roman"/>
          <w:sz w:val="20"/>
          <w:szCs w:val="20"/>
        </w:rPr>
        <w:t>Radscore= 0.04841142+exponential_gldm_DependenceNonUniformity</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0.09702256+lbp_3D_k_glrlm_RunVariance</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0.38726206+lbp_3D_m2_glszm_SizeZoneNonUniformity</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0.02218369+log_sigma_3_0_mm_3D_ngtdm_Busyness</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0.06583922+original_shape_MajorAxisLength</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0.18444013</w:t>
      </w:r>
      <w:r w:rsidR="006B6E2B" w:rsidRPr="00261E7D">
        <w:rPr>
          <w:rFonts w:ascii="Times New Roman" w:hAnsi="Times New Roman" w:cs="Times New Roman"/>
          <w:sz w:val="20"/>
          <w:szCs w:val="20"/>
        </w:rPr>
        <w:t>.</w:t>
      </w:r>
    </w:p>
    <w:p w:rsidR="00EF6A7A" w:rsidRPr="00261E7D" w:rsidRDefault="00EF6A7A" w:rsidP="00AE24C7">
      <w:pPr>
        <w:rPr>
          <w:rFonts w:ascii="Times New Roman" w:hAnsi="Times New Roman" w:cs="Times New Roman"/>
          <w:sz w:val="20"/>
          <w:szCs w:val="20"/>
        </w:rPr>
      </w:pPr>
    </w:p>
    <w:p w:rsidR="004918BC" w:rsidRPr="00261E7D" w:rsidRDefault="00F4360A" w:rsidP="00AE24C7">
      <w:pPr>
        <w:rPr>
          <w:rFonts w:ascii="Times New Roman" w:hAnsi="Times New Roman" w:cs="Times New Roman"/>
          <w:sz w:val="20"/>
          <w:szCs w:val="20"/>
        </w:rPr>
      </w:pPr>
      <w:r w:rsidRPr="00261E7D">
        <w:rPr>
          <w:rFonts w:ascii="Times New Roman" w:hAnsi="Times New Roman" w:cs="Times New Roman"/>
          <w:sz w:val="20"/>
          <w:szCs w:val="20"/>
        </w:rPr>
        <w:t xml:space="preserve">The formula of IPAT 5mm model for the Radscore was as follows: </w:t>
      </w:r>
      <w:r w:rsidR="004918BC" w:rsidRPr="00261E7D">
        <w:rPr>
          <w:rFonts w:ascii="Times New Roman" w:hAnsi="Times New Roman" w:cs="Times New Roman"/>
          <w:sz w:val="20"/>
          <w:szCs w:val="20"/>
        </w:rPr>
        <w:t>Radscore=0.04791017+exponential_gldm_DependenceNonUniformity</w:t>
      </w:r>
      <w:r w:rsidR="008E3666" w:rsidRPr="00261E7D">
        <w:rPr>
          <w:rFonts w:ascii="Times New Roman" w:hAnsi="Times New Roman" w:cs="Times New Roman"/>
          <w:sz w:val="20"/>
          <w:szCs w:val="20"/>
        </w:rPr>
        <w:t>×</w:t>
      </w:r>
      <w:r w:rsidR="004918BC" w:rsidRPr="00261E7D">
        <w:rPr>
          <w:rFonts w:ascii="Times New Roman" w:hAnsi="Times New Roman" w:cs="Times New Roman"/>
          <w:sz w:val="20"/>
          <w:szCs w:val="20"/>
        </w:rPr>
        <w:t>0.05497542+</w:t>
      </w:r>
    </w:p>
    <w:p w:rsidR="004918BC" w:rsidRPr="00261E7D" w:rsidRDefault="004918BC" w:rsidP="00AE24C7">
      <w:pPr>
        <w:rPr>
          <w:rFonts w:ascii="Times New Roman" w:hAnsi="Times New Roman" w:cs="Times New Roman"/>
          <w:sz w:val="20"/>
          <w:szCs w:val="20"/>
        </w:rPr>
      </w:pPr>
      <w:r w:rsidRPr="00261E7D">
        <w:rPr>
          <w:rFonts w:ascii="Times New Roman" w:hAnsi="Times New Roman" w:cs="Times New Roman"/>
          <w:sz w:val="20"/>
          <w:szCs w:val="20"/>
        </w:rPr>
        <w:t>lbp_3D_k_glrlm_LongRunHighGrayLevelEmphasis</w:t>
      </w:r>
      <w:r w:rsidR="008E3666" w:rsidRPr="00261E7D">
        <w:rPr>
          <w:rFonts w:ascii="Times New Roman" w:hAnsi="Times New Roman" w:cs="Times New Roman"/>
          <w:sz w:val="20"/>
          <w:szCs w:val="20"/>
        </w:rPr>
        <w:t>×</w:t>
      </w:r>
      <w:r w:rsidRPr="00261E7D">
        <w:rPr>
          <w:rFonts w:ascii="Times New Roman" w:hAnsi="Times New Roman" w:cs="Times New Roman"/>
          <w:sz w:val="20"/>
          <w:szCs w:val="20"/>
        </w:rPr>
        <w:t>0.10541232+lbp_3D_k_glrlm_RunVariance</w:t>
      </w:r>
      <w:r w:rsidR="008E3666" w:rsidRPr="00261E7D">
        <w:rPr>
          <w:rFonts w:ascii="Times New Roman" w:hAnsi="Times New Roman" w:cs="Times New Roman"/>
          <w:sz w:val="20"/>
          <w:szCs w:val="20"/>
        </w:rPr>
        <w:t>×</w:t>
      </w:r>
      <w:r w:rsidRPr="00261E7D">
        <w:rPr>
          <w:rFonts w:ascii="Times New Roman" w:hAnsi="Times New Roman" w:cs="Times New Roman"/>
          <w:sz w:val="20"/>
          <w:szCs w:val="20"/>
        </w:rPr>
        <w:t>0.35393983+log_sigma_3_0_mm_3D_ngtdm_Busyness</w:t>
      </w:r>
      <w:r w:rsidR="008E3666" w:rsidRPr="00261E7D">
        <w:rPr>
          <w:rFonts w:ascii="Times New Roman" w:hAnsi="Times New Roman" w:cs="Times New Roman"/>
          <w:sz w:val="20"/>
          <w:szCs w:val="20"/>
        </w:rPr>
        <w:t>×</w:t>
      </w:r>
      <w:r w:rsidRPr="00261E7D">
        <w:rPr>
          <w:rFonts w:ascii="Times New Roman" w:hAnsi="Times New Roman" w:cs="Times New Roman"/>
          <w:sz w:val="20"/>
          <w:szCs w:val="20"/>
        </w:rPr>
        <w:t>0.12757719+</w:t>
      </w:r>
    </w:p>
    <w:p w:rsidR="004918BC" w:rsidRPr="00261E7D" w:rsidRDefault="004918BC" w:rsidP="00AE24C7">
      <w:pPr>
        <w:rPr>
          <w:rFonts w:ascii="Times New Roman" w:hAnsi="Times New Roman" w:cs="Times New Roman"/>
          <w:sz w:val="20"/>
          <w:szCs w:val="20"/>
        </w:rPr>
      </w:pPr>
      <w:r w:rsidRPr="00261E7D">
        <w:rPr>
          <w:rFonts w:ascii="Times New Roman" w:hAnsi="Times New Roman" w:cs="Times New Roman"/>
          <w:sz w:val="20"/>
          <w:szCs w:val="20"/>
        </w:rPr>
        <w:t>original_shape_MajorAxisLength</w:t>
      </w:r>
      <w:r w:rsidR="008E3666" w:rsidRPr="00261E7D">
        <w:rPr>
          <w:rFonts w:ascii="Times New Roman" w:hAnsi="Times New Roman" w:cs="Times New Roman"/>
          <w:sz w:val="20"/>
          <w:szCs w:val="20"/>
        </w:rPr>
        <w:t>×</w:t>
      </w:r>
      <w:r w:rsidRPr="00261E7D">
        <w:rPr>
          <w:rFonts w:ascii="Times New Roman" w:hAnsi="Times New Roman" w:cs="Times New Roman"/>
          <w:sz w:val="20"/>
          <w:szCs w:val="20"/>
        </w:rPr>
        <w:t>0.03402695+original_shape_Maximum2DDiameterRow</w:t>
      </w:r>
      <w:r w:rsidR="008E3666" w:rsidRPr="00261E7D">
        <w:rPr>
          <w:rFonts w:ascii="Times New Roman" w:hAnsi="Times New Roman" w:cs="Times New Roman"/>
          <w:sz w:val="20"/>
          <w:szCs w:val="20"/>
        </w:rPr>
        <w:t>×</w:t>
      </w:r>
      <w:r w:rsidRPr="00261E7D">
        <w:rPr>
          <w:rFonts w:ascii="Times New Roman" w:hAnsi="Times New Roman" w:cs="Times New Roman"/>
          <w:sz w:val="20"/>
          <w:szCs w:val="20"/>
        </w:rPr>
        <w:t>0.09121462</w:t>
      </w:r>
    </w:p>
    <w:p w:rsidR="004918BC" w:rsidRPr="006B6E2B" w:rsidRDefault="004918BC" w:rsidP="00B763A8">
      <w:pPr>
        <w:rPr>
          <w:rFonts w:ascii="Times New Roman" w:hAnsi="Times New Roman" w:cs="Times New Roman"/>
          <w:sz w:val="24"/>
        </w:rPr>
      </w:pPr>
    </w:p>
    <w:p w:rsidR="004918BC" w:rsidRPr="00B763A8" w:rsidRDefault="004918BC" w:rsidP="00B763A8">
      <w:pPr>
        <w:rPr>
          <w:rFonts w:ascii="Times New Roman" w:hAnsi="Times New Roman" w:cs="Times New Roman"/>
          <w:b/>
          <w:sz w:val="24"/>
        </w:rPr>
      </w:pPr>
    </w:p>
    <w:p w:rsidR="00970741" w:rsidRDefault="00970741">
      <w:pPr>
        <w:widowControl/>
        <w:jc w:val="left"/>
        <w:rPr>
          <w:rFonts w:ascii="Times New Roman" w:hAnsi="Times New Roman" w:cs="Times New Roman"/>
          <w:b/>
          <w:sz w:val="24"/>
        </w:rPr>
      </w:pPr>
      <w:r>
        <w:rPr>
          <w:rFonts w:ascii="Times New Roman" w:hAnsi="Times New Roman" w:cs="Times New Roman"/>
          <w:b/>
          <w:sz w:val="24"/>
        </w:rPr>
        <w:br w:type="page"/>
      </w:r>
    </w:p>
    <w:p w:rsidR="00715CBF" w:rsidRPr="00261E7D" w:rsidRDefault="00715CBF" w:rsidP="00715CBF">
      <w:pPr>
        <w:widowControl/>
        <w:jc w:val="left"/>
        <w:rPr>
          <w:rFonts w:ascii="Times New Roman" w:hAnsi="Times New Roman" w:cs="Times New Roman"/>
          <w:sz w:val="16"/>
          <w:szCs w:val="16"/>
        </w:rPr>
      </w:pPr>
      <w:r w:rsidRPr="00261E7D">
        <w:rPr>
          <w:rFonts w:ascii="Times New Roman" w:hAnsi="Times New Roman" w:cs="Times New Roman"/>
          <w:b/>
          <w:sz w:val="16"/>
          <w:szCs w:val="16"/>
        </w:rPr>
        <w:lastRenderedPageBreak/>
        <w:t>T</w:t>
      </w:r>
      <w:r w:rsidR="007F4C0B" w:rsidRPr="00261E7D">
        <w:rPr>
          <w:rFonts w:ascii="Times New Roman" w:hAnsi="Times New Roman" w:cs="Times New Roman"/>
          <w:b/>
          <w:sz w:val="16"/>
          <w:szCs w:val="16"/>
        </w:rPr>
        <w:t>able S1</w:t>
      </w:r>
      <w:r w:rsidRPr="00261E7D">
        <w:rPr>
          <w:rFonts w:ascii="Times New Roman" w:hAnsi="Times New Roman" w:cs="Times New Roman"/>
          <w:b/>
          <w:sz w:val="16"/>
          <w:szCs w:val="16"/>
        </w:rPr>
        <w:t xml:space="preserve">. </w:t>
      </w:r>
      <w:r w:rsidRPr="00261E7D">
        <w:rPr>
          <w:rFonts w:ascii="Times New Roman" w:hAnsi="Times New Roman" w:cs="Times New Roman"/>
          <w:sz w:val="16"/>
          <w:szCs w:val="16"/>
        </w:rPr>
        <w:t>The Comparison of different Radiomics model performance.</w:t>
      </w:r>
    </w:p>
    <w:tbl>
      <w:tblPr>
        <w:tblStyle w:val="a3"/>
        <w:tblW w:w="90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616"/>
        <w:gridCol w:w="688"/>
        <w:gridCol w:w="628"/>
        <w:gridCol w:w="415"/>
        <w:gridCol w:w="618"/>
        <w:gridCol w:w="704"/>
        <w:gridCol w:w="609"/>
        <w:gridCol w:w="583"/>
        <w:gridCol w:w="720"/>
        <w:gridCol w:w="750"/>
        <w:gridCol w:w="720"/>
        <w:gridCol w:w="720"/>
      </w:tblGrid>
      <w:tr w:rsidR="00715CBF" w:rsidRPr="00261E7D" w:rsidTr="002438DD">
        <w:trPr>
          <w:gridAfter w:val="1"/>
          <w:wAfter w:w="720" w:type="dxa"/>
        </w:trPr>
        <w:tc>
          <w:tcPr>
            <w:tcW w:w="1249" w:type="dxa"/>
            <w:tcBorders>
              <w:top w:val="single" w:sz="4" w:space="0" w:color="auto"/>
              <w:bottom w:val="single" w:sz="4" w:space="0" w:color="auto"/>
            </w:tcBorders>
          </w:tcPr>
          <w:p w:rsidR="00715CBF" w:rsidRPr="00261E7D" w:rsidRDefault="00715CBF" w:rsidP="002438DD">
            <w:pPr>
              <w:widowControl/>
              <w:jc w:val="left"/>
              <w:rPr>
                <w:sz w:val="16"/>
                <w:szCs w:val="16"/>
              </w:rPr>
            </w:pPr>
          </w:p>
        </w:tc>
        <w:tc>
          <w:tcPr>
            <w:tcW w:w="1932" w:type="dxa"/>
            <w:gridSpan w:val="3"/>
            <w:tcBorders>
              <w:top w:val="single" w:sz="4" w:space="0" w:color="auto"/>
              <w:bottom w:val="single" w:sz="4" w:space="0" w:color="auto"/>
            </w:tcBorders>
          </w:tcPr>
          <w:p w:rsidR="00715CBF" w:rsidRPr="00261E7D" w:rsidRDefault="00715CBF" w:rsidP="002438DD">
            <w:pPr>
              <w:tabs>
                <w:tab w:val="left" w:pos="6215"/>
              </w:tabs>
              <w:rPr>
                <w:sz w:val="16"/>
                <w:szCs w:val="16"/>
              </w:rPr>
            </w:pPr>
            <w:r w:rsidRPr="00261E7D">
              <w:rPr>
                <w:sz w:val="16"/>
                <w:szCs w:val="16"/>
              </w:rPr>
              <w:t>Training Set</w:t>
            </w:r>
          </w:p>
        </w:tc>
        <w:tc>
          <w:tcPr>
            <w:tcW w:w="415" w:type="dxa"/>
            <w:tcBorders>
              <w:top w:val="single" w:sz="4" w:space="0" w:color="auto"/>
              <w:bottom w:val="nil"/>
            </w:tcBorders>
          </w:tcPr>
          <w:p w:rsidR="00715CBF" w:rsidRPr="00261E7D" w:rsidRDefault="00715CBF" w:rsidP="002438DD">
            <w:pPr>
              <w:widowControl/>
              <w:jc w:val="left"/>
              <w:rPr>
                <w:sz w:val="16"/>
                <w:szCs w:val="16"/>
              </w:rPr>
            </w:pPr>
          </w:p>
        </w:tc>
        <w:tc>
          <w:tcPr>
            <w:tcW w:w="1931" w:type="dxa"/>
            <w:gridSpan w:val="3"/>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Internal validation Set</w:t>
            </w:r>
          </w:p>
        </w:tc>
        <w:tc>
          <w:tcPr>
            <w:tcW w:w="583" w:type="dxa"/>
            <w:tcBorders>
              <w:top w:val="single" w:sz="4" w:space="0" w:color="auto"/>
              <w:bottom w:val="nil"/>
            </w:tcBorders>
          </w:tcPr>
          <w:p w:rsidR="00715CBF" w:rsidRPr="00261E7D" w:rsidRDefault="00715CBF" w:rsidP="002438DD">
            <w:pPr>
              <w:widowControl/>
              <w:jc w:val="left"/>
              <w:rPr>
                <w:sz w:val="16"/>
                <w:szCs w:val="16"/>
              </w:rPr>
            </w:pPr>
          </w:p>
        </w:tc>
        <w:tc>
          <w:tcPr>
            <w:tcW w:w="2190" w:type="dxa"/>
            <w:gridSpan w:val="3"/>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External validation Set</w:t>
            </w:r>
          </w:p>
        </w:tc>
      </w:tr>
      <w:tr w:rsidR="00715CBF" w:rsidRPr="00261E7D" w:rsidTr="002438DD">
        <w:trPr>
          <w:gridAfter w:val="1"/>
          <w:wAfter w:w="720" w:type="dxa"/>
        </w:trPr>
        <w:tc>
          <w:tcPr>
            <w:tcW w:w="1249"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Model</w:t>
            </w:r>
          </w:p>
        </w:tc>
        <w:tc>
          <w:tcPr>
            <w:tcW w:w="616"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C-index</w:t>
            </w:r>
          </w:p>
        </w:tc>
        <w:tc>
          <w:tcPr>
            <w:tcW w:w="688"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95% CI</w:t>
            </w:r>
          </w:p>
        </w:tc>
        <w:tc>
          <w:tcPr>
            <w:tcW w:w="628"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P value</w:t>
            </w:r>
          </w:p>
        </w:tc>
        <w:tc>
          <w:tcPr>
            <w:tcW w:w="415" w:type="dxa"/>
            <w:tcBorders>
              <w:top w:val="nil"/>
              <w:bottom w:val="nil"/>
            </w:tcBorders>
          </w:tcPr>
          <w:p w:rsidR="00715CBF" w:rsidRPr="00261E7D" w:rsidRDefault="00715CBF" w:rsidP="002438DD">
            <w:pPr>
              <w:widowControl/>
              <w:jc w:val="left"/>
              <w:rPr>
                <w:sz w:val="16"/>
                <w:szCs w:val="16"/>
              </w:rPr>
            </w:pPr>
          </w:p>
        </w:tc>
        <w:tc>
          <w:tcPr>
            <w:tcW w:w="618"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C-index</w:t>
            </w:r>
          </w:p>
        </w:tc>
        <w:tc>
          <w:tcPr>
            <w:tcW w:w="704"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95% CI</w:t>
            </w:r>
          </w:p>
        </w:tc>
        <w:tc>
          <w:tcPr>
            <w:tcW w:w="609"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P value</w:t>
            </w:r>
          </w:p>
        </w:tc>
        <w:tc>
          <w:tcPr>
            <w:tcW w:w="583" w:type="dxa"/>
            <w:tcBorders>
              <w:top w:val="nil"/>
              <w:bottom w:val="nil"/>
            </w:tcBorders>
          </w:tcPr>
          <w:p w:rsidR="00715CBF" w:rsidRPr="00261E7D" w:rsidRDefault="00715CBF" w:rsidP="002438DD">
            <w:pPr>
              <w:widowControl/>
              <w:jc w:val="left"/>
              <w:rPr>
                <w:sz w:val="16"/>
                <w:szCs w:val="16"/>
              </w:rPr>
            </w:pPr>
          </w:p>
        </w:tc>
        <w:tc>
          <w:tcPr>
            <w:tcW w:w="720"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C-index</w:t>
            </w:r>
          </w:p>
        </w:tc>
        <w:tc>
          <w:tcPr>
            <w:tcW w:w="750"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95% CI</w:t>
            </w:r>
          </w:p>
        </w:tc>
        <w:tc>
          <w:tcPr>
            <w:tcW w:w="720" w:type="dxa"/>
            <w:tcBorders>
              <w:top w:val="single" w:sz="4" w:space="0" w:color="auto"/>
              <w:bottom w:val="single" w:sz="4" w:space="0" w:color="auto"/>
            </w:tcBorders>
          </w:tcPr>
          <w:p w:rsidR="00715CBF" w:rsidRPr="00261E7D" w:rsidRDefault="00715CBF" w:rsidP="002438DD">
            <w:pPr>
              <w:widowControl/>
              <w:jc w:val="left"/>
              <w:rPr>
                <w:sz w:val="16"/>
                <w:szCs w:val="16"/>
              </w:rPr>
            </w:pPr>
            <w:r w:rsidRPr="00261E7D">
              <w:rPr>
                <w:sz w:val="16"/>
                <w:szCs w:val="16"/>
              </w:rPr>
              <w:t>P value</w:t>
            </w:r>
          </w:p>
        </w:tc>
      </w:tr>
      <w:tr w:rsidR="00715CBF" w:rsidRPr="00261E7D" w:rsidTr="002438DD">
        <w:tc>
          <w:tcPr>
            <w:tcW w:w="1249" w:type="dxa"/>
            <w:tcBorders>
              <w:top w:val="single" w:sz="4" w:space="0" w:color="auto"/>
            </w:tcBorders>
          </w:tcPr>
          <w:p w:rsidR="00715CBF" w:rsidRPr="00261E7D" w:rsidRDefault="00715CBF" w:rsidP="002438DD">
            <w:pPr>
              <w:widowControl/>
              <w:jc w:val="left"/>
              <w:rPr>
                <w:sz w:val="16"/>
                <w:szCs w:val="16"/>
              </w:rPr>
            </w:pPr>
            <w:r w:rsidRPr="00261E7D">
              <w:rPr>
                <w:sz w:val="16"/>
                <w:szCs w:val="16"/>
              </w:rPr>
              <w:t>IPAT 5mm</w:t>
            </w:r>
          </w:p>
        </w:tc>
        <w:tc>
          <w:tcPr>
            <w:tcW w:w="616" w:type="dxa"/>
            <w:tcBorders>
              <w:top w:val="single" w:sz="4" w:space="0" w:color="auto"/>
            </w:tcBorders>
          </w:tcPr>
          <w:p w:rsidR="00715CBF" w:rsidRPr="00261E7D" w:rsidRDefault="00715CBF" w:rsidP="002438DD">
            <w:pPr>
              <w:widowControl/>
              <w:jc w:val="left"/>
              <w:rPr>
                <w:sz w:val="16"/>
                <w:szCs w:val="16"/>
              </w:rPr>
            </w:pPr>
            <w:r w:rsidRPr="00261E7D">
              <w:rPr>
                <w:sz w:val="16"/>
                <w:szCs w:val="16"/>
              </w:rPr>
              <w:t>0.799</w:t>
            </w:r>
          </w:p>
        </w:tc>
        <w:tc>
          <w:tcPr>
            <w:tcW w:w="688" w:type="dxa"/>
            <w:tcBorders>
              <w:top w:val="single" w:sz="4" w:space="0" w:color="auto"/>
            </w:tcBorders>
          </w:tcPr>
          <w:p w:rsidR="00715CBF" w:rsidRPr="00261E7D" w:rsidRDefault="00715CBF" w:rsidP="002438DD">
            <w:pPr>
              <w:widowControl/>
              <w:jc w:val="left"/>
              <w:rPr>
                <w:sz w:val="16"/>
                <w:szCs w:val="16"/>
              </w:rPr>
            </w:pPr>
            <w:r w:rsidRPr="00261E7D">
              <w:rPr>
                <w:sz w:val="16"/>
                <w:szCs w:val="16"/>
              </w:rPr>
              <w:t>0.720-0.878</w:t>
            </w:r>
          </w:p>
        </w:tc>
        <w:tc>
          <w:tcPr>
            <w:tcW w:w="628" w:type="dxa"/>
            <w:tcBorders>
              <w:top w:val="single" w:sz="4" w:space="0" w:color="auto"/>
            </w:tcBorders>
          </w:tcPr>
          <w:p w:rsidR="00715CBF" w:rsidRPr="00261E7D" w:rsidRDefault="00715CBF" w:rsidP="002438DD">
            <w:pPr>
              <w:widowControl/>
              <w:jc w:val="left"/>
              <w:rPr>
                <w:sz w:val="16"/>
                <w:szCs w:val="16"/>
              </w:rPr>
            </w:pPr>
            <w:r w:rsidRPr="00261E7D">
              <w:rPr>
                <w:sz w:val="16"/>
                <w:szCs w:val="16"/>
              </w:rPr>
              <w:t>-</w:t>
            </w:r>
          </w:p>
        </w:tc>
        <w:tc>
          <w:tcPr>
            <w:tcW w:w="415" w:type="dxa"/>
            <w:tcBorders>
              <w:top w:val="nil"/>
              <w:bottom w:val="nil"/>
            </w:tcBorders>
          </w:tcPr>
          <w:p w:rsidR="00715CBF" w:rsidRPr="00261E7D" w:rsidRDefault="00715CBF" w:rsidP="002438DD">
            <w:pPr>
              <w:widowControl/>
              <w:jc w:val="left"/>
              <w:rPr>
                <w:sz w:val="16"/>
                <w:szCs w:val="16"/>
              </w:rPr>
            </w:pPr>
          </w:p>
        </w:tc>
        <w:tc>
          <w:tcPr>
            <w:tcW w:w="618" w:type="dxa"/>
            <w:tcBorders>
              <w:top w:val="single" w:sz="4" w:space="0" w:color="auto"/>
            </w:tcBorders>
          </w:tcPr>
          <w:p w:rsidR="00715CBF" w:rsidRPr="00261E7D" w:rsidRDefault="00715CBF" w:rsidP="002438DD">
            <w:pPr>
              <w:widowControl/>
              <w:jc w:val="left"/>
              <w:rPr>
                <w:sz w:val="16"/>
                <w:szCs w:val="16"/>
              </w:rPr>
            </w:pPr>
            <w:r w:rsidRPr="00261E7D">
              <w:rPr>
                <w:sz w:val="16"/>
                <w:szCs w:val="16"/>
              </w:rPr>
              <w:t>0.924</w:t>
            </w:r>
          </w:p>
        </w:tc>
        <w:tc>
          <w:tcPr>
            <w:tcW w:w="704" w:type="dxa"/>
            <w:tcBorders>
              <w:top w:val="single" w:sz="4" w:space="0" w:color="auto"/>
            </w:tcBorders>
          </w:tcPr>
          <w:p w:rsidR="00715CBF" w:rsidRPr="00261E7D" w:rsidRDefault="00715CBF" w:rsidP="002438DD">
            <w:pPr>
              <w:widowControl/>
              <w:jc w:val="left"/>
              <w:rPr>
                <w:sz w:val="16"/>
                <w:szCs w:val="16"/>
              </w:rPr>
            </w:pPr>
            <w:r w:rsidRPr="00261E7D">
              <w:rPr>
                <w:sz w:val="16"/>
                <w:szCs w:val="16"/>
              </w:rPr>
              <w:t>0.878-0.969</w:t>
            </w:r>
          </w:p>
        </w:tc>
        <w:tc>
          <w:tcPr>
            <w:tcW w:w="609" w:type="dxa"/>
            <w:tcBorders>
              <w:top w:val="single" w:sz="4" w:space="0" w:color="auto"/>
            </w:tcBorders>
          </w:tcPr>
          <w:p w:rsidR="00715CBF" w:rsidRPr="00261E7D" w:rsidRDefault="00715CBF" w:rsidP="002438DD">
            <w:pPr>
              <w:widowControl/>
              <w:jc w:val="left"/>
              <w:rPr>
                <w:sz w:val="16"/>
                <w:szCs w:val="16"/>
              </w:rPr>
            </w:pPr>
            <w:r w:rsidRPr="00261E7D">
              <w:rPr>
                <w:sz w:val="16"/>
                <w:szCs w:val="16"/>
              </w:rPr>
              <w:t>-</w:t>
            </w:r>
          </w:p>
        </w:tc>
        <w:tc>
          <w:tcPr>
            <w:tcW w:w="583" w:type="dxa"/>
            <w:tcBorders>
              <w:top w:val="nil"/>
              <w:bottom w:val="nil"/>
            </w:tcBorders>
          </w:tcPr>
          <w:p w:rsidR="00715CBF" w:rsidRPr="00261E7D" w:rsidRDefault="00715CBF" w:rsidP="002438DD">
            <w:pPr>
              <w:widowControl/>
              <w:jc w:val="left"/>
              <w:rPr>
                <w:sz w:val="16"/>
                <w:szCs w:val="16"/>
              </w:rPr>
            </w:pPr>
          </w:p>
        </w:tc>
        <w:tc>
          <w:tcPr>
            <w:tcW w:w="720" w:type="dxa"/>
            <w:tcBorders>
              <w:top w:val="single" w:sz="4" w:space="0" w:color="auto"/>
            </w:tcBorders>
          </w:tcPr>
          <w:p w:rsidR="00715CBF" w:rsidRPr="00261E7D" w:rsidRDefault="00715CBF" w:rsidP="002438DD">
            <w:pPr>
              <w:widowControl/>
              <w:jc w:val="left"/>
              <w:rPr>
                <w:sz w:val="16"/>
                <w:szCs w:val="16"/>
              </w:rPr>
            </w:pPr>
            <w:r w:rsidRPr="00261E7D">
              <w:rPr>
                <w:sz w:val="16"/>
                <w:szCs w:val="16"/>
              </w:rPr>
              <w:t>0.952</w:t>
            </w:r>
          </w:p>
        </w:tc>
        <w:tc>
          <w:tcPr>
            <w:tcW w:w="750" w:type="dxa"/>
            <w:tcBorders>
              <w:top w:val="single" w:sz="4" w:space="0" w:color="auto"/>
            </w:tcBorders>
          </w:tcPr>
          <w:p w:rsidR="00715CBF" w:rsidRPr="00261E7D" w:rsidRDefault="00715CBF" w:rsidP="002438DD">
            <w:pPr>
              <w:widowControl/>
              <w:jc w:val="left"/>
              <w:rPr>
                <w:sz w:val="16"/>
                <w:szCs w:val="16"/>
              </w:rPr>
            </w:pPr>
            <w:r w:rsidRPr="00261E7D">
              <w:rPr>
                <w:sz w:val="16"/>
                <w:szCs w:val="16"/>
              </w:rPr>
              <w:t>0.873-1.033</w:t>
            </w:r>
          </w:p>
        </w:tc>
        <w:tc>
          <w:tcPr>
            <w:tcW w:w="720" w:type="dxa"/>
            <w:tcBorders>
              <w:top w:val="single" w:sz="4" w:space="0" w:color="auto"/>
            </w:tcBorders>
          </w:tcPr>
          <w:p w:rsidR="00715CBF" w:rsidRPr="00261E7D" w:rsidRDefault="00715CBF" w:rsidP="002438DD">
            <w:pPr>
              <w:widowControl/>
              <w:jc w:val="left"/>
              <w:rPr>
                <w:sz w:val="16"/>
                <w:szCs w:val="16"/>
              </w:rPr>
            </w:pPr>
            <w:r w:rsidRPr="00261E7D">
              <w:rPr>
                <w:sz w:val="16"/>
                <w:szCs w:val="16"/>
              </w:rPr>
              <w:t>-</w:t>
            </w:r>
          </w:p>
        </w:tc>
        <w:tc>
          <w:tcPr>
            <w:tcW w:w="720" w:type="dxa"/>
          </w:tcPr>
          <w:p w:rsidR="00715CBF" w:rsidRPr="00261E7D" w:rsidRDefault="00715CBF" w:rsidP="002438DD">
            <w:pPr>
              <w:widowControl/>
              <w:jc w:val="left"/>
              <w:rPr>
                <w:sz w:val="16"/>
                <w:szCs w:val="16"/>
              </w:rPr>
            </w:pPr>
          </w:p>
        </w:tc>
      </w:tr>
      <w:tr w:rsidR="00715CBF" w:rsidRPr="00261E7D" w:rsidTr="002438DD">
        <w:trPr>
          <w:gridAfter w:val="1"/>
          <w:wAfter w:w="720" w:type="dxa"/>
        </w:trPr>
        <w:tc>
          <w:tcPr>
            <w:tcW w:w="1249" w:type="dxa"/>
          </w:tcPr>
          <w:p w:rsidR="00715CBF" w:rsidRPr="00261E7D" w:rsidRDefault="00715CBF" w:rsidP="002438DD">
            <w:pPr>
              <w:widowControl/>
              <w:jc w:val="left"/>
              <w:rPr>
                <w:sz w:val="16"/>
                <w:szCs w:val="16"/>
              </w:rPr>
            </w:pPr>
            <w:r w:rsidRPr="00261E7D">
              <w:rPr>
                <w:sz w:val="16"/>
                <w:szCs w:val="16"/>
              </w:rPr>
              <w:t>IPAT 3mm</w:t>
            </w:r>
          </w:p>
        </w:tc>
        <w:tc>
          <w:tcPr>
            <w:tcW w:w="616" w:type="dxa"/>
          </w:tcPr>
          <w:p w:rsidR="00715CBF" w:rsidRPr="00261E7D" w:rsidRDefault="00715CBF" w:rsidP="002438DD">
            <w:pPr>
              <w:widowControl/>
              <w:jc w:val="left"/>
              <w:rPr>
                <w:sz w:val="16"/>
                <w:szCs w:val="16"/>
              </w:rPr>
            </w:pPr>
            <w:r w:rsidRPr="00261E7D">
              <w:rPr>
                <w:sz w:val="16"/>
                <w:szCs w:val="16"/>
              </w:rPr>
              <w:t>0.801</w:t>
            </w:r>
          </w:p>
        </w:tc>
        <w:tc>
          <w:tcPr>
            <w:tcW w:w="688" w:type="dxa"/>
          </w:tcPr>
          <w:p w:rsidR="00715CBF" w:rsidRPr="00261E7D" w:rsidRDefault="00715CBF" w:rsidP="002438DD">
            <w:pPr>
              <w:widowControl/>
              <w:jc w:val="left"/>
              <w:rPr>
                <w:sz w:val="16"/>
                <w:szCs w:val="16"/>
              </w:rPr>
            </w:pPr>
            <w:r w:rsidRPr="00261E7D">
              <w:rPr>
                <w:sz w:val="16"/>
                <w:szCs w:val="16"/>
              </w:rPr>
              <w:t>0.725-0.878</w:t>
            </w:r>
          </w:p>
        </w:tc>
        <w:tc>
          <w:tcPr>
            <w:tcW w:w="628" w:type="dxa"/>
          </w:tcPr>
          <w:p w:rsidR="00715CBF" w:rsidRPr="00261E7D" w:rsidRDefault="00715CBF" w:rsidP="002438DD">
            <w:pPr>
              <w:widowControl/>
              <w:jc w:val="left"/>
              <w:rPr>
                <w:sz w:val="16"/>
                <w:szCs w:val="16"/>
              </w:rPr>
            </w:pPr>
            <w:r w:rsidRPr="00261E7D">
              <w:rPr>
                <w:sz w:val="16"/>
                <w:szCs w:val="16"/>
              </w:rPr>
              <w:t>0.581</w:t>
            </w:r>
          </w:p>
        </w:tc>
        <w:tc>
          <w:tcPr>
            <w:tcW w:w="415" w:type="dxa"/>
            <w:tcBorders>
              <w:top w:val="nil"/>
              <w:bottom w:val="nil"/>
            </w:tcBorders>
          </w:tcPr>
          <w:p w:rsidR="00715CBF" w:rsidRPr="00261E7D" w:rsidRDefault="00715CBF" w:rsidP="002438DD">
            <w:pPr>
              <w:widowControl/>
              <w:jc w:val="left"/>
              <w:rPr>
                <w:sz w:val="16"/>
                <w:szCs w:val="16"/>
              </w:rPr>
            </w:pPr>
          </w:p>
        </w:tc>
        <w:tc>
          <w:tcPr>
            <w:tcW w:w="618" w:type="dxa"/>
          </w:tcPr>
          <w:p w:rsidR="00715CBF" w:rsidRPr="00261E7D" w:rsidRDefault="00715CBF" w:rsidP="002438DD">
            <w:pPr>
              <w:widowControl/>
              <w:jc w:val="left"/>
              <w:rPr>
                <w:sz w:val="16"/>
                <w:szCs w:val="16"/>
              </w:rPr>
            </w:pPr>
            <w:r w:rsidRPr="00261E7D">
              <w:rPr>
                <w:sz w:val="16"/>
                <w:szCs w:val="16"/>
              </w:rPr>
              <w:t>0.923</w:t>
            </w:r>
          </w:p>
        </w:tc>
        <w:tc>
          <w:tcPr>
            <w:tcW w:w="704" w:type="dxa"/>
          </w:tcPr>
          <w:p w:rsidR="00715CBF" w:rsidRPr="00261E7D" w:rsidRDefault="00715CBF" w:rsidP="002438DD">
            <w:pPr>
              <w:widowControl/>
              <w:jc w:val="left"/>
              <w:rPr>
                <w:sz w:val="16"/>
                <w:szCs w:val="16"/>
              </w:rPr>
            </w:pPr>
            <w:r w:rsidRPr="00261E7D">
              <w:rPr>
                <w:sz w:val="16"/>
                <w:szCs w:val="16"/>
              </w:rPr>
              <w:t>0.876-0.969</w:t>
            </w:r>
          </w:p>
        </w:tc>
        <w:tc>
          <w:tcPr>
            <w:tcW w:w="609" w:type="dxa"/>
          </w:tcPr>
          <w:p w:rsidR="00715CBF" w:rsidRPr="00261E7D" w:rsidRDefault="00715CBF" w:rsidP="002438DD">
            <w:pPr>
              <w:widowControl/>
              <w:jc w:val="left"/>
              <w:rPr>
                <w:sz w:val="16"/>
                <w:szCs w:val="16"/>
              </w:rPr>
            </w:pPr>
            <w:r w:rsidRPr="00261E7D">
              <w:rPr>
                <w:sz w:val="16"/>
                <w:szCs w:val="16"/>
              </w:rPr>
              <w:t>0.800</w:t>
            </w:r>
          </w:p>
        </w:tc>
        <w:tc>
          <w:tcPr>
            <w:tcW w:w="583" w:type="dxa"/>
            <w:tcBorders>
              <w:top w:val="nil"/>
              <w:bottom w:val="nil"/>
            </w:tcBorders>
          </w:tcPr>
          <w:p w:rsidR="00715CBF" w:rsidRPr="00261E7D" w:rsidRDefault="00715CBF" w:rsidP="002438DD">
            <w:pPr>
              <w:widowControl/>
              <w:jc w:val="left"/>
              <w:rPr>
                <w:sz w:val="16"/>
                <w:szCs w:val="16"/>
              </w:rPr>
            </w:pPr>
          </w:p>
        </w:tc>
        <w:tc>
          <w:tcPr>
            <w:tcW w:w="720" w:type="dxa"/>
          </w:tcPr>
          <w:p w:rsidR="00715CBF" w:rsidRPr="00261E7D" w:rsidRDefault="00715CBF" w:rsidP="002438DD">
            <w:pPr>
              <w:widowControl/>
              <w:jc w:val="left"/>
              <w:rPr>
                <w:sz w:val="16"/>
                <w:szCs w:val="16"/>
              </w:rPr>
            </w:pPr>
            <w:r w:rsidRPr="00261E7D">
              <w:rPr>
                <w:sz w:val="16"/>
                <w:szCs w:val="16"/>
              </w:rPr>
              <w:t>0.944</w:t>
            </w:r>
          </w:p>
        </w:tc>
        <w:tc>
          <w:tcPr>
            <w:tcW w:w="750" w:type="dxa"/>
          </w:tcPr>
          <w:p w:rsidR="00715CBF" w:rsidRPr="00261E7D" w:rsidRDefault="00715CBF" w:rsidP="002438DD">
            <w:pPr>
              <w:widowControl/>
              <w:jc w:val="left"/>
              <w:rPr>
                <w:sz w:val="16"/>
                <w:szCs w:val="16"/>
              </w:rPr>
            </w:pPr>
            <w:r w:rsidRPr="00261E7D">
              <w:rPr>
                <w:sz w:val="16"/>
                <w:szCs w:val="16"/>
              </w:rPr>
              <w:t>0.853-1.032</w:t>
            </w:r>
          </w:p>
        </w:tc>
        <w:tc>
          <w:tcPr>
            <w:tcW w:w="720" w:type="dxa"/>
          </w:tcPr>
          <w:p w:rsidR="00715CBF" w:rsidRPr="00261E7D" w:rsidRDefault="00715CBF" w:rsidP="002438DD">
            <w:pPr>
              <w:widowControl/>
              <w:jc w:val="left"/>
              <w:rPr>
                <w:sz w:val="16"/>
                <w:szCs w:val="16"/>
              </w:rPr>
            </w:pPr>
            <w:r w:rsidRPr="00261E7D">
              <w:rPr>
                <w:sz w:val="16"/>
                <w:szCs w:val="16"/>
              </w:rPr>
              <w:t>0.608</w:t>
            </w:r>
          </w:p>
        </w:tc>
      </w:tr>
      <w:tr w:rsidR="00715CBF" w:rsidRPr="00261E7D" w:rsidTr="002438DD">
        <w:trPr>
          <w:gridAfter w:val="1"/>
          <w:wAfter w:w="720" w:type="dxa"/>
        </w:trPr>
        <w:tc>
          <w:tcPr>
            <w:tcW w:w="1249" w:type="dxa"/>
          </w:tcPr>
          <w:p w:rsidR="00715CBF" w:rsidRPr="00261E7D" w:rsidRDefault="00715CBF" w:rsidP="002438DD">
            <w:pPr>
              <w:widowControl/>
              <w:jc w:val="left"/>
              <w:rPr>
                <w:sz w:val="16"/>
                <w:szCs w:val="16"/>
              </w:rPr>
            </w:pPr>
            <w:r w:rsidRPr="00261E7D">
              <w:rPr>
                <w:sz w:val="16"/>
                <w:szCs w:val="16"/>
              </w:rPr>
              <w:t>IAT</w:t>
            </w:r>
          </w:p>
        </w:tc>
        <w:tc>
          <w:tcPr>
            <w:tcW w:w="616" w:type="dxa"/>
          </w:tcPr>
          <w:p w:rsidR="00715CBF" w:rsidRPr="00261E7D" w:rsidRDefault="00715CBF" w:rsidP="002438DD">
            <w:pPr>
              <w:widowControl/>
              <w:jc w:val="left"/>
              <w:rPr>
                <w:sz w:val="16"/>
                <w:szCs w:val="16"/>
              </w:rPr>
            </w:pPr>
            <w:r w:rsidRPr="00261E7D">
              <w:rPr>
                <w:sz w:val="16"/>
                <w:szCs w:val="16"/>
              </w:rPr>
              <w:t>0.823</w:t>
            </w:r>
          </w:p>
        </w:tc>
        <w:tc>
          <w:tcPr>
            <w:tcW w:w="688" w:type="dxa"/>
          </w:tcPr>
          <w:p w:rsidR="00715CBF" w:rsidRPr="00261E7D" w:rsidRDefault="00715CBF" w:rsidP="002438DD">
            <w:pPr>
              <w:widowControl/>
              <w:jc w:val="left"/>
              <w:rPr>
                <w:sz w:val="16"/>
                <w:szCs w:val="16"/>
              </w:rPr>
            </w:pPr>
            <w:r w:rsidRPr="00261E7D">
              <w:rPr>
                <w:sz w:val="16"/>
                <w:szCs w:val="16"/>
              </w:rPr>
              <w:t>0.754-0.893</w:t>
            </w:r>
          </w:p>
        </w:tc>
        <w:tc>
          <w:tcPr>
            <w:tcW w:w="628" w:type="dxa"/>
          </w:tcPr>
          <w:p w:rsidR="00715CBF" w:rsidRPr="00261E7D" w:rsidRDefault="00715CBF" w:rsidP="002438DD">
            <w:pPr>
              <w:widowControl/>
              <w:jc w:val="left"/>
              <w:rPr>
                <w:sz w:val="16"/>
                <w:szCs w:val="16"/>
              </w:rPr>
            </w:pPr>
            <w:r w:rsidRPr="00261E7D">
              <w:rPr>
                <w:sz w:val="16"/>
                <w:szCs w:val="16"/>
              </w:rPr>
              <w:t>0.001</w:t>
            </w:r>
          </w:p>
        </w:tc>
        <w:tc>
          <w:tcPr>
            <w:tcW w:w="415" w:type="dxa"/>
            <w:tcBorders>
              <w:top w:val="nil"/>
              <w:bottom w:val="single" w:sz="4" w:space="0" w:color="auto"/>
            </w:tcBorders>
          </w:tcPr>
          <w:p w:rsidR="00715CBF" w:rsidRPr="00261E7D" w:rsidRDefault="00715CBF" w:rsidP="002438DD">
            <w:pPr>
              <w:widowControl/>
              <w:jc w:val="left"/>
              <w:rPr>
                <w:sz w:val="16"/>
                <w:szCs w:val="16"/>
              </w:rPr>
            </w:pPr>
          </w:p>
        </w:tc>
        <w:tc>
          <w:tcPr>
            <w:tcW w:w="618" w:type="dxa"/>
          </w:tcPr>
          <w:p w:rsidR="00715CBF" w:rsidRPr="00261E7D" w:rsidRDefault="00715CBF" w:rsidP="002438DD">
            <w:pPr>
              <w:widowControl/>
              <w:jc w:val="left"/>
              <w:rPr>
                <w:sz w:val="16"/>
                <w:szCs w:val="16"/>
              </w:rPr>
            </w:pPr>
            <w:r w:rsidRPr="00261E7D">
              <w:rPr>
                <w:sz w:val="16"/>
                <w:szCs w:val="16"/>
              </w:rPr>
              <w:t>0.915</w:t>
            </w:r>
          </w:p>
        </w:tc>
        <w:tc>
          <w:tcPr>
            <w:tcW w:w="704" w:type="dxa"/>
          </w:tcPr>
          <w:p w:rsidR="00715CBF" w:rsidRPr="00261E7D" w:rsidRDefault="00715CBF" w:rsidP="002438DD">
            <w:pPr>
              <w:widowControl/>
              <w:jc w:val="left"/>
              <w:rPr>
                <w:sz w:val="16"/>
                <w:szCs w:val="16"/>
              </w:rPr>
            </w:pPr>
            <w:r w:rsidRPr="00261E7D">
              <w:rPr>
                <w:sz w:val="16"/>
                <w:szCs w:val="16"/>
              </w:rPr>
              <w:t>0.862-0.968</w:t>
            </w:r>
          </w:p>
        </w:tc>
        <w:tc>
          <w:tcPr>
            <w:tcW w:w="609" w:type="dxa"/>
          </w:tcPr>
          <w:p w:rsidR="00715CBF" w:rsidRPr="00261E7D" w:rsidRDefault="00715CBF" w:rsidP="002438DD">
            <w:pPr>
              <w:widowControl/>
              <w:jc w:val="left"/>
              <w:rPr>
                <w:sz w:val="16"/>
                <w:szCs w:val="16"/>
              </w:rPr>
            </w:pPr>
            <w:r w:rsidRPr="00261E7D">
              <w:rPr>
                <w:sz w:val="16"/>
                <w:szCs w:val="16"/>
              </w:rPr>
              <w:t>0.539</w:t>
            </w:r>
          </w:p>
        </w:tc>
        <w:tc>
          <w:tcPr>
            <w:tcW w:w="583" w:type="dxa"/>
            <w:tcBorders>
              <w:top w:val="nil"/>
              <w:bottom w:val="single" w:sz="4" w:space="0" w:color="auto"/>
            </w:tcBorders>
          </w:tcPr>
          <w:p w:rsidR="00715CBF" w:rsidRPr="00261E7D" w:rsidRDefault="00715CBF" w:rsidP="002438DD">
            <w:pPr>
              <w:widowControl/>
              <w:jc w:val="left"/>
              <w:rPr>
                <w:sz w:val="16"/>
                <w:szCs w:val="16"/>
              </w:rPr>
            </w:pPr>
          </w:p>
        </w:tc>
        <w:tc>
          <w:tcPr>
            <w:tcW w:w="720" w:type="dxa"/>
          </w:tcPr>
          <w:p w:rsidR="00715CBF" w:rsidRPr="00261E7D" w:rsidRDefault="00715CBF" w:rsidP="002438DD">
            <w:pPr>
              <w:widowControl/>
              <w:jc w:val="left"/>
              <w:rPr>
                <w:sz w:val="16"/>
                <w:szCs w:val="16"/>
              </w:rPr>
            </w:pPr>
            <w:r w:rsidRPr="00261E7D">
              <w:rPr>
                <w:sz w:val="16"/>
                <w:szCs w:val="16"/>
              </w:rPr>
              <w:t>0.920</w:t>
            </w:r>
          </w:p>
        </w:tc>
        <w:tc>
          <w:tcPr>
            <w:tcW w:w="750" w:type="dxa"/>
          </w:tcPr>
          <w:p w:rsidR="00715CBF" w:rsidRPr="00261E7D" w:rsidRDefault="00715CBF" w:rsidP="002438DD">
            <w:pPr>
              <w:widowControl/>
              <w:jc w:val="left"/>
              <w:rPr>
                <w:sz w:val="16"/>
                <w:szCs w:val="16"/>
              </w:rPr>
            </w:pPr>
            <w:r w:rsidRPr="00261E7D">
              <w:rPr>
                <w:sz w:val="16"/>
                <w:szCs w:val="16"/>
              </w:rPr>
              <w:t>0.829-0.993</w:t>
            </w:r>
          </w:p>
        </w:tc>
        <w:tc>
          <w:tcPr>
            <w:tcW w:w="720" w:type="dxa"/>
          </w:tcPr>
          <w:p w:rsidR="00715CBF" w:rsidRPr="00261E7D" w:rsidRDefault="00715CBF" w:rsidP="002438DD">
            <w:pPr>
              <w:widowControl/>
              <w:jc w:val="left"/>
              <w:rPr>
                <w:sz w:val="16"/>
                <w:szCs w:val="16"/>
              </w:rPr>
            </w:pPr>
            <w:r w:rsidRPr="00261E7D">
              <w:rPr>
                <w:sz w:val="16"/>
                <w:szCs w:val="16"/>
              </w:rPr>
              <w:t>0.230</w:t>
            </w:r>
          </w:p>
        </w:tc>
      </w:tr>
    </w:tbl>
    <w:p w:rsidR="00715CBF" w:rsidRDefault="00715CBF" w:rsidP="008C3659">
      <w:pPr>
        <w:widowControl/>
        <w:jc w:val="left"/>
        <w:rPr>
          <w:rFonts w:ascii="Times New Roman" w:hAnsi="Times New Roman" w:cs="Times New Roman"/>
          <w:sz w:val="16"/>
          <w:szCs w:val="16"/>
        </w:rPr>
      </w:pPr>
      <w:r w:rsidRPr="00261E7D">
        <w:rPr>
          <w:rFonts w:ascii="Times New Roman" w:hAnsi="Times New Roman" w:cs="Times New Roman"/>
          <w:sz w:val="16"/>
          <w:szCs w:val="16"/>
        </w:rPr>
        <w:t>IAT, Internal area of the tumor; IPAT 3mm, intratumoral and peritumoral 3mm area of the tumor; IPAT 5mm, intratumoral and peritumoral 5mm area of the tumor. P value was compared with IPAT 5mm model.</w:t>
      </w:r>
    </w:p>
    <w:p w:rsidR="00261E7D" w:rsidRDefault="00261E7D" w:rsidP="008C3659">
      <w:pPr>
        <w:widowControl/>
        <w:jc w:val="left"/>
        <w:rPr>
          <w:rFonts w:ascii="Times New Roman" w:hAnsi="Times New Roman" w:cs="Times New Roman"/>
          <w:sz w:val="16"/>
          <w:szCs w:val="16"/>
        </w:rPr>
      </w:pPr>
    </w:p>
    <w:p w:rsidR="00261E7D" w:rsidRPr="00261E7D" w:rsidRDefault="00261E7D" w:rsidP="008C3659">
      <w:pPr>
        <w:widowControl/>
        <w:jc w:val="left"/>
        <w:rPr>
          <w:rFonts w:ascii="Times New Roman" w:hAnsi="Times New Roman" w:cs="Times New Roman"/>
          <w:sz w:val="16"/>
          <w:szCs w:val="16"/>
        </w:rPr>
      </w:pPr>
      <w:bookmarkStart w:id="2" w:name="_GoBack"/>
      <w:bookmarkEnd w:id="2"/>
    </w:p>
    <w:p w:rsidR="008C3659" w:rsidRPr="00261E7D" w:rsidRDefault="008C3659" w:rsidP="008C3659">
      <w:pPr>
        <w:widowControl/>
        <w:jc w:val="left"/>
        <w:rPr>
          <w:rFonts w:ascii="Times New Roman" w:hAnsi="Times New Roman" w:cs="Times New Roman"/>
          <w:b/>
          <w:sz w:val="16"/>
          <w:szCs w:val="16"/>
        </w:rPr>
      </w:pPr>
      <w:r w:rsidRPr="003A7773">
        <w:rPr>
          <w:rFonts w:ascii="Times New Roman" w:hAnsi="Times New Roman" w:cs="Times New Roman"/>
          <w:b/>
          <w:sz w:val="16"/>
          <w:szCs w:val="16"/>
        </w:rPr>
        <w:t xml:space="preserve">Table </w:t>
      </w:r>
      <w:r w:rsidR="007F4C0B">
        <w:rPr>
          <w:rFonts w:ascii="Times New Roman" w:hAnsi="Times New Roman" w:cs="Times New Roman"/>
          <w:b/>
          <w:sz w:val="16"/>
          <w:szCs w:val="16"/>
        </w:rPr>
        <w:t>S2</w:t>
      </w:r>
      <w:r w:rsidRPr="003A7773">
        <w:rPr>
          <w:rFonts w:ascii="Times New Roman" w:hAnsi="Times New Roman" w:cs="Times New Roman"/>
          <w:b/>
          <w:sz w:val="16"/>
          <w:szCs w:val="16"/>
        </w:rPr>
        <w:t xml:space="preserve">: </w:t>
      </w:r>
      <w:r w:rsidRPr="003A7773">
        <w:rPr>
          <w:rFonts w:ascii="Times New Roman" w:hAnsi="Times New Roman" w:cs="Times New Roman"/>
          <w:sz w:val="16"/>
          <w:szCs w:val="16"/>
        </w:rPr>
        <w:t>Performance of Fusion model</w:t>
      </w:r>
      <w:r>
        <w:rPr>
          <w:rFonts w:ascii="Times New Roman" w:hAnsi="Times New Roman" w:cs="Times New Roman"/>
          <w:sz w:val="16"/>
          <w:szCs w:val="16"/>
        </w:rPr>
        <w:t xml:space="preserve"> </w:t>
      </w:r>
      <w:r>
        <w:rPr>
          <w:rFonts w:ascii="Times New Roman" w:hAnsi="Times New Roman" w:cs="Times New Roman" w:hint="eastAsia"/>
          <w:sz w:val="16"/>
          <w:szCs w:val="16"/>
        </w:rPr>
        <w:t>and</w:t>
      </w:r>
      <w:r>
        <w:rPr>
          <w:rFonts w:ascii="Times New Roman" w:hAnsi="Times New Roman" w:cs="Times New Roman"/>
          <w:sz w:val="16"/>
          <w:szCs w:val="16"/>
        </w:rPr>
        <w:t xml:space="preserve"> SSIGN model</w:t>
      </w:r>
      <w:r w:rsidRPr="003A7773">
        <w:rPr>
          <w:rFonts w:ascii="Times New Roman" w:hAnsi="Times New Roman" w:cs="Times New Roman"/>
          <w:sz w:val="16"/>
          <w:szCs w:val="16"/>
        </w:rPr>
        <w:t>.</w:t>
      </w:r>
    </w:p>
    <w:tbl>
      <w:tblPr>
        <w:tblStyle w:val="a3"/>
        <w:tblW w:w="83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611"/>
        <w:gridCol w:w="681"/>
        <w:gridCol w:w="655"/>
        <w:gridCol w:w="391"/>
        <w:gridCol w:w="613"/>
        <w:gridCol w:w="695"/>
        <w:gridCol w:w="667"/>
        <w:gridCol w:w="538"/>
        <w:gridCol w:w="702"/>
        <w:gridCol w:w="735"/>
        <w:gridCol w:w="711"/>
      </w:tblGrid>
      <w:tr w:rsidR="008C3659" w:rsidRPr="0004646F" w:rsidTr="00715CBF">
        <w:tc>
          <w:tcPr>
            <w:tcW w:w="1360" w:type="dxa"/>
            <w:tcBorders>
              <w:top w:val="single" w:sz="4" w:space="0" w:color="auto"/>
              <w:bottom w:val="single" w:sz="4" w:space="0" w:color="auto"/>
            </w:tcBorders>
          </w:tcPr>
          <w:p w:rsidR="008C3659" w:rsidRPr="0004646F" w:rsidRDefault="008C3659" w:rsidP="002438DD">
            <w:pPr>
              <w:widowControl/>
              <w:jc w:val="left"/>
              <w:rPr>
                <w:sz w:val="16"/>
                <w:szCs w:val="16"/>
              </w:rPr>
            </w:pPr>
          </w:p>
        </w:tc>
        <w:tc>
          <w:tcPr>
            <w:tcW w:w="1947" w:type="dxa"/>
            <w:gridSpan w:val="3"/>
            <w:tcBorders>
              <w:top w:val="single" w:sz="4" w:space="0" w:color="auto"/>
              <w:bottom w:val="single" w:sz="4" w:space="0" w:color="auto"/>
            </w:tcBorders>
          </w:tcPr>
          <w:p w:rsidR="008C3659" w:rsidRPr="0004646F" w:rsidRDefault="008C3659" w:rsidP="002438DD">
            <w:pPr>
              <w:widowControl/>
              <w:jc w:val="left"/>
              <w:rPr>
                <w:sz w:val="16"/>
                <w:szCs w:val="16"/>
              </w:rPr>
            </w:pPr>
            <w:r>
              <w:rPr>
                <w:rFonts w:hint="eastAsia"/>
                <w:sz w:val="16"/>
                <w:szCs w:val="16"/>
              </w:rPr>
              <w:t>T</w:t>
            </w:r>
            <w:r>
              <w:rPr>
                <w:sz w:val="16"/>
                <w:szCs w:val="16"/>
              </w:rPr>
              <w:t>raining set</w:t>
            </w:r>
          </w:p>
        </w:tc>
        <w:tc>
          <w:tcPr>
            <w:tcW w:w="391" w:type="dxa"/>
            <w:tcBorders>
              <w:top w:val="single" w:sz="4" w:space="0" w:color="auto"/>
              <w:bottom w:val="nil"/>
            </w:tcBorders>
          </w:tcPr>
          <w:p w:rsidR="008C3659" w:rsidRPr="0004646F" w:rsidRDefault="008C3659" w:rsidP="002438DD">
            <w:pPr>
              <w:widowControl/>
              <w:jc w:val="left"/>
              <w:rPr>
                <w:sz w:val="16"/>
                <w:szCs w:val="16"/>
              </w:rPr>
            </w:pPr>
          </w:p>
        </w:tc>
        <w:tc>
          <w:tcPr>
            <w:tcW w:w="1975" w:type="dxa"/>
            <w:gridSpan w:val="3"/>
            <w:tcBorders>
              <w:top w:val="single" w:sz="4" w:space="0" w:color="auto"/>
              <w:bottom w:val="single" w:sz="4" w:space="0" w:color="auto"/>
            </w:tcBorders>
          </w:tcPr>
          <w:p w:rsidR="008C3659" w:rsidRPr="0004646F" w:rsidRDefault="008C3659" w:rsidP="002438DD">
            <w:pPr>
              <w:widowControl/>
              <w:jc w:val="left"/>
              <w:rPr>
                <w:sz w:val="16"/>
                <w:szCs w:val="16"/>
              </w:rPr>
            </w:pPr>
            <w:r>
              <w:rPr>
                <w:rFonts w:hint="eastAsia"/>
                <w:sz w:val="16"/>
                <w:szCs w:val="16"/>
              </w:rPr>
              <w:t>I</w:t>
            </w:r>
            <w:r>
              <w:rPr>
                <w:sz w:val="16"/>
                <w:szCs w:val="16"/>
              </w:rPr>
              <w:t>nternal validation set</w:t>
            </w:r>
          </w:p>
        </w:tc>
        <w:tc>
          <w:tcPr>
            <w:tcW w:w="538" w:type="dxa"/>
            <w:tcBorders>
              <w:top w:val="single" w:sz="4" w:space="0" w:color="auto"/>
              <w:bottom w:val="nil"/>
            </w:tcBorders>
          </w:tcPr>
          <w:p w:rsidR="008C3659" w:rsidRPr="0004646F" w:rsidRDefault="008C3659" w:rsidP="002438DD">
            <w:pPr>
              <w:widowControl/>
              <w:jc w:val="left"/>
              <w:rPr>
                <w:sz w:val="16"/>
                <w:szCs w:val="16"/>
              </w:rPr>
            </w:pPr>
          </w:p>
        </w:tc>
        <w:tc>
          <w:tcPr>
            <w:tcW w:w="2148" w:type="dxa"/>
            <w:gridSpan w:val="3"/>
            <w:tcBorders>
              <w:top w:val="single" w:sz="4" w:space="0" w:color="auto"/>
              <w:bottom w:val="single" w:sz="4" w:space="0" w:color="auto"/>
            </w:tcBorders>
          </w:tcPr>
          <w:p w:rsidR="008C3659" w:rsidRPr="0004646F" w:rsidRDefault="008C3659" w:rsidP="002438DD">
            <w:pPr>
              <w:widowControl/>
              <w:jc w:val="left"/>
              <w:rPr>
                <w:sz w:val="16"/>
                <w:szCs w:val="16"/>
              </w:rPr>
            </w:pPr>
            <w:r>
              <w:rPr>
                <w:rFonts w:hint="eastAsia"/>
                <w:sz w:val="16"/>
                <w:szCs w:val="16"/>
              </w:rPr>
              <w:t>E</w:t>
            </w:r>
            <w:r>
              <w:rPr>
                <w:sz w:val="16"/>
                <w:szCs w:val="16"/>
              </w:rPr>
              <w:t>xternal validation set</w:t>
            </w:r>
          </w:p>
        </w:tc>
      </w:tr>
      <w:tr w:rsidR="008C3659" w:rsidRPr="0004646F" w:rsidTr="00715CBF">
        <w:tc>
          <w:tcPr>
            <w:tcW w:w="1360" w:type="dxa"/>
            <w:tcBorders>
              <w:top w:val="single" w:sz="4" w:space="0" w:color="auto"/>
              <w:bottom w:val="single" w:sz="4" w:space="0" w:color="auto"/>
            </w:tcBorders>
          </w:tcPr>
          <w:p w:rsidR="008C3659" w:rsidRPr="0004646F" w:rsidRDefault="008C3659" w:rsidP="002438DD">
            <w:pPr>
              <w:widowControl/>
              <w:jc w:val="left"/>
              <w:rPr>
                <w:sz w:val="16"/>
                <w:szCs w:val="16"/>
              </w:rPr>
            </w:pPr>
          </w:p>
        </w:tc>
        <w:tc>
          <w:tcPr>
            <w:tcW w:w="611"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C-index</w:t>
            </w:r>
          </w:p>
        </w:tc>
        <w:tc>
          <w:tcPr>
            <w:tcW w:w="681"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95% CI</w:t>
            </w:r>
          </w:p>
        </w:tc>
        <w:tc>
          <w:tcPr>
            <w:tcW w:w="655"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P value</w:t>
            </w:r>
          </w:p>
        </w:tc>
        <w:tc>
          <w:tcPr>
            <w:tcW w:w="391" w:type="dxa"/>
            <w:tcBorders>
              <w:top w:val="nil"/>
              <w:bottom w:val="nil"/>
            </w:tcBorders>
          </w:tcPr>
          <w:p w:rsidR="008C3659" w:rsidRPr="0004646F" w:rsidRDefault="008C3659" w:rsidP="002438DD">
            <w:pPr>
              <w:widowControl/>
              <w:jc w:val="left"/>
              <w:rPr>
                <w:sz w:val="16"/>
                <w:szCs w:val="16"/>
              </w:rPr>
            </w:pPr>
          </w:p>
        </w:tc>
        <w:tc>
          <w:tcPr>
            <w:tcW w:w="613"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C-index</w:t>
            </w:r>
          </w:p>
        </w:tc>
        <w:tc>
          <w:tcPr>
            <w:tcW w:w="695"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95% CI</w:t>
            </w:r>
          </w:p>
        </w:tc>
        <w:tc>
          <w:tcPr>
            <w:tcW w:w="667"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P value</w:t>
            </w:r>
          </w:p>
        </w:tc>
        <w:tc>
          <w:tcPr>
            <w:tcW w:w="538" w:type="dxa"/>
            <w:tcBorders>
              <w:top w:val="nil"/>
              <w:bottom w:val="nil"/>
            </w:tcBorders>
          </w:tcPr>
          <w:p w:rsidR="008C3659" w:rsidRPr="0004646F" w:rsidRDefault="008C3659" w:rsidP="002438DD">
            <w:pPr>
              <w:widowControl/>
              <w:jc w:val="left"/>
              <w:rPr>
                <w:sz w:val="16"/>
                <w:szCs w:val="16"/>
              </w:rPr>
            </w:pPr>
          </w:p>
        </w:tc>
        <w:tc>
          <w:tcPr>
            <w:tcW w:w="702"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C-index</w:t>
            </w:r>
          </w:p>
        </w:tc>
        <w:tc>
          <w:tcPr>
            <w:tcW w:w="735"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95% CI</w:t>
            </w:r>
          </w:p>
        </w:tc>
        <w:tc>
          <w:tcPr>
            <w:tcW w:w="711" w:type="dxa"/>
            <w:tcBorders>
              <w:top w:val="single" w:sz="4" w:space="0" w:color="auto"/>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P value</w:t>
            </w:r>
          </w:p>
        </w:tc>
      </w:tr>
      <w:tr w:rsidR="008C3659" w:rsidRPr="0004646F" w:rsidTr="00715CBF">
        <w:tc>
          <w:tcPr>
            <w:tcW w:w="1360" w:type="dxa"/>
            <w:tcBorders>
              <w:top w:val="nil"/>
              <w:bottom w:val="nil"/>
            </w:tcBorders>
          </w:tcPr>
          <w:p w:rsidR="008C3659" w:rsidRDefault="008C3659" w:rsidP="002438DD">
            <w:pPr>
              <w:widowControl/>
              <w:jc w:val="left"/>
              <w:rPr>
                <w:sz w:val="16"/>
                <w:szCs w:val="16"/>
              </w:rPr>
            </w:pPr>
            <w:r>
              <w:rPr>
                <w:sz w:val="16"/>
                <w:szCs w:val="16"/>
              </w:rPr>
              <w:t>F</w:t>
            </w:r>
            <w:r w:rsidRPr="00DB1993">
              <w:rPr>
                <w:sz w:val="16"/>
                <w:szCs w:val="16"/>
              </w:rPr>
              <w:t>usion model</w:t>
            </w:r>
          </w:p>
        </w:tc>
        <w:tc>
          <w:tcPr>
            <w:tcW w:w="611" w:type="dxa"/>
            <w:tcBorders>
              <w:top w:val="nil"/>
              <w:bottom w:val="nil"/>
            </w:tcBorders>
          </w:tcPr>
          <w:p w:rsidR="008C3659" w:rsidRDefault="008C3659" w:rsidP="002438DD">
            <w:pPr>
              <w:widowControl/>
              <w:jc w:val="left"/>
              <w:rPr>
                <w:sz w:val="16"/>
                <w:szCs w:val="16"/>
              </w:rPr>
            </w:pPr>
            <w:r w:rsidRPr="0004646F">
              <w:rPr>
                <w:rFonts w:hint="eastAsia"/>
                <w:sz w:val="16"/>
                <w:szCs w:val="16"/>
              </w:rPr>
              <w:t>0.</w:t>
            </w:r>
            <w:r>
              <w:rPr>
                <w:sz w:val="16"/>
                <w:szCs w:val="16"/>
              </w:rPr>
              <w:t>897</w:t>
            </w:r>
          </w:p>
        </w:tc>
        <w:tc>
          <w:tcPr>
            <w:tcW w:w="681" w:type="dxa"/>
            <w:tcBorders>
              <w:top w:val="nil"/>
              <w:bottom w:val="nil"/>
            </w:tcBorders>
          </w:tcPr>
          <w:p w:rsidR="008C3659" w:rsidRDefault="008C3659" w:rsidP="002438DD">
            <w:pPr>
              <w:widowControl/>
              <w:jc w:val="left"/>
              <w:rPr>
                <w:sz w:val="16"/>
                <w:szCs w:val="16"/>
              </w:rPr>
            </w:pPr>
            <w:r>
              <w:rPr>
                <w:rFonts w:hint="eastAsia"/>
                <w:sz w:val="16"/>
                <w:szCs w:val="16"/>
              </w:rPr>
              <w:t>0.</w:t>
            </w:r>
            <w:r>
              <w:rPr>
                <w:sz w:val="16"/>
                <w:szCs w:val="16"/>
              </w:rPr>
              <w:t>853</w:t>
            </w:r>
            <w:r w:rsidRPr="0004646F">
              <w:rPr>
                <w:rFonts w:hint="eastAsia"/>
                <w:sz w:val="16"/>
                <w:szCs w:val="16"/>
              </w:rPr>
              <w:t>-0.</w:t>
            </w:r>
            <w:r>
              <w:rPr>
                <w:sz w:val="16"/>
                <w:szCs w:val="16"/>
              </w:rPr>
              <w:t>941</w:t>
            </w:r>
          </w:p>
        </w:tc>
        <w:tc>
          <w:tcPr>
            <w:tcW w:w="655" w:type="dxa"/>
            <w:tcBorders>
              <w:top w:val="nil"/>
              <w:bottom w:val="nil"/>
            </w:tcBorders>
          </w:tcPr>
          <w:p w:rsidR="008C3659" w:rsidRDefault="008C3659" w:rsidP="002438DD">
            <w:pPr>
              <w:widowControl/>
              <w:jc w:val="left"/>
              <w:rPr>
                <w:sz w:val="16"/>
                <w:szCs w:val="16"/>
              </w:rPr>
            </w:pPr>
            <w:r>
              <w:rPr>
                <w:sz w:val="16"/>
                <w:szCs w:val="16"/>
              </w:rPr>
              <w:t>-</w:t>
            </w:r>
          </w:p>
        </w:tc>
        <w:tc>
          <w:tcPr>
            <w:tcW w:w="391" w:type="dxa"/>
            <w:tcBorders>
              <w:top w:val="nil"/>
              <w:bottom w:val="nil"/>
            </w:tcBorders>
          </w:tcPr>
          <w:p w:rsidR="008C3659" w:rsidRPr="0004646F" w:rsidRDefault="008C3659" w:rsidP="002438DD">
            <w:pPr>
              <w:widowControl/>
              <w:jc w:val="left"/>
              <w:rPr>
                <w:sz w:val="16"/>
                <w:szCs w:val="16"/>
              </w:rPr>
            </w:pPr>
          </w:p>
        </w:tc>
        <w:tc>
          <w:tcPr>
            <w:tcW w:w="613" w:type="dxa"/>
            <w:tcBorders>
              <w:top w:val="nil"/>
              <w:bottom w:val="nil"/>
            </w:tcBorders>
          </w:tcPr>
          <w:p w:rsidR="008C3659" w:rsidRDefault="008C3659" w:rsidP="002438DD">
            <w:pPr>
              <w:widowControl/>
              <w:jc w:val="left"/>
              <w:rPr>
                <w:sz w:val="16"/>
                <w:szCs w:val="16"/>
              </w:rPr>
            </w:pPr>
            <w:r w:rsidRPr="0004646F">
              <w:rPr>
                <w:rFonts w:hint="eastAsia"/>
                <w:sz w:val="16"/>
                <w:szCs w:val="16"/>
              </w:rPr>
              <w:t>0.9</w:t>
            </w:r>
            <w:r>
              <w:rPr>
                <w:sz w:val="16"/>
                <w:szCs w:val="16"/>
              </w:rPr>
              <w:t>38</w:t>
            </w:r>
          </w:p>
        </w:tc>
        <w:tc>
          <w:tcPr>
            <w:tcW w:w="695" w:type="dxa"/>
            <w:tcBorders>
              <w:top w:val="nil"/>
              <w:bottom w:val="nil"/>
            </w:tcBorders>
          </w:tcPr>
          <w:p w:rsidR="008C3659" w:rsidRDefault="008C3659" w:rsidP="002438DD">
            <w:pPr>
              <w:widowControl/>
              <w:jc w:val="left"/>
              <w:rPr>
                <w:sz w:val="16"/>
                <w:szCs w:val="16"/>
              </w:rPr>
            </w:pPr>
            <w:r>
              <w:rPr>
                <w:rFonts w:hint="eastAsia"/>
                <w:sz w:val="16"/>
                <w:szCs w:val="16"/>
              </w:rPr>
              <w:t>0.</w:t>
            </w:r>
            <w:r>
              <w:rPr>
                <w:sz w:val="16"/>
                <w:szCs w:val="16"/>
              </w:rPr>
              <w:t>905</w:t>
            </w:r>
            <w:r w:rsidRPr="0004646F">
              <w:rPr>
                <w:rFonts w:hint="eastAsia"/>
                <w:sz w:val="16"/>
                <w:szCs w:val="16"/>
              </w:rPr>
              <w:t>-0.9</w:t>
            </w:r>
            <w:r>
              <w:rPr>
                <w:sz w:val="16"/>
                <w:szCs w:val="16"/>
              </w:rPr>
              <w:t>71</w:t>
            </w:r>
          </w:p>
        </w:tc>
        <w:tc>
          <w:tcPr>
            <w:tcW w:w="667" w:type="dxa"/>
            <w:tcBorders>
              <w:top w:val="nil"/>
              <w:bottom w:val="nil"/>
            </w:tcBorders>
          </w:tcPr>
          <w:p w:rsidR="008C3659" w:rsidRDefault="008C3659" w:rsidP="002438DD">
            <w:pPr>
              <w:widowControl/>
              <w:jc w:val="left"/>
              <w:rPr>
                <w:sz w:val="16"/>
                <w:szCs w:val="16"/>
              </w:rPr>
            </w:pPr>
            <w:r>
              <w:rPr>
                <w:sz w:val="16"/>
                <w:szCs w:val="16"/>
              </w:rPr>
              <w:t>-</w:t>
            </w:r>
          </w:p>
        </w:tc>
        <w:tc>
          <w:tcPr>
            <w:tcW w:w="538" w:type="dxa"/>
            <w:tcBorders>
              <w:top w:val="nil"/>
              <w:bottom w:val="nil"/>
            </w:tcBorders>
          </w:tcPr>
          <w:p w:rsidR="008C3659" w:rsidRDefault="008C3659" w:rsidP="002438DD">
            <w:pPr>
              <w:widowControl/>
              <w:jc w:val="left"/>
              <w:rPr>
                <w:sz w:val="16"/>
                <w:szCs w:val="16"/>
              </w:rPr>
            </w:pPr>
          </w:p>
        </w:tc>
        <w:tc>
          <w:tcPr>
            <w:tcW w:w="702" w:type="dxa"/>
            <w:tcBorders>
              <w:top w:val="nil"/>
              <w:bottom w:val="nil"/>
            </w:tcBorders>
          </w:tcPr>
          <w:p w:rsidR="008C3659" w:rsidRDefault="008C3659" w:rsidP="002438DD">
            <w:pPr>
              <w:widowControl/>
              <w:jc w:val="left"/>
              <w:rPr>
                <w:sz w:val="16"/>
                <w:szCs w:val="16"/>
              </w:rPr>
            </w:pPr>
            <w:r>
              <w:rPr>
                <w:rFonts w:hint="eastAsia"/>
                <w:sz w:val="16"/>
                <w:szCs w:val="16"/>
              </w:rPr>
              <w:t>0.9</w:t>
            </w:r>
            <w:r>
              <w:rPr>
                <w:sz w:val="16"/>
                <w:szCs w:val="16"/>
              </w:rPr>
              <w:t>04</w:t>
            </w:r>
          </w:p>
        </w:tc>
        <w:tc>
          <w:tcPr>
            <w:tcW w:w="735" w:type="dxa"/>
            <w:tcBorders>
              <w:top w:val="nil"/>
              <w:bottom w:val="nil"/>
            </w:tcBorders>
          </w:tcPr>
          <w:p w:rsidR="008C3659" w:rsidRDefault="008C3659" w:rsidP="002438DD">
            <w:pPr>
              <w:widowControl/>
              <w:jc w:val="left"/>
              <w:rPr>
                <w:sz w:val="16"/>
                <w:szCs w:val="16"/>
              </w:rPr>
            </w:pPr>
            <w:r>
              <w:rPr>
                <w:sz w:val="16"/>
                <w:szCs w:val="16"/>
              </w:rPr>
              <w:t>0.819</w:t>
            </w:r>
            <w:r w:rsidRPr="00A81E31">
              <w:rPr>
                <w:sz w:val="16"/>
                <w:szCs w:val="16"/>
              </w:rPr>
              <w:t>-</w:t>
            </w:r>
            <w:r>
              <w:rPr>
                <w:sz w:val="16"/>
                <w:szCs w:val="16"/>
              </w:rPr>
              <w:t>0.989</w:t>
            </w:r>
          </w:p>
        </w:tc>
        <w:tc>
          <w:tcPr>
            <w:tcW w:w="711" w:type="dxa"/>
            <w:tcBorders>
              <w:top w:val="nil"/>
              <w:bottom w:val="nil"/>
              <w:right w:val="nil"/>
            </w:tcBorders>
          </w:tcPr>
          <w:p w:rsidR="008C3659" w:rsidRDefault="008C3659" w:rsidP="002438DD">
            <w:pPr>
              <w:widowControl/>
              <w:jc w:val="left"/>
              <w:rPr>
                <w:sz w:val="16"/>
                <w:szCs w:val="16"/>
              </w:rPr>
            </w:pPr>
            <w:r>
              <w:rPr>
                <w:rFonts w:hint="eastAsia"/>
                <w:sz w:val="16"/>
                <w:szCs w:val="16"/>
              </w:rPr>
              <w:t>-</w:t>
            </w:r>
          </w:p>
        </w:tc>
      </w:tr>
      <w:tr w:rsidR="008C3659" w:rsidRPr="0004646F" w:rsidTr="00715CBF">
        <w:tc>
          <w:tcPr>
            <w:tcW w:w="1360" w:type="dxa"/>
            <w:tcBorders>
              <w:top w:val="nil"/>
              <w:bottom w:val="single" w:sz="4" w:space="0" w:color="auto"/>
            </w:tcBorders>
          </w:tcPr>
          <w:p w:rsidR="008C3659" w:rsidRDefault="008C3659" w:rsidP="002438DD">
            <w:pPr>
              <w:widowControl/>
              <w:jc w:val="left"/>
              <w:rPr>
                <w:sz w:val="16"/>
                <w:szCs w:val="16"/>
              </w:rPr>
            </w:pPr>
            <w:r>
              <w:rPr>
                <w:sz w:val="16"/>
                <w:szCs w:val="16"/>
              </w:rPr>
              <w:t xml:space="preserve">SSIGN </w:t>
            </w:r>
            <w:r w:rsidRPr="00DB1993">
              <w:rPr>
                <w:sz w:val="16"/>
                <w:szCs w:val="16"/>
              </w:rPr>
              <w:t>model</w:t>
            </w:r>
          </w:p>
        </w:tc>
        <w:tc>
          <w:tcPr>
            <w:tcW w:w="611" w:type="dxa"/>
            <w:tcBorders>
              <w:top w:val="nil"/>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0.</w:t>
            </w:r>
            <w:r>
              <w:rPr>
                <w:sz w:val="16"/>
                <w:szCs w:val="16"/>
              </w:rPr>
              <w:t>854</w:t>
            </w:r>
          </w:p>
        </w:tc>
        <w:tc>
          <w:tcPr>
            <w:tcW w:w="681" w:type="dxa"/>
            <w:tcBorders>
              <w:top w:val="nil"/>
              <w:bottom w:val="single" w:sz="4" w:space="0" w:color="auto"/>
            </w:tcBorders>
          </w:tcPr>
          <w:p w:rsidR="008C3659" w:rsidRDefault="008C3659" w:rsidP="002438DD">
            <w:pPr>
              <w:widowControl/>
              <w:jc w:val="left"/>
              <w:rPr>
                <w:sz w:val="16"/>
                <w:szCs w:val="16"/>
              </w:rPr>
            </w:pPr>
            <w:r>
              <w:rPr>
                <w:rFonts w:hint="eastAsia"/>
                <w:sz w:val="16"/>
                <w:szCs w:val="16"/>
              </w:rPr>
              <w:t>0.</w:t>
            </w:r>
            <w:r>
              <w:rPr>
                <w:sz w:val="16"/>
                <w:szCs w:val="16"/>
              </w:rPr>
              <w:t>794</w:t>
            </w:r>
            <w:r w:rsidRPr="0004646F">
              <w:rPr>
                <w:rFonts w:hint="eastAsia"/>
                <w:sz w:val="16"/>
                <w:szCs w:val="16"/>
              </w:rPr>
              <w:t>-0.</w:t>
            </w:r>
            <w:r>
              <w:rPr>
                <w:sz w:val="16"/>
                <w:szCs w:val="16"/>
              </w:rPr>
              <w:t>916</w:t>
            </w:r>
          </w:p>
        </w:tc>
        <w:tc>
          <w:tcPr>
            <w:tcW w:w="655" w:type="dxa"/>
            <w:tcBorders>
              <w:top w:val="nil"/>
              <w:bottom w:val="single" w:sz="4" w:space="0" w:color="auto"/>
            </w:tcBorders>
          </w:tcPr>
          <w:p w:rsidR="008C3659" w:rsidRDefault="008C3659" w:rsidP="002438DD">
            <w:pPr>
              <w:widowControl/>
              <w:jc w:val="left"/>
              <w:rPr>
                <w:sz w:val="16"/>
                <w:szCs w:val="16"/>
              </w:rPr>
            </w:pPr>
          </w:p>
        </w:tc>
        <w:tc>
          <w:tcPr>
            <w:tcW w:w="391" w:type="dxa"/>
            <w:tcBorders>
              <w:top w:val="nil"/>
              <w:bottom w:val="single" w:sz="4" w:space="0" w:color="auto"/>
            </w:tcBorders>
          </w:tcPr>
          <w:p w:rsidR="008C3659" w:rsidRPr="0004646F" w:rsidRDefault="008C3659" w:rsidP="002438DD">
            <w:pPr>
              <w:widowControl/>
              <w:jc w:val="left"/>
              <w:rPr>
                <w:sz w:val="16"/>
                <w:szCs w:val="16"/>
              </w:rPr>
            </w:pPr>
          </w:p>
        </w:tc>
        <w:tc>
          <w:tcPr>
            <w:tcW w:w="613" w:type="dxa"/>
            <w:tcBorders>
              <w:top w:val="nil"/>
              <w:bottom w:val="single" w:sz="4" w:space="0" w:color="auto"/>
            </w:tcBorders>
          </w:tcPr>
          <w:p w:rsidR="008C3659" w:rsidRPr="0004646F" w:rsidRDefault="008C3659" w:rsidP="002438DD">
            <w:pPr>
              <w:widowControl/>
              <w:jc w:val="left"/>
              <w:rPr>
                <w:sz w:val="16"/>
                <w:szCs w:val="16"/>
              </w:rPr>
            </w:pPr>
            <w:r w:rsidRPr="0004646F">
              <w:rPr>
                <w:rFonts w:hint="eastAsia"/>
                <w:sz w:val="16"/>
                <w:szCs w:val="16"/>
              </w:rPr>
              <w:t>0.</w:t>
            </w:r>
            <w:r>
              <w:rPr>
                <w:sz w:val="16"/>
                <w:szCs w:val="16"/>
              </w:rPr>
              <w:t>886</w:t>
            </w:r>
          </w:p>
        </w:tc>
        <w:tc>
          <w:tcPr>
            <w:tcW w:w="695" w:type="dxa"/>
            <w:tcBorders>
              <w:top w:val="nil"/>
              <w:bottom w:val="single" w:sz="4" w:space="0" w:color="auto"/>
            </w:tcBorders>
          </w:tcPr>
          <w:p w:rsidR="008C3659" w:rsidRDefault="008C3659" w:rsidP="002438DD">
            <w:pPr>
              <w:widowControl/>
              <w:jc w:val="left"/>
              <w:rPr>
                <w:sz w:val="16"/>
                <w:szCs w:val="16"/>
              </w:rPr>
            </w:pPr>
            <w:r>
              <w:rPr>
                <w:rFonts w:hint="eastAsia"/>
                <w:sz w:val="16"/>
                <w:szCs w:val="16"/>
              </w:rPr>
              <w:t>0.8</w:t>
            </w:r>
            <w:r>
              <w:rPr>
                <w:sz w:val="16"/>
                <w:szCs w:val="16"/>
              </w:rPr>
              <w:t>50</w:t>
            </w:r>
            <w:r w:rsidRPr="0004646F">
              <w:rPr>
                <w:rFonts w:hint="eastAsia"/>
                <w:sz w:val="16"/>
                <w:szCs w:val="16"/>
              </w:rPr>
              <w:t>-0.9</w:t>
            </w:r>
            <w:r>
              <w:rPr>
                <w:sz w:val="16"/>
                <w:szCs w:val="16"/>
              </w:rPr>
              <w:t>21</w:t>
            </w:r>
          </w:p>
        </w:tc>
        <w:tc>
          <w:tcPr>
            <w:tcW w:w="667" w:type="dxa"/>
            <w:tcBorders>
              <w:top w:val="nil"/>
              <w:bottom w:val="single" w:sz="4" w:space="0" w:color="auto"/>
            </w:tcBorders>
          </w:tcPr>
          <w:p w:rsidR="008C3659" w:rsidRDefault="008C3659" w:rsidP="002438DD">
            <w:pPr>
              <w:widowControl/>
              <w:jc w:val="left"/>
              <w:rPr>
                <w:sz w:val="16"/>
                <w:szCs w:val="16"/>
              </w:rPr>
            </w:pPr>
            <w:r w:rsidRPr="00634518">
              <w:rPr>
                <w:color w:val="000000"/>
                <w:sz w:val="16"/>
                <w:szCs w:val="16"/>
                <w:lang w:bidi="ar"/>
              </w:rPr>
              <w:t>&lt;0.001</w:t>
            </w:r>
          </w:p>
        </w:tc>
        <w:tc>
          <w:tcPr>
            <w:tcW w:w="538" w:type="dxa"/>
            <w:tcBorders>
              <w:top w:val="nil"/>
              <w:bottom w:val="single" w:sz="4" w:space="0" w:color="auto"/>
            </w:tcBorders>
          </w:tcPr>
          <w:p w:rsidR="008C3659" w:rsidRDefault="008C3659" w:rsidP="002438DD">
            <w:pPr>
              <w:widowControl/>
              <w:jc w:val="left"/>
              <w:rPr>
                <w:sz w:val="16"/>
                <w:szCs w:val="16"/>
              </w:rPr>
            </w:pPr>
          </w:p>
        </w:tc>
        <w:tc>
          <w:tcPr>
            <w:tcW w:w="702" w:type="dxa"/>
            <w:tcBorders>
              <w:top w:val="nil"/>
              <w:bottom w:val="single" w:sz="4" w:space="0" w:color="auto"/>
            </w:tcBorders>
          </w:tcPr>
          <w:p w:rsidR="008C3659" w:rsidRDefault="008C3659" w:rsidP="002438DD">
            <w:pPr>
              <w:widowControl/>
              <w:jc w:val="left"/>
              <w:rPr>
                <w:sz w:val="16"/>
                <w:szCs w:val="16"/>
              </w:rPr>
            </w:pPr>
            <w:r>
              <w:rPr>
                <w:rFonts w:hint="eastAsia"/>
                <w:sz w:val="16"/>
                <w:szCs w:val="16"/>
              </w:rPr>
              <w:t>0.9</w:t>
            </w:r>
            <w:r>
              <w:rPr>
                <w:sz w:val="16"/>
                <w:szCs w:val="16"/>
              </w:rPr>
              <w:t>12</w:t>
            </w:r>
          </w:p>
        </w:tc>
        <w:tc>
          <w:tcPr>
            <w:tcW w:w="735" w:type="dxa"/>
            <w:tcBorders>
              <w:top w:val="nil"/>
              <w:bottom w:val="single" w:sz="4" w:space="0" w:color="auto"/>
            </w:tcBorders>
          </w:tcPr>
          <w:p w:rsidR="008C3659" w:rsidRDefault="008C3659" w:rsidP="002438DD">
            <w:pPr>
              <w:widowControl/>
              <w:jc w:val="left"/>
              <w:rPr>
                <w:sz w:val="16"/>
                <w:szCs w:val="16"/>
              </w:rPr>
            </w:pPr>
            <w:r>
              <w:rPr>
                <w:rFonts w:hint="eastAsia"/>
                <w:sz w:val="16"/>
                <w:szCs w:val="16"/>
              </w:rPr>
              <w:t>0.8</w:t>
            </w:r>
            <w:r>
              <w:rPr>
                <w:sz w:val="16"/>
                <w:szCs w:val="16"/>
              </w:rPr>
              <w:t>41</w:t>
            </w:r>
            <w:r>
              <w:rPr>
                <w:rFonts w:hint="eastAsia"/>
                <w:sz w:val="16"/>
                <w:szCs w:val="16"/>
              </w:rPr>
              <w:t>-</w:t>
            </w:r>
            <w:r>
              <w:rPr>
                <w:sz w:val="16"/>
                <w:szCs w:val="16"/>
              </w:rPr>
              <w:t>0.982</w:t>
            </w:r>
          </w:p>
        </w:tc>
        <w:tc>
          <w:tcPr>
            <w:tcW w:w="711" w:type="dxa"/>
            <w:tcBorders>
              <w:top w:val="nil"/>
              <w:bottom w:val="single" w:sz="4" w:space="0" w:color="auto"/>
              <w:right w:val="nil"/>
            </w:tcBorders>
          </w:tcPr>
          <w:p w:rsidR="008C3659" w:rsidRDefault="008C3659" w:rsidP="002438DD">
            <w:pPr>
              <w:widowControl/>
              <w:jc w:val="left"/>
              <w:rPr>
                <w:sz w:val="16"/>
                <w:szCs w:val="16"/>
              </w:rPr>
            </w:pPr>
            <w:r>
              <w:rPr>
                <w:rFonts w:hint="eastAsia"/>
                <w:sz w:val="16"/>
                <w:szCs w:val="16"/>
              </w:rPr>
              <w:t>0.687</w:t>
            </w:r>
          </w:p>
        </w:tc>
      </w:tr>
    </w:tbl>
    <w:p w:rsidR="00970741" w:rsidRPr="00261E7D" w:rsidRDefault="00715CBF">
      <w:pPr>
        <w:widowControl/>
        <w:jc w:val="left"/>
        <w:rPr>
          <w:rFonts w:ascii="Times New Roman" w:hAnsi="Times New Roman" w:cs="Times New Roman"/>
          <w:b/>
          <w:sz w:val="16"/>
          <w:szCs w:val="16"/>
        </w:rPr>
      </w:pPr>
      <w:r w:rsidRPr="00261E7D">
        <w:rPr>
          <w:rFonts w:ascii="Times New Roman" w:hAnsi="Times New Roman" w:cs="Times New Roman"/>
          <w:sz w:val="16"/>
          <w:szCs w:val="16"/>
        </w:rPr>
        <w:t>SSIGN</w:t>
      </w:r>
      <w:r w:rsidR="00D51497" w:rsidRPr="00261E7D">
        <w:rPr>
          <w:rFonts w:ascii="Times New Roman" w:hAnsi="Times New Roman" w:cs="Times New Roman"/>
          <w:sz w:val="16"/>
          <w:szCs w:val="16"/>
        </w:rPr>
        <w:t>, the Stage, Size, Grade, and Necrosis. P value wa</w:t>
      </w:r>
      <w:r w:rsidR="00D51497" w:rsidRPr="00261E7D">
        <w:rPr>
          <w:rFonts w:ascii="Times New Roman" w:hAnsi="Times New Roman" w:cs="Times New Roman" w:hint="eastAsia"/>
          <w:sz w:val="16"/>
          <w:szCs w:val="16"/>
        </w:rPr>
        <w:t>s</w:t>
      </w:r>
      <w:r w:rsidR="00D51497" w:rsidRPr="00261E7D">
        <w:rPr>
          <w:rFonts w:ascii="Times New Roman" w:hAnsi="Times New Roman" w:cs="Times New Roman"/>
          <w:sz w:val="16"/>
          <w:szCs w:val="16"/>
        </w:rPr>
        <w:t xml:space="preserve"> compared between fusion model and SSIGN model </w:t>
      </w:r>
      <w:r w:rsidR="00970741" w:rsidRPr="00261E7D">
        <w:rPr>
          <w:rFonts w:ascii="Times New Roman" w:hAnsi="Times New Roman" w:cs="Times New Roman"/>
          <w:b/>
          <w:sz w:val="16"/>
          <w:szCs w:val="16"/>
        </w:rPr>
        <w:br w:type="page"/>
      </w:r>
    </w:p>
    <w:p w:rsidR="00CA4B76" w:rsidRDefault="008248B3" w:rsidP="007329BA">
      <w:pPr>
        <w:widowControl/>
        <w:jc w:val="left"/>
        <w:rPr>
          <w:rFonts w:ascii="Times New Roman" w:hAnsi="Times New Roman" w:cs="Times New Roman"/>
          <w:b/>
          <w:sz w:val="24"/>
        </w:rPr>
      </w:pPr>
      <w:r w:rsidRPr="002C2E34">
        <w:rPr>
          <w:rFonts w:ascii="Times New Roman" w:hAnsi="Times New Roman" w:cs="Times New Roman"/>
          <w:b/>
          <w:sz w:val="24"/>
        </w:rPr>
        <w:lastRenderedPageBreak/>
        <w:t>Supplementary</w:t>
      </w:r>
      <w:r>
        <w:rPr>
          <w:rFonts w:ascii="Times New Roman" w:hAnsi="Times New Roman" w:cs="Times New Roman"/>
          <w:b/>
          <w:sz w:val="24"/>
        </w:rPr>
        <w:t xml:space="preserve"> figures</w:t>
      </w:r>
    </w:p>
    <w:p w:rsidR="00CA4B76" w:rsidRDefault="00CA4B76" w:rsidP="007329BA">
      <w:pPr>
        <w:widowControl/>
        <w:jc w:val="left"/>
        <w:rPr>
          <w:rFonts w:ascii="Times New Roman" w:hAnsi="Times New Roman" w:cs="Times New Roman"/>
          <w:b/>
          <w:sz w:val="24"/>
        </w:rPr>
      </w:pPr>
    </w:p>
    <w:p w:rsidR="00CA4B76" w:rsidRDefault="00CA4B76" w:rsidP="007329BA">
      <w:pPr>
        <w:widowControl/>
        <w:jc w:val="left"/>
        <w:rPr>
          <w:rFonts w:ascii="Times New Roman" w:hAnsi="Times New Roman" w:cs="Times New Roman"/>
          <w:b/>
          <w:sz w:val="24"/>
        </w:rPr>
      </w:pPr>
    </w:p>
    <w:p w:rsidR="00CA4B76" w:rsidRDefault="006D279C" w:rsidP="007329BA">
      <w:pPr>
        <w:widowControl/>
        <w:jc w:val="left"/>
        <w:rPr>
          <w:rFonts w:ascii="Times New Roman" w:hAnsi="Times New Roman" w:cs="Times New Roman"/>
          <w:b/>
          <w:sz w:val="24"/>
        </w:rPr>
      </w:pPr>
      <w:r>
        <w:rPr>
          <w:rFonts w:ascii="Times New Roman" w:hAnsi="Times New Roman" w:cs="Times New Roman" w:hint="eastAsia"/>
          <w:b/>
          <w:noProof/>
          <w:sz w:val="24"/>
        </w:rPr>
        <w:drawing>
          <wp:inline distT="0" distB="0" distL="0" distR="0">
            <wp:extent cx="4318000" cy="1422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1.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18000" cy="1422400"/>
                    </a:xfrm>
                    <a:prstGeom prst="rect">
                      <a:avLst/>
                    </a:prstGeom>
                  </pic:spPr>
                </pic:pic>
              </a:graphicData>
            </a:graphic>
          </wp:inline>
        </w:drawing>
      </w:r>
    </w:p>
    <w:p w:rsidR="00261E7D" w:rsidRDefault="00261E7D" w:rsidP="007329BA">
      <w:pPr>
        <w:widowControl/>
        <w:jc w:val="left"/>
        <w:rPr>
          <w:rFonts w:ascii="Times New Roman" w:hAnsi="Times New Roman" w:cs="Times New Roman"/>
          <w:b/>
          <w:sz w:val="24"/>
        </w:rPr>
      </w:pPr>
    </w:p>
    <w:p w:rsidR="00261E7D" w:rsidRPr="00261E7D" w:rsidRDefault="00261E7D" w:rsidP="00261E7D">
      <w:pPr>
        <w:snapToGrid w:val="0"/>
        <w:spacing w:line="360" w:lineRule="auto"/>
        <w:rPr>
          <w:rFonts w:ascii="Times New Roman" w:hAnsi="Times New Roman" w:cs="Times New Roman"/>
          <w:sz w:val="16"/>
          <w:szCs w:val="16"/>
        </w:rPr>
      </w:pPr>
      <w:r w:rsidRPr="00261E7D">
        <w:rPr>
          <w:rFonts w:ascii="Times New Roman" w:hAnsi="Times New Roman" w:cs="Times New Roman"/>
          <w:b/>
          <w:sz w:val="16"/>
          <w:szCs w:val="16"/>
        </w:rPr>
        <w:t>Fig. S1</w:t>
      </w:r>
      <w:r w:rsidRPr="00261E7D">
        <w:rPr>
          <w:rFonts w:ascii="Times New Roman" w:hAnsi="Times New Roman" w:cs="Times New Roman"/>
          <w:sz w:val="16"/>
          <w:szCs w:val="16"/>
        </w:rPr>
        <w:t xml:space="preserve"> Boxplot of Radscore derived from the IPAT 5mm model for predicting recurrence in ccRCC patients: (A) training set, (B) internal validation set, (C) external validation set.</w:t>
      </w:r>
    </w:p>
    <w:p w:rsidR="00261E7D" w:rsidRDefault="00261E7D" w:rsidP="00261E7D">
      <w:pPr>
        <w:snapToGrid w:val="0"/>
        <w:spacing w:line="360" w:lineRule="auto"/>
        <w:rPr>
          <w:rFonts w:ascii="Times New Roman" w:hAnsi="Times New Roman" w:cs="Times New Roman"/>
          <w:sz w:val="20"/>
          <w:szCs w:val="20"/>
        </w:rPr>
      </w:pPr>
    </w:p>
    <w:p w:rsidR="00261E7D" w:rsidRDefault="00261E7D">
      <w:pPr>
        <w:widowControl/>
        <w:jc w:val="left"/>
        <w:rPr>
          <w:rFonts w:ascii="Times New Roman" w:hAnsi="Times New Roman" w:cs="Times New Roman"/>
          <w:sz w:val="20"/>
          <w:szCs w:val="20"/>
        </w:rPr>
      </w:pPr>
      <w:r>
        <w:rPr>
          <w:rFonts w:ascii="Times New Roman" w:hAnsi="Times New Roman" w:cs="Times New Roman"/>
          <w:sz w:val="20"/>
          <w:szCs w:val="20"/>
        </w:rPr>
        <w:br w:type="page"/>
      </w:r>
    </w:p>
    <w:p w:rsidR="00261E7D" w:rsidRPr="0023582A" w:rsidRDefault="00261E7D" w:rsidP="00261E7D">
      <w:pPr>
        <w:snapToGrid w:val="0"/>
        <w:spacing w:line="360" w:lineRule="auto"/>
        <w:rPr>
          <w:rFonts w:ascii="Times New Roman" w:hAnsi="Times New Roman" w:cs="Times New Roman"/>
          <w:sz w:val="20"/>
          <w:szCs w:val="20"/>
        </w:rPr>
      </w:pPr>
    </w:p>
    <w:p w:rsidR="006D279C" w:rsidRDefault="00261E7D" w:rsidP="007329BA">
      <w:pPr>
        <w:widowControl/>
        <w:jc w:val="left"/>
        <w:rPr>
          <w:rFonts w:ascii="Times New Roman" w:hAnsi="Times New Roman" w:cs="Times New Roman"/>
          <w:b/>
          <w:sz w:val="24"/>
        </w:rPr>
      </w:pPr>
      <w:r>
        <w:rPr>
          <w:rFonts w:ascii="Times New Roman" w:hAnsi="Times New Roman" w:cs="Times New Roman" w:hint="eastAsia"/>
          <w:b/>
          <w:noProof/>
          <w:sz w:val="24"/>
        </w:rPr>
        <w:drawing>
          <wp:inline distT="0" distB="0" distL="0" distR="0">
            <wp:extent cx="4318000" cy="20447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18000" cy="2044700"/>
                    </a:xfrm>
                    <a:prstGeom prst="rect">
                      <a:avLst/>
                    </a:prstGeom>
                  </pic:spPr>
                </pic:pic>
              </a:graphicData>
            </a:graphic>
          </wp:inline>
        </w:drawing>
      </w:r>
    </w:p>
    <w:p w:rsidR="00261E7D" w:rsidRDefault="00261E7D" w:rsidP="007329BA">
      <w:pPr>
        <w:widowControl/>
        <w:jc w:val="left"/>
        <w:rPr>
          <w:rFonts w:ascii="Times New Roman" w:hAnsi="Times New Roman" w:cs="Times New Roman"/>
          <w:b/>
          <w:sz w:val="24"/>
        </w:rPr>
      </w:pPr>
    </w:p>
    <w:p w:rsidR="00261E7D" w:rsidRPr="00261E7D" w:rsidRDefault="00261E7D" w:rsidP="00261E7D">
      <w:pPr>
        <w:snapToGrid w:val="0"/>
        <w:spacing w:line="360" w:lineRule="auto"/>
        <w:rPr>
          <w:rFonts w:ascii="Times New Roman" w:hAnsi="Times New Roman" w:cs="Times New Roman"/>
          <w:sz w:val="16"/>
          <w:szCs w:val="16"/>
        </w:rPr>
      </w:pPr>
      <w:r w:rsidRPr="00261E7D">
        <w:rPr>
          <w:rFonts w:ascii="Times New Roman" w:hAnsi="Times New Roman" w:cs="Times New Roman"/>
          <w:b/>
          <w:sz w:val="16"/>
          <w:szCs w:val="16"/>
        </w:rPr>
        <w:t>Fig. S2</w:t>
      </w:r>
      <w:r w:rsidRPr="00261E7D">
        <w:rPr>
          <w:rFonts w:ascii="Times New Roman" w:hAnsi="Times New Roman" w:cs="Times New Roman"/>
          <w:sz w:val="16"/>
          <w:szCs w:val="16"/>
        </w:rPr>
        <w:t xml:space="preserve"> Calibration curves for the nomogram in the training set (A) and internal validation set (B).</w:t>
      </w:r>
    </w:p>
    <w:p w:rsidR="00261E7D" w:rsidRPr="00261E7D" w:rsidRDefault="00261E7D" w:rsidP="007329BA">
      <w:pPr>
        <w:widowControl/>
        <w:jc w:val="left"/>
        <w:rPr>
          <w:rFonts w:ascii="Times New Roman" w:hAnsi="Times New Roman" w:cs="Times New Roman"/>
          <w:b/>
          <w:sz w:val="24"/>
        </w:rPr>
      </w:pPr>
    </w:p>
    <w:p w:rsidR="00261E7D" w:rsidRDefault="00261E7D">
      <w:pPr>
        <w:widowControl/>
        <w:jc w:val="left"/>
        <w:rPr>
          <w:rFonts w:ascii="Times New Roman" w:hAnsi="Times New Roman" w:cs="Times New Roman"/>
          <w:b/>
          <w:sz w:val="24"/>
        </w:rPr>
      </w:pPr>
      <w:r>
        <w:rPr>
          <w:rFonts w:ascii="Times New Roman" w:hAnsi="Times New Roman" w:cs="Times New Roman"/>
          <w:b/>
          <w:sz w:val="24"/>
        </w:rPr>
        <w:br w:type="page"/>
      </w:r>
    </w:p>
    <w:p w:rsidR="00261E7D" w:rsidRDefault="00261E7D" w:rsidP="007329BA">
      <w:pPr>
        <w:widowControl/>
        <w:jc w:val="left"/>
        <w:rPr>
          <w:rFonts w:ascii="Times New Roman" w:hAnsi="Times New Roman" w:cs="Times New Roman"/>
          <w:b/>
          <w:sz w:val="24"/>
        </w:rPr>
      </w:pPr>
    </w:p>
    <w:p w:rsidR="00242FF9" w:rsidRDefault="00261E7D" w:rsidP="007329BA">
      <w:pPr>
        <w:widowControl/>
        <w:jc w:val="left"/>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4318000" cy="3022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3.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18000" cy="3022600"/>
                    </a:xfrm>
                    <a:prstGeom prst="rect">
                      <a:avLst/>
                    </a:prstGeom>
                  </pic:spPr>
                </pic:pic>
              </a:graphicData>
            </a:graphic>
          </wp:inline>
        </w:drawing>
      </w:r>
    </w:p>
    <w:p w:rsidR="00261E7D" w:rsidRDefault="00261E7D" w:rsidP="007329BA">
      <w:pPr>
        <w:widowControl/>
        <w:jc w:val="left"/>
        <w:rPr>
          <w:rFonts w:ascii="Times New Roman" w:hAnsi="Times New Roman" w:cs="Times New Roman"/>
          <w:sz w:val="18"/>
          <w:szCs w:val="18"/>
        </w:rPr>
      </w:pPr>
    </w:p>
    <w:p w:rsidR="00261E7D" w:rsidRPr="00261E7D" w:rsidRDefault="00261E7D" w:rsidP="00261E7D">
      <w:pPr>
        <w:snapToGrid w:val="0"/>
        <w:spacing w:line="360" w:lineRule="auto"/>
        <w:rPr>
          <w:rFonts w:ascii="Times New Roman" w:hAnsi="Times New Roman" w:cs="Times New Roman"/>
          <w:sz w:val="16"/>
          <w:szCs w:val="16"/>
        </w:rPr>
      </w:pPr>
      <w:r w:rsidRPr="00261E7D">
        <w:rPr>
          <w:rFonts w:ascii="Times New Roman" w:hAnsi="Times New Roman" w:cs="Times New Roman"/>
          <w:b/>
          <w:sz w:val="16"/>
          <w:szCs w:val="16"/>
        </w:rPr>
        <w:t xml:space="preserve">Fig. S3 </w:t>
      </w:r>
      <w:r w:rsidRPr="00261E7D">
        <w:rPr>
          <w:rFonts w:ascii="Times New Roman" w:hAnsi="Times New Roman" w:cs="Times New Roman"/>
          <w:sz w:val="16"/>
          <w:szCs w:val="16"/>
        </w:rPr>
        <w:t>Kaplan-Meier survival curves of different risk categories predicted by the nomogram in various subgroups: (A</w:t>
      </w:r>
      <w:r w:rsidRPr="00261E7D">
        <w:rPr>
          <w:rFonts w:ascii="Times New Roman" w:hAnsi="Times New Roman" w:cs="Times New Roman"/>
          <w:color w:val="000000" w:themeColor="text1"/>
          <w:sz w:val="16"/>
          <w:szCs w:val="16"/>
        </w:rPr>
        <w:t>) l</w:t>
      </w:r>
      <w:r w:rsidRPr="00261E7D">
        <w:rPr>
          <w:rFonts w:ascii="Times New Roman" w:hAnsi="Times New Roman" w:cs="Times New Roman" w:hint="eastAsia"/>
          <w:color w:val="000000" w:themeColor="text1"/>
          <w:sz w:val="16"/>
          <w:szCs w:val="16"/>
        </w:rPr>
        <w:t>o</w:t>
      </w:r>
      <w:r w:rsidRPr="00261E7D">
        <w:rPr>
          <w:rFonts w:ascii="Times New Roman" w:hAnsi="Times New Roman" w:cs="Times New Roman"/>
          <w:color w:val="000000" w:themeColor="text1"/>
          <w:sz w:val="16"/>
          <w:szCs w:val="16"/>
        </w:rPr>
        <w:t>w grade, (B) high grade, (C) intermediate-high risk group defined by SSIGN, (D) low risk group defined by SSIGN, (E) tumors larger than 4 cm, (F) tumors smaller than 4 cm.</w:t>
      </w:r>
    </w:p>
    <w:p w:rsidR="00261E7D" w:rsidRPr="00261E7D" w:rsidRDefault="00261E7D" w:rsidP="007329BA">
      <w:pPr>
        <w:widowControl/>
        <w:jc w:val="left"/>
        <w:rPr>
          <w:rFonts w:ascii="Times New Roman" w:hAnsi="Times New Roman" w:cs="Times New Roman"/>
          <w:sz w:val="18"/>
          <w:szCs w:val="18"/>
        </w:rPr>
      </w:pPr>
    </w:p>
    <w:sectPr w:rsidR="00261E7D" w:rsidRPr="00261E7D" w:rsidSect="00C3423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E4"/>
    <w:rsid w:val="000127DA"/>
    <w:rsid w:val="00082DE4"/>
    <w:rsid w:val="000851E3"/>
    <w:rsid w:val="000B02F6"/>
    <w:rsid w:val="000B46C1"/>
    <w:rsid w:val="000C7488"/>
    <w:rsid w:val="000F18C7"/>
    <w:rsid w:val="0011229C"/>
    <w:rsid w:val="00115653"/>
    <w:rsid w:val="0014413A"/>
    <w:rsid w:val="00172000"/>
    <w:rsid w:val="00174A93"/>
    <w:rsid w:val="0021331F"/>
    <w:rsid w:val="00242FF9"/>
    <w:rsid w:val="00261E7D"/>
    <w:rsid w:val="002C2E34"/>
    <w:rsid w:val="002D7F94"/>
    <w:rsid w:val="00310F1F"/>
    <w:rsid w:val="00360C92"/>
    <w:rsid w:val="003A2D7C"/>
    <w:rsid w:val="003E5C73"/>
    <w:rsid w:val="00410905"/>
    <w:rsid w:val="00436D18"/>
    <w:rsid w:val="00441070"/>
    <w:rsid w:val="00463182"/>
    <w:rsid w:val="004918BC"/>
    <w:rsid w:val="00496D66"/>
    <w:rsid w:val="004A16BB"/>
    <w:rsid w:val="004F5D28"/>
    <w:rsid w:val="005072F3"/>
    <w:rsid w:val="005170B1"/>
    <w:rsid w:val="00525FB2"/>
    <w:rsid w:val="0058162C"/>
    <w:rsid w:val="00666745"/>
    <w:rsid w:val="006956D3"/>
    <w:rsid w:val="006B6E2B"/>
    <w:rsid w:val="006D279C"/>
    <w:rsid w:val="006F441E"/>
    <w:rsid w:val="00715CBF"/>
    <w:rsid w:val="007329BA"/>
    <w:rsid w:val="00740FF2"/>
    <w:rsid w:val="00742CA3"/>
    <w:rsid w:val="00747F80"/>
    <w:rsid w:val="0077377D"/>
    <w:rsid w:val="007911CF"/>
    <w:rsid w:val="007D0CB2"/>
    <w:rsid w:val="007D5BCC"/>
    <w:rsid w:val="007E10ED"/>
    <w:rsid w:val="007F035F"/>
    <w:rsid w:val="007F4C0B"/>
    <w:rsid w:val="008248B3"/>
    <w:rsid w:val="00840112"/>
    <w:rsid w:val="008412C9"/>
    <w:rsid w:val="00851DA4"/>
    <w:rsid w:val="00857068"/>
    <w:rsid w:val="008C3659"/>
    <w:rsid w:val="008D2FAF"/>
    <w:rsid w:val="008E3666"/>
    <w:rsid w:val="00923C7A"/>
    <w:rsid w:val="0095356F"/>
    <w:rsid w:val="00970741"/>
    <w:rsid w:val="009749CD"/>
    <w:rsid w:val="00982C33"/>
    <w:rsid w:val="009B5844"/>
    <w:rsid w:val="009D74D5"/>
    <w:rsid w:val="00A11664"/>
    <w:rsid w:val="00A12E38"/>
    <w:rsid w:val="00A55CE0"/>
    <w:rsid w:val="00A61EEA"/>
    <w:rsid w:val="00A64A95"/>
    <w:rsid w:val="00A92CA4"/>
    <w:rsid w:val="00AE24C7"/>
    <w:rsid w:val="00AE4BFD"/>
    <w:rsid w:val="00AE5F6C"/>
    <w:rsid w:val="00AF6AE1"/>
    <w:rsid w:val="00B0739B"/>
    <w:rsid w:val="00B6505D"/>
    <w:rsid w:val="00B763A8"/>
    <w:rsid w:val="00B93E49"/>
    <w:rsid w:val="00C030D3"/>
    <w:rsid w:val="00C033B2"/>
    <w:rsid w:val="00C26C00"/>
    <w:rsid w:val="00C3423E"/>
    <w:rsid w:val="00C53AE0"/>
    <w:rsid w:val="00C55786"/>
    <w:rsid w:val="00C70899"/>
    <w:rsid w:val="00C91FDD"/>
    <w:rsid w:val="00CA4B76"/>
    <w:rsid w:val="00CB3B90"/>
    <w:rsid w:val="00D04220"/>
    <w:rsid w:val="00D3431B"/>
    <w:rsid w:val="00D51497"/>
    <w:rsid w:val="00D517C3"/>
    <w:rsid w:val="00DE4789"/>
    <w:rsid w:val="00E02A10"/>
    <w:rsid w:val="00E40F17"/>
    <w:rsid w:val="00E867C7"/>
    <w:rsid w:val="00E875DA"/>
    <w:rsid w:val="00EF6A7A"/>
    <w:rsid w:val="00F042D8"/>
    <w:rsid w:val="00F17268"/>
    <w:rsid w:val="00F23397"/>
    <w:rsid w:val="00F30E25"/>
    <w:rsid w:val="00F4360A"/>
    <w:rsid w:val="00F56F58"/>
    <w:rsid w:val="00F67E05"/>
    <w:rsid w:val="00FA3212"/>
    <w:rsid w:val="00FA53FE"/>
    <w:rsid w:val="00FF0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C988"/>
  <w15:chartTrackingRefBased/>
  <w15:docId w15:val="{0045753F-7D01-7C4F-BFE0-F6365E1F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2D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2C2E34"/>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525FB2"/>
    <w:pPr>
      <w:widowControl/>
      <w:jc w:val="left"/>
    </w:pPr>
    <w:rPr>
      <w:rFonts w:ascii="DengXian" w:eastAsia="DengXian" w:hAnsi="DengXian" w:cs="宋体"/>
      <w:kern w:val="0"/>
      <w:sz w:val="20"/>
    </w:rPr>
  </w:style>
  <w:style w:type="character" w:customStyle="1" w:styleId="EndNoteBibliography0">
    <w:name w:val="EndNote Bibliography 字符"/>
    <w:basedOn w:val="a0"/>
    <w:link w:val="EndNoteBibliography"/>
    <w:rsid w:val="00525FB2"/>
    <w:rPr>
      <w:rFonts w:ascii="DengXian" w:eastAsia="DengXian" w:hAnsi="DengXian" w:cs="宋体"/>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4467">
      <w:bodyDiv w:val="1"/>
      <w:marLeft w:val="0"/>
      <w:marRight w:val="0"/>
      <w:marTop w:val="0"/>
      <w:marBottom w:val="0"/>
      <w:divBdr>
        <w:top w:val="none" w:sz="0" w:space="0" w:color="auto"/>
        <w:left w:val="none" w:sz="0" w:space="0" w:color="auto"/>
        <w:bottom w:val="none" w:sz="0" w:space="0" w:color="auto"/>
        <w:right w:val="none" w:sz="0" w:space="0" w:color="auto"/>
      </w:divBdr>
    </w:div>
    <w:div w:id="145519100">
      <w:bodyDiv w:val="1"/>
      <w:marLeft w:val="0"/>
      <w:marRight w:val="0"/>
      <w:marTop w:val="0"/>
      <w:marBottom w:val="0"/>
      <w:divBdr>
        <w:top w:val="none" w:sz="0" w:space="0" w:color="auto"/>
        <w:left w:val="none" w:sz="0" w:space="0" w:color="auto"/>
        <w:bottom w:val="none" w:sz="0" w:space="0" w:color="auto"/>
        <w:right w:val="none" w:sz="0" w:space="0" w:color="auto"/>
      </w:divBdr>
    </w:div>
    <w:div w:id="259028771">
      <w:bodyDiv w:val="1"/>
      <w:marLeft w:val="0"/>
      <w:marRight w:val="0"/>
      <w:marTop w:val="0"/>
      <w:marBottom w:val="0"/>
      <w:divBdr>
        <w:top w:val="none" w:sz="0" w:space="0" w:color="auto"/>
        <w:left w:val="none" w:sz="0" w:space="0" w:color="auto"/>
        <w:bottom w:val="none" w:sz="0" w:space="0" w:color="auto"/>
        <w:right w:val="none" w:sz="0" w:space="0" w:color="auto"/>
      </w:divBdr>
    </w:div>
    <w:div w:id="301617609">
      <w:bodyDiv w:val="1"/>
      <w:marLeft w:val="0"/>
      <w:marRight w:val="0"/>
      <w:marTop w:val="0"/>
      <w:marBottom w:val="0"/>
      <w:divBdr>
        <w:top w:val="none" w:sz="0" w:space="0" w:color="auto"/>
        <w:left w:val="none" w:sz="0" w:space="0" w:color="auto"/>
        <w:bottom w:val="none" w:sz="0" w:space="0" w:color="auto"/>
        <w:right w:val="none" w:sz="0" w:space="0" w:color="auto"/>
      </w:divBdr>
    </w:div>
    <w:div w:id="670524196">
      <w:bodyDiv w:val="1"/>
      <w:marLeft w:val="0"/>
      <w:marRight w:val="0"/>
      <w:marTop w:val="0"/>
      <w:marBottom w:val="0"/>
      <w:divBdr>
        <w:top w:val="none" w:sz="0" w:space="0" w:color="auto"/>
        <w:left w:val="none" w:sz="0" w:space="0" w:color="auto"/>
        <w:bottom w:val="none" w:sz="0" w:space="0" w:color="auto"/>
        <w:right w:val="none" w:sz="0" w:space="0" w:color="auto"/>
      </w:divBdr>
    </w:div>
    <w:div w:id="727798423">
      <w:bodyDiv w:val="1"/>
      <w:marLeft w:val="0"/>
      <w:marRight w:val="0"/>
      <w:marTop w:val="0"/>
      <w:marBottom w:val="0"/>
      <w:divBdr>
        <w:top w:val="none" w:sz="0" w:space="0" w:color="auto"/>
        <w:left w:val="none" w:sz="0" w:space="0" w:color="auto"/>
        <w:bottom w:val="none" w:sz="0" w:space="0" w:color="auto"/>
        <w:right w:val="none" w:sz="0" w:space="0" w:color="auto"/>
      </w:divBdr>
    </w:div>
    <w:div w:id="869270191">
      <w:bodyDiv w:val="1"/>
      <w:marLeft w:val="0"/>
      <w:marRight w:val="0"/>
      <w:marTop w:val="0"/>
      <w:marBottom w:val="0"/>
      <w:divBdr>
        <w:top w:val="none" w:sz="0" w:space="0" w:color="auto"/>
        <w:left w:val="none" w:sz="0" w:space="0" w:color="auto"/>
        <w:bottom w:val="none" w:sz="0" w:space="0" w:color="auto"/>
        <w:right w:val="none" w:sz="0" w:space="0" w:color="auto"/>
      </w:divBdr>
    </w:div>
    <w:div w:id="878394047">
      <w:bodyDiv w:val="1"/>
      <w:marLeft w:val="0"/>
      <w:marRight w:val="0"/>
      <w:marTop w:val="0"/>
      <w:marBottom w:val="0"/>
      <w:divBdr>
        <w:top w:val="none" w:sz="0" w:space="0" w:color="auto"/>
        <w:left w:val="none" w:sz="0" w:space="0" w:color="auto"/>
        <w:bottom w:val="none" w:sz="0" w:space="0" w:color="auto"/>
        <w:right w:val="none" w:sz="0" w:space="0" w:color="auto"/>
      </w:divBdr>
    </w:div>
    <w:div w:id="1064376931">
      <w:bodyDiv w:val="1"/>
      <w:marLeft w:val="0"/>
      <w:marRight w:val="0"/>
      <w:marTop w:val="0"/>
      <w:marBottom w:val="0"/>
      <w:divBdr>
        <w:top w:val="none" w:sz="0" w:space="0" w:color="auto"/>
        <w:left w:val="none" w:sz="0" w:space="0" w:color="auto"/>
        <w:bottom w:val="none" w:sz="0" w:space="0" w:color="auto"/>
        <w:right w:val="none" w:sz="0" w:space="0" w:color="auto"/>
      </w:divBdr>
    </w:div>
    <w:div w:id="1142843947">
      <w:bodyDiv w:val="1"/>
      <w:marLeft w:val="0"/>
      <w:marRight w:val="0"/>
      <w:marTop w:val="0"/>
      <w:marBottom w:val="0"/>
      <w:divBdr>
        <w:top w:val="none" w:sz="0" w:space="0" w:color="auto"/>
        <w:left w:val="none" w:sz="0" w:space="0" w:color="auto"/>
        <w:bottom w:val="none" w:sz="0" w:space="0" w:color="auto"/>
        <w:right w:val="none" w:sz="0" w:space="0" w:color="auto"/>
      </w:divBdr>
    </w:div>
    <w:div w:id="1199733681">
      <w:bodyDiv w:val="1"/>
      <w:marLeft w:val="0"/>
      <w:marRight w:val="0"/>
      <w:marTop w:val="0"/>
      <w:marBottom w:val="0"/>
      <w:divBdr>
        <w:top w:val="none" w:sz="0" w:space="0" w:color="auto"/>
        <w:left w:val="none" w:sz="0" w:space="0" w:color="auto"/>
        <w:bottom w:val="none" w:sz="0" w:space="0" w:color="auto"/>
        <w:right w:val="none" w:sz="0" w:space="0" w:color="auto"/>
      </w:divBdr>
    </w:div>
    <w:div w:id="1271084620">
      <w:bodyDiv w:val="1"/>
      <w:marLeft w:val="0"/>
      <w:marRight w:val="0"/>
      <w:marTop w:val="0"/>
      <w:marBottom w:val="0"/>
      <w:divBdr>
        <w:top w:val="none" w:sz="0" w:space="0" w:color="auto"/>
        <w:left w:val="none" w:sz="0" w:space="0" w:color="auto"/>
        <w:bottom w:val="none" w:sz="0" w:space="0" w:color="auto"/>
        <w:right w:val="none" w:sz="0" w:space="0" w:color="auto"/>
      </w:divBdr>
    </w:div>
    <w:div w:id="1295678563">
      <w:bodyDiv w:val="1"/>
      <w:marLeft w:val="0"/>
      <w:marRight w:val="0"/>
      <w:marTop w:val="0"/>
      <w:marBottom w:val="0"/>
      <w:divBdr>
        <w:top w:val="none" w:sz="0" w:space="0" w:color="auto"/>
        <w:left w:val="none" w:sz="0" w:space="0" w:color="auto"/>
        <w:bottom w:val="none" w:sz="0" w:space="0" w:color="auto"/>
        <w:right w:val="none" w:sz="0" w:space="0" w:color="auto"/>
      </w:divBdr>
    </w:div>
    <w:div w:id="1449425344">
      <w:bodyDiv w:val="1"/>
      <w:marLeft w:val="0"/>
      <w:marRight w:val="0"/>
      <w:marTop w:val="0"/>
      <w:marBottom w:val="0"/>
      <w:divBdr>
        <w:top w:val="none" w:sz="0" w:space="0" w:color="auto"/>
        <w:left w:val="none" w:sz="0" w:space="0" w:color="auto"/>
        <w:bottom w:val="none" w:sz="0" w:space="0" w:color="auto"/>
        <w:right w:val="none" w:sz="0" w:space="0" w:color="auto"/>
      </w:divBdr>
    </w:div>
    <w:div w:id="1460606829">
      <w:bodyDiv w:val="1"/>
      <w:marLeft w:val="0"/>
      <w:marRight w:val="0"/>
      <w:marTop w:val="0"/>
      <w:marBottom w:val="0"/>
      <w:divBdr>
        <w:top w:val="none" w:sz="0" w:space="0" w:color="auto"/>
        <w:left w:val="none" w:sz="0" w:space="0" w:color="auto"/>
        <w:bottom w:val="none" w:sz="0" w:space="0" w:color="auto"/>
        <w:right w:val="none" w:sz="0" w:space="0" w:color="auto"/>
      </w:divBdr>
    </w:div>
    <w:div w:id="1570842155">
      <w:bodyDiv w:val="1"/>
      <w:marLeft w:val="0"/>
      <w:marRight w:val="0"/>
      <w:marTop w:val="0"/>
      <w:marBottom w:val="0"/>
      <w:divBdr>
        <w:top w:val="none" w:sz="0" w:space="0" w:color="auto"/>
        <w:left w:val="none" w:sz="0" w:space="0" w:color="auto"/>
        <w:bottom w:val="none" w:sz="0" w:space="0" w:color="auto"/>
        <w:right w:val="none" w:sz="0" w:space="0" w:color="auto"/>
      </w:divBdr>
    </w:div>
    <w:div w:id="1663580911">
      <w:bodyDiv w:val="1"/>
      <w:marLeft w:val="0"/>
      <w:marRight w:val="0"/>
      <w:marTop w:val="0"/>
      <w:marBottom w:val="0"/>
      <w:divBdr>
        <w:top w:val="none" w:sz="0" w:space="0" w:color="auto"/>
        <w:left w:val="none" w:sz="0" w:space="0" w:color="auto"/>
        <w:bottom w:val="none" w:sz="0" w:space="0" w:color="auto"/>
        <w:right w:val="none" w:sz="0" w:space="0" w:color="auto"/>
      </w:divBdr>
    </w:div>
    <w:div w:id="1732842994">
      <w:bodyDiv w:val="1"/>
      <w:marLeft w:val="0"/>
      <w:marRight w:val="0"/>
      <w:marTop w:val="0"/>
      <w:marBottom w:val="0"/>
      <w:divBdr>
        <w:top w:val="none" w:sz="0" w:space="0" w:color="auto"/>
        <w:left w:val="none" w:sz="0" w:space="0" w:color="auto"/>
        <w:bottom w:val="none" w:sz="0" w:space="0" w:color="auto"/>
        <w:right w:val="none" w:sz="0" w:space="0" w:color="auto"/>
      </w:divBdr>
    </w:div>
    <w:div w:id="1750731498">
      <w:bodyDiv w:val="1"/>
      <w:marLeft w:val="0"/>
      <w:marRight w:val="0"/>
      <w:marTop w:val="0"/>
      <w:marBottom w:val="0"/>
      <w:divBdr>
        <w:top w:val="none" w:sz="0" w:space="0" w:color="auto"/>
        <w:left w:val="none" w:sz="0" w:space="0" w:color="auto"/>
        <w:bottom w:val="none" w:sz="0" w:space="0" w:color="auto"/>
        <w:right w:val="none" w:sz="0" w:space="0" w:color="auto"/>
      </w:divBdr>
    </w:div>
    <w:div w:id="1819683970">
      <w:bodyDiv w:val="1"/>
      <w:marLeft w:val="0"/>
      <w:marRight w:val="0"/>
      <w:marTop w:val="0"/>
      <w:marBottom w:val="0"/>
      <w:divBdr>
        <w:top w:val="none" w:sz="0" w:space="0" w:color="auto"/>
        <w:left w:val="none" w:sz="0" w:space="0" w:color="auto"/>
        <w:bottom w:val="none" w:sz="0" w:space="0" w:color="auto"/>
        <w:right w:val="none" w:sz="0" w:space="0" w:color="auto"/>
      </w:divBdr>
    </w:div>
    <w:div w:id="2020809801">
      <w:bodyDiv w:val="1"/>
      <w:marLeft w:val="0"/>
      <w:marRight w:val="0"/>
      <w:marTop w:val="0"/>
      <w:marBottom w:val="0"/>
      <w:divBdr>
        <w:top w:val="none" w:sz="0" w:space="0" w:color="auto"/>
        <w:left w:val="none" w:sz="0" w:space="0" w:color="auto"/>
        <w:bottom w:val="none" w:sz="0" w:space="0" w:color="auto"/>
        <w:right w:val="none" w:sz="0" w:space="0" w:color="auto"/>
      </w:divBdr>
    </w:div>
    <w:div w:id="204101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5" Type="http://schemas.openxmlformats.org/officeDocument/2006/relationships/image" Target="media/image1.t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7A165-0232-9D4F-AFD7-99FAFB95D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953</Words>
  <Characters>5438</Characters>
  <Application>Microsoft Office Word</Application>
  <DocSecurity>0</DocSecurity>
  <Lines>45</Lines>
  <Paragraphs>12</Paragraphs>
  <ScaleCrop>false</ScaleCrop>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11</cp:revision>
  <dcterms:created xsi:type="dcterms:W3CDTF">2024-01-22T02:22:00Z</dcterms:created>
  <dcterms:modified xsi:type="dcterms:W3CDTF">2025-03-30T05:30:00Z</dcterms:modified>
</cp:coreProperties>
</file>