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CE1A8F" w14:textId="77777777" w:rsidR="00815411" w:rsidRDefault="00AC6777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  <w:t>Supplemental Figures</w:t>
      </w:r>
    </w:p>
    <w:p w14:paraId="418EDC4C" w14:textId="77777777" w:rsidR="00815411" w:rsidRDefault="00AC6777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 w:hint="eastAsia"/>
          <w:noProof/>
          <w:color w:val="000000" w:themeColor="text1"/>
          <w:sz w:val="22"/>
          <w:szCs w:val="22"/>
        </w:rPr>
        <w:drawing>
          <wp:inline distT="0" distB="0" distL="0" distR="0" wp14:anchorId="0F8C8591" wp14:editId="1CECB437">
            <wp:extent cx="5208270" cy="3923665"/>
            <wp:effectExtent l="0" t="0" r="11430" b="635"/>
            <wp:docPr id="474589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58934" name="图片 6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8369" cy="39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62EC5" w14:textId="77777777" w:rsidR="00815411" w:rsidRDefault="00AC6777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  <w:t xml:space="preserve">Supplemental Figure S1.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Bland-Altman plots. (A) SNR (T2WI) plot. (B) SNR (T2WI+DLR) plot. (C) CNR (T2WI) plot. (D) CNR (T2WI+DLR) plot. The solid blue line indicated the mean difference in measurements between two radiologists. The dashed red lines indicated the limits of the agreements.</w:t>
      </w:r>
    </w:p>
    <w:p w14:paraId="225D0945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66395D67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41C1213E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292525C9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112756D4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2D3ACF72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44350661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41429965" w14:textId="77777777" w:rsidR="00815411" w:rsidRDefault="00AC6777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 w:hint="eastAsia"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3FCA5FB9" wp14:editId="51C70975">
            <wp:extent cx="5255895" cy="3959860"/>
            <wp:effectExtent l="0" t="0" r="1905" b="2540"/>
            <wp:docPr id="175705017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050172" name="图片 7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6152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38F95" w14:textId="77777777" w:rsidR="00815411" w:rsidRDefault="00AC6777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  <w:t xml:space="preserve">Supplemental Figure S2.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>Bland-Altman plots. (A) SNR (DWI) plot. (B) SNR (DWI+DLR) plot. (C) CNR (DWI) plot. (D) CNR (DWI+DLR) plot. The solid blue line indicated the mean difference in measurements between two radiologists. The dashed red lines indicated the limits of the agreements.</w:t>
      </w:r>
    </w:p>
    <w:p w14:paraId="2AA82371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0F647780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1C492DFD" w14:textId="77777777" w:rsidR="00815411" w:rsidRDefault="00815411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</w:p>
    <w:p w14:paraId="3E75F723" w14:textId="77777777" w:rsidR="00815411" w:rsidRDefault="00AC6777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 w:hint="eastAsia"/>
          <w:noProof/>
          <w:color w:val="000000" w:themeColor="text1"/>
          <w:sz w:val="22"/>
          <w:szCs w:val="22"/>
        </w:rPr>
        <w:lastRenderedPageBreak/>
        <w:drawing>
          <wp:inline distT="0" distB="0" distL="0" distR="0" wp14:anchorId="5BC2B1C2" wp14:editId="572A3AAA">
            <wp:extent cx="5259070" cy="3959860"/>
            <wp:effectExtent l="0" t="0" r="11430" b="2540"/>
            <wp:docPr id="172180137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801370" name="图片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913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6C458" w14:textId="379DFCFB" w:rsidR="007B0B43" w:rsidRDefault="00AC6777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  <w:t>Supplemental Figure S3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. </w:t>
      </w:r>
      <w:r>
        <w:rPr>
          <w:rFonts w:ascii="Times New Roman" w:hAnsi="Times New Roman"/>
          <w:color w:val="000000" w:themeColor="text1"/>
          <w:sz w:val="22"/>
          <w:szCs w:val="22"/>
        </w:rPr>
        <w:t>Bland-Altman plots. (A) SNR (CE-T1WI) plot. (B) SNR (CE-T1WI+DLR) plot. (C) CNR (CE-T1WI) plot. (D) CNR (CE-T1WI+DLR) plot. The solid blue line indicated the mean difference in measurements between two radiologists. The dashed red lines indicated the limits of the agreements.</w:t>
      </w:r>
    </w:p>
    <w:p w14:paraId="42FF0CB0" w14:textId="77777777" w:rsidR="007B0B43" w:rsidRDefault="007B0B43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p w14:paraId="737F5379" w14:textId="07605236" w:rsidR="00415515" w:rsidRDefault="007B0B43">
      <w:r>
        <w:rPr>
          <w:noProof/>
        </w:rPr>
        <w:lastRenderedPageBreak/>
        <w:drawing>
          <wp:inline distT="0" distB="0" distL="0" distR="0" wp14:anchorId="08546840" wp14:editId="7887BA32">
            <wp:extent cx="5267509" cy="2479680"/>
            <wp:effectExtent l="0" t="0" r="9525" b="0"/>
            <wp:docPr id="6528324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994" cy="2490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16139" w14:textId="17874311" w:rsidR="007B0B43" w:rsidRDefault="007B0B43" w:rsidP="007B0B43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  <w:t>Supplemental Figure S</w:t>
      </w:r>
      <w:r>
        <w:rPr>
          <w:rFonts w:ascii="Times New Roman" w:hAnsi="Times New Roman" w:cs="Times New Roman" w:hint="eastAsia"/>
          <w:b/>
          <w:bCs/>
          <w:color w:val="000000" w:themeColor="text1"/>
          <w:kern w:val="0"/>
          <w:sz w:val="22"/>
          <w:szCs w:val="22"/>
        </w:rPr>
        <w:t>4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.</w:t>
      </w:r>
      <w:r>
        <w:rPr>
          <w:rFonts w:ascii="Times New Roman" w:hAnsi="Times New Roman" w:hint="eastAsia"/>
          <w:color w:val="000000" w:themeColor="text1"/>
          <w:sz w:val="22"/>
          <w:szCs w:val="22"/>
        </w:rPr>
        <w:t xml:space="preserve"> ROC curves. (a) The ROC curves for distinguishing T1-2 from T3-4 by different readers. (b) The ROC curves for distinguishing N- from N+ by different readers.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0EF6D0D8" w14:textId="77777777" w:rsidR="007B0B43" w:rsidRDefault="007B0B43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br w:type="page"/>
      </w:r>
    </w:p>
    <w:p w14:paraId="45F6F231" w14:textId="77777777" w:rsidR="007B0B43" w:rsidRDefault="007B0B43" w:rsidP="00415515">
      <w:pPr>
        <w:spacing w:line="480" w:lineRule="auto"/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461A30CA" wp14:editId="1A237470">
            <wp:extent cx="4985068" cy="3330224"/>
            <wp:effectExtent l="0" t="0" r="6350" b="3810"/>
            <wp:docPr id="84394505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4603" cy="334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C2C21A" w14:textId="1396B70F" w:rsidR="00415515" w:rsidRDefault="007B0B43" w:rsidP="00415515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  <w:t>Supplemental Figure S</w:t>
      </w:r>
      <w:r w:rsidR="00415515">
        <w:rPr>
          <w:rFonts w:ascii="Times New Roman" w:hAnsi="Times New Roman"/>
          <w:b/>
          <w:bCs/>
          <w:color w:val="000000" w:themeColor="text1"/>
          <w:sz w:val="22"/>
          <w:szCs w:val="22"/>
        </w:rPr>
        <w:t>5.</w:t>
      </w:r>
      <w:r w:rsidR="0041551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865F3">
        <w:rPr>
          <w:rFonts w:ascii="Times New Roman" w:hAnsi="Times New Roman" w:hint="eastAsia"/>
          <w:color w:val="000000" w:themeColor="text1"/>
          <w:sz w:val="22"/>
          <w:szCs w:val="22"/>
        </w:rPr>
        <w:t>A f</w:t>
      </w:r>
      <w:r w:rsidR="00415515">
        <w:rPr>
          <w:rFonts w:ascii="Times New Roman" w:hAnsi="Times New Roman"/>
          <w:color w:val="000000" w:themeColor="text1"/>
          <w:sz w:val="22"/>
          <w:szCs w:val="22"/>
        </w:rPr>
        <w:t>emale</w:t>
      </w:r>
      <w:r w:rsidR="004865F3">
        <w:rPr>
          <w:rFonts w:ascii="Times New Roman" w:hAnsi="Times New Roman" w:hint="eastAsia"/>
          <w:color w:val="000000" w:themeColor="text1"/>
          <w:sz w:val="22"/>
          <w:szCs w:val="22"/>
        </w:rPr>
        <w:t xml:space="preserve"> with </w:t>
      </w:r>
      <w:r w:rsidR="00415515">
        <w:rPr>
          <w:rFonts w:ascii="Times New Roman" w:hAnsi="Times New Roman" w:hint="eastAsia"/>
          <w:color w:val="000000" w:themeColor="text1"/>
          <w:sz w:val="22"/>
          <w:szCs w:val="22"/>
        </w:rPr>
        <w:t>rectal</w:t>
      </w:r>
      <w:r w:rsidR="00415515">
        <w:rPr>
          <w:rFonts w:ascii="Times New Roman" w:hAnsi="Times New Roman"/>
          <w:color w:val="000000" w:themeColor="text1"/>
          <w:sz w:val="22"/>
          <w:szCs w:val="22"/>
        </w:rPr>
        <w:t xml:space="preserve"> a</w:t>
      </w:r>
      <w:r w:rsidR="00415515">
        <w:rPr>
          <w:rFonts w:ascii="Times New Roman" w:eastAsia="Arial Unicode MS" w:hAnsi="Times New Roman" w:cs="Arial Unicode MS"/>
          <w:color w:val="000000"/>
          <w:kern w:val="0"/>
          <w:sz w:val="22"/>
          <w:szCs w:val="22"/>
        </w:rPr>
        <w:t>denocarcinoma</w:t>
      </w:r>
      <w:r w:rsidR="00415515">
        <w:rPr>
          <w:rFonts w:ascii="Times New Roman" w:hAnsi="Times New Roman" w:hint="eastAsia"/>
          <w:color w:val="000000" w:themeColor="text1"/>
          <w:sz w:val="22"/>
          <w:szCs w:val="22"/>
        </w:rPr>
        <w:t>,</w:t>
      </w:r>
      <w:r w:rsidR="00415515">
        <w:rPr>
          <w:rFonts w:ascii="Times New Roman" w:hAnsi="Times New Roman"/>
          <w:color w:val="000000" w:themeColor="text1"/>
          <w:sz w:val="22"/>
          <w:szCs w:val="22"/>
        </w:rPr>
        <w:t xml:space="preserve"> pT3N2. Comparison of the original and DLR image sets. White arrow indicated the location of rectal lesion. (A) were original T2WI (SNR and CNR were 47.1 and 28.1, respectively) and T2WI+DLR (SNR and CNR were 54.8 and 33.6, respectively); (B) were original DWI (SNR and CNR were 154.8 and 138.4, respectively) and DWI+DLR (SNR and CNR were 170.5 and 147.8, respectively); (C) were original CE-T1WI (SNR and CNR were 407.2 and 166.5, respectively) and CE-T1WI+DLR (SNR and CNR were 507.3 and 214.2, respectively). The scores of original T2WI, DWI, and CE-T1WI for the lesion display performance were 4, 4, and 4. The scores of DLR T2WI, DWI, and CE-T1WI for the lesion display performance were 5, 4, and 4. The scores of original T2WI, DWI, and CE-T1WI for the overall image quality were 4, 4, and 4. The scores of DLR T2WI, DWI, and CE-T1WI for the overall image quality were 5, 4, and 4. T- and N-stage of original image set from the three readers were mrT3aN1, mrT2N0, and mrT2N1, respectively. T- and N-stage of the DLR image set from the three readers were mrT3aN2, mrT3aN1, and mrT2N1, respectively.</w:t>
      </w:r>
    </w:p>
    <w:p w14:paraId="5D9D1DB6" w14:textId="7D3F7B16" w:rsidR="00415515" w:rsidRDefault="007B0B43" w:rsidP="00415515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559E2652" wp14:editId="2F56F92F">
            <wp:extent cx="5262001" cy="3138616"/>
            <wp:effectExtent l="0" t="0" r="0" b="5080"/>
            <wp:docPr id="82350669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00" cy="3155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43775F" w14:textId="2EBC5634" w:rsidR="007B0B43" w:rsidRDefault="007B0B43" w:rsidP="007B0B43">
      <w:pPr>
        <w:spacing w:line="480" w:lineRule="auto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  <w:t>Supplemental Figure S</w:t>
      </w:r>
      <w:r w:rsidR="00415515">
        <w:rPr>
          <w:rFonts w:ascii="Times New Roman" w:hAnsi="Times New Roman"/>
          <w:b/>
          <w:bCs/>
          <w:color w:val="000000" w:themeColor="text1"/>
          <w:sz w:val="22"/>
          <w:szCs w:val="22"/>
        </w:rPr>
        <w:t>6.</w:t>
      </w:r>
      <w:r w:rsidR="0041551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865F3">
        <w:rPr>
          <w:rFonts w:ascii="Times New Roman" w:hAnsi="Times New Roman" w:hint="eastAsia"/>
          <w:color w:val="000000" w:themeColor="text1"/>
          <w:sz w:val="22"/>
          <w:szCs w:val="22"/>
        </w:rPr>
        <w:t>A m</w:t>
      </w:r>
      <w:r w:rsidR="00415515">
        <w:rPr>
          <w:rFonts w:ascii="Times New Roman" w:hAnsi="Times New Roman"/>
          <w:color w:val="000000" w:themeColor="text1"/>
          <w:sz w:val="22"/>
          <w:szCs w:val="22"/>
        </w:rPr>
        <w:t>ale</w:t>
      </w:r>
      <w:r w:rsidR="004865F3">
        <w:rPr>
          <w:rFonts w:ascii="Times New Roman" w:hAnsi="Times New Roman" w:hint="eastAsia"/>
          <w:color w:val="000000" w:themeColor="text1"/>
          <w:sz w:val="22"/>
          <w:szCs w:val="22"/>
        </w:rPr>
        <w:t xml:space="preserve"> with</w:t>
      </w:r>
      <w:r w:rsidR="00415515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15515">
        <w:rPr>
          <w:rFonts w:ascii="Times New Roman" w:hAnsi="Times New Roman" w:hint="eastAsia"/>
          <w:color w:val="000000" w:themeColor="text1"/>
          <w:sz w:val="22"/>
          <w:szCs w:val="22"/>
        </w:rPr>
        <w:t>rectal</w:t>
      </w:r>
      <w:r w:rsidR="00415515">
        <w:rPr>
          <w:rFonts w:ascii="Times New Roman" w:hAnsi="Times New Roman"/>
          <w:color w:val="000000" w:themeColor="text1"/>
          <w:sz w:val="22"/>
          <w:szCs w:val="22"/>
        </w:rPr>
        <w:t xml:space="preserve"> a</w:t>
      </w:r>
      <w:r w:rsidR="00415515">
        <w:rPr>
          <w:rFonts w:ascii="Times New Roman" w:eastAsia="Arial Unicode MS" w:hAnsi="Times New Roman" w:cs="Arial Unicode MS"/>
          <w:color w:val="000000"/>
          <w:kern w:val="0"/>
          <w:sz w:val="22"/>
          <w:szCs w:val="22"/>
        </w:rPr>
        <w:t>denocarcinoma</w:t>
      </w:r>
      <w:r w:rsidR="00415515">
        <w:rPr>
          <w:rFonts w:ascii="Times New Roman" w:hAnsi="Times New Roman" w:hint="eastAsia"/>
          <w:color w:val="000000" w:themeColor="text1"/>
          <w:sz w:val="22"/>
          <w:szCs w:val="22"/>
        </w:rPr>
        <w:t>,</w:t>
      </w:r>
      <w:r w:rsidR="00415515">
        <w:rPr>
          <w:rFonts w:ascii="Times New Roman" w:hAnsi="Times New Roman"/>
          <w:color w:val="000000" w:themeColor="text1"/>
          <w:sz w:val="22"/>
          <w:szCs w:val="22"/>
        </w:rPr>
        <w:t xml:space="preserve"> pT2N0. Comparison of the original and DLR image sets. White arrow indicated the location of rectal lesion. (A) were original T2WI (SNR and CNR were 45.0 and 30.0, respectively) and T2WI+DLR (SNR and CNR were 93.5 and 64.3, respectively); (B) were original DWI (SNR and CNR were 165.4 and 140.8, respectively) and DWI+DLR (SNR and CNR were 187.0 and 158.0, respectively); (C) were original CE-T1WI (SNR and CNR were 248.6 and 121.2, respectively) and CE-T1WI+DLR (SNR and CNR were 840.4 and 391.6, respectively). The scores of original T2WI, DWI, and CE-T1WI for the lesion display performance were 4, 4, and 4. The scores of DLR T2WI, DWI, and CE-T1WI for the lesion display performance were 5, 4, and 5. The scores of original T2WI, DWI and CE-T1WI for the overall image quality were 4, 3, and 4. The scores of DLR T2WI, DWI and CE-T1WI for the overall image quality were 5, 4, and 5. T- and N-stage of the original image set from the three readers were mrT2N0, T3aN0, and T3aN0, respectively. T- and N-stage of the DLR image set from the three readers were mrT2N0, T2N0, and T3aN0, respectively.</w:t>
      </w:r>
    </w:p>
    <w:p w14:paraId="6C97DF75" w14:textId="77E70A83" w:rsidR="00415515" w:rsidRPr="007B0B43" w:rsidRDefault="007B0B43" w:rsidP="007B0B43">
      <w:pPr>
        <w:widowControl/>
        <w:jc w:val="left"/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br w:type="page"/>
      </w:r>
      <w:r w:rsidR="00FA33C8">
        <w:rPr>
          <w:noProof/>
        </w:rPr>
        <w:lastRenderedPageBreak/>
        <w:drawing>
          <wp:inline distT="0" distB="0" distL="0" distR="0" wp14:anchorId="2ED94F3F" wp14:editId="55FC6AD9">
            <wp:extent cx="5285161" cy="2300412"/>
            <wp:effectExtent l="0" t="0" r="0" b="5080"/>
            <wp:docPr id="177197095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9842" cy="2306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4EF575" w14:textId="53056AAB" w:rsidR="007B0B43" w:rsidRPr="00C161B0" w:rsidRDefault="007B0B43" w:rsidP="007B0B43">
      <w:pPr>
        <w:spacing w:line="480" w:lineRule="auto"/>
      </w:pPr>
      <w:r>
        <w:rPr>
          <w:rFonts w:ascii="Times New Roman" w:hAnsi="Times New Roman" w:cs="Times New Roman"/>
          <w:b/>
          <w:bCs/>
          <w:color w:val="000000" w:themeColor="text1"/>
          <w:kern w:val="0"/>
          <w:sz w:val="22"/>
          <w:szCs w:val="22"/>
        </w:rPr>
        <w:t>Supplemental Figure S</w:t>
      </w:r>
      <w:r>
        <w:rPr>
          <w:rFonts w:ascii="Times New Roman" w:hAnsi="Times New Roman" w:hint="eastAsia"/>
          <w:b/>
          <w:bCs/>
          <w:color w:val="000000" w:themeColor="text1"/>
          <w:sz w:val="22"/>
          <w:szCs w:val="22"/>
        </w:rPr>
        <w:t>7</w:t>
      </w:r>
      <w:r>
        <w:rPr>
          <w:rFonts w:ascii="Times New Roman" w:hAnsi="Times New Roman"/>
          <w:b/>
          <w:bCs/>
          <w:color w:val="000000" w:themeColor="text1"/>
          <w:sz w:val="22"/>
          <w:szCs w:val="22"/>
        </w:rPr>
        <w:t>.</w:t>
      </w:r>
      <w:r w:rsidR="00C161B0">
        <w:rPr>
          <w:rFonts w:ascii="Times New Roman" w:hAnsi="Times New Roman" w:hint="eastAsia"/>
          <w:b/>
          <w:bCs/>
          <w:color w:val="000000" w:themeColor="text1"/>
          <w:sz w:val="22"/>
          <w:szCs w:val="22"/>
        </w:rPr>
        <w:t xml:space="preserve"> 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DCA in the 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test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 set. </w:t>
      </w:r>
      <w:r w:rsidR="007F103E">
        <w:rPr>
          <w:rFonts w:ascii="Times New Roman" w:hAnsi="Times New Roman" w:hint="eastAsia"/>
          <w:color w:val="000000" w:themeColor="text1"/>
          <w:sz w:val="22"/>
          <w:szCs w:val="22"/>
        </w:rPr>
        <w:t>B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lue </w:t>
      </w:r>
      <w:r w:rsidR="007F103E">
        <w:rPr>
          <w:rFonts w:ascii="Times New Roman" w:hAnsi="Times New Roman" w:hint="eastAsia"/>
          <w:color w:val="000000" w:themeColor="text1"/>
          <w:sz w:val="22"/>
          <w:szCs w:val="22"/>
        </w:rPr>
        <w:t>and r</w:t>
      </w:r>
      <w:r w:rsidR="007F103E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ed 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curves represent the 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DLR-model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 and 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o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>riginal-model, respectively. (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a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>)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 xml:space="preserve"> 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showed that with a large probability range, utilizing the developed 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DLR-model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 to evaluat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e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 T-stage conferred a positive net benefit versus the 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o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>riginal-model and the all-or-none scheme. (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b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>)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 xml:space="preserve"> 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showed that the 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DLR-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model 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and o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>riginal-model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 xml:space="preserve"> had 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>similar clinical benefi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t</w:t>
      </w:r>
      <w:r w:rsidR="00C161B0" w:rsidRPr="00C161B0">
        <w:rPr>
          <w:rFonts w:ascii="Times New Roman" w:hAnsi="Times New Roman"/>
          <w:color w:val="000000" w:themeColor="text1"/>
          <w:sz w:val="22"/>
          <w:szCs w:val="22"/>
        </w:rPr>
        <w:t xml:space="preserve"> for N-staging</w:t>
      </w:r>
      <w:r w:rsidR="00C161B0">
        <w:rPr>
          <w:rFonts w:ascii="Times New Roman" w:hAnsi="Times New Roman" w:hint="eastAsia"/>
          <w:color w:val="000000" w:themeColor="text1"/>
          <w:sz w:val="22"/>
          <w:szCs w:val="22"/>
        </w:rPr>
        <w:t>.</w:t>
      </w:r>
    </w:p>
    <w:sectPr w:rsidR="007B0B43" w:rsidRPr="00C161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58D857" w14:textId="77777777" w:rsidR="00BE4897" w:rsidRDefault="00BE4897" w:rsidP="00415515">
      <w:r>
        <w:separator/>
      </w:r>
    </w:p>
  </w:endnote>
  <w:endnote w:type="continuationSeparator" w:id="0">
    <w:p w14:paraId="47D203A6" w14:textId="77777777" w:rsidR="00BE4897" w:rsidRDefault="00BE4897" w:rsidP="00415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6E89D" w14:textId="77777777" w:rsidR="00BE4897" w:rsidRDefault="00BE4897" w:rsidP="00415515">
      <w:r>
        <w:separator/>
      </w:r>
    </w:p>
  </w:footnote>
  <w:footnote w:type="continuationSeparator" w:id="0">
    <w:p w14:paraId="281F87F6" w14:textId="77777777" w:rsidR="00BE4897" w:rsidRDefault="00BE4897" w:rsidP="004155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GViMTQ4NTA3NWMzZmIwZmFlMTQ3ODhlMWQxNzRlZmYifQ=="/>
  </w:docVars>
  <w:rsids>
    <w:rsidRoot w:val="00815411"/>
    <w:rsid w:val="003B17E1"/>
    <w:rsid w:val="003D3CCD"/>
    <w:rsid w:val="00415515"/>
    <w:rsid w:val="004865F3"/>
    <w:rsid w:val="00606B4F"/>
    <w:rsid w:val="006E3945"/>
    <w:rsid w:val="007B0B43"/>
    <w:rsid w:val="007F103E"/>
    <w:rsid w:val="00815411"/>
    <w:rsid w:val="00AC6777"/>
    <w:rsid w:val="00BE4897"/>
    <w:rsid w:val="00C161B0"/>
    <w:rsid w:val="00DE2A62"/>
    <w:rsid w:val="00EB2BB0"/>
    <w:rsid w:val="00FA33C8"/>
    <w:rsid w:val="6AC27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60C29A"/>
  <w15:docId w15:val="{87A31D9E-72D7-4216-8B14-88EB14B84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1551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415515"/>
    <w:rPr>
      <w:kern w:val="2"/>
      <w:sz w:val="18"/>
      <w:szCs w:val="18"/>
    </w:rPr>
  </w:style>
  <w:style w:type="paragraph" w:styleId="a5">
    <w:name w:val="footer"/>
    <w:basedOn w:val="a"/>
    <w:link w:val="a6"/>
    <w:rsid w:val="004155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41551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7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7</Pages>
  <Words>572</Words>
  <Characters>3265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Luguang Chen</dc:creator>
  <cp:lastModifiedBy>LGChen</cp:lastModifiedBy>
  <cp:revision>8</cp:revision>
  <dcterms:created xsi:type="dcterms:W3CDTF">2023-08-09T15:08:00Z</dcterms:created>
  <dcterms:modified xsi:type="dcterms:W3CDTF">2024-07-12T01:02:00Z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0CDD69046CE84677A4848FAF3F486B44_12</vt:lpwstr>
  </property>
</Properties>
</file>