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8B053D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450" w:beforeAutospacing="0" w:after="0" w:afterAutospacing="0" w:line="480" w:lineRule="auto"/>
        <w:textAlignment w:val="auto"/>
        <w:rPr>
          <w:rFonts w:hint="default" w:ascii="Times New Roman" w:hAnsi="Times New Roman" w:eastAsia="Cambria" w:cs="Times New Roman"/>
          <w:b/>
          <w:bCs/>
          <w:i w:val="0"/>
          <w:iCs w:val="0"/>
          <w:caps w:val="0"/>
          <w:color w:val="1B1B1B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Cambria" w:cs="Times New Roman"/>
          <w:b/>
          <w:bCs/>
          <w:i w:val="0"/>
          <w:iCs w:val="0"/>
          <w:caps w:val="0"/>
          <w:color w:val="1B1B1B"/>
          <w:spacing w:val="0"/>
          <w:sz w:val="40"/>
          <w:szCs w:val="40"/>
          <w:shd w:val="clear" w:fill="FFFFFF"/>
        </w:rPr>
        <w:t>METRICS tool</w:t>
      </w:r>
    </w:p>
    <w:tbl>
      <w:tblPr>
        <w:tblStyle w:val="4"/>
        <w:tblW w:w="953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328"/>
        <w:gridCol w:w="472"/>
        <w:gridCol w:w="4869"/>
        <w:gridCol w:w="912"/>
        <w:gridCol w:w="951"/>
      </w:tblGrid>
      <w:tr w14:paraId="6C3B9B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tblCellSpacing w:w="15" w:type="dxa"/>
        </w:trPr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1EB9F77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2"/>
                <w:lang w:val="en-US" w:eastAsia="zh-CN" w:bidi="ar"/>
              </w:rPr>
              <w:t>Categories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5E7A245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2"/>
                <w:lang w:val="en-US" w:eastAsia="zh-CN" w:bidi="ar"/>
              </w:rPr>
              <w:t>No.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68E1248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2"/>
                <w:lang w:val="en-US" w:eastAsia="zh-CN" w:bidi="ar"/>
              </w:rPr>
              <w:t>Items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57F1A8B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2"/>
                <w:lang w:val="en-US" w:eastAsia="zh-CN" w:bidi="ar"/>
              </w:rPr>
              <w:t>Weights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0C3C25B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2"/>
                <w:lang w:val="en-US" w:eastAsia="zh-CN" w:bidi="ar"/>
              </w:rPr>
              <w:t>Score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2"/>
                <w:vertAlign w:val="superscript"/>
                <w:lang w:val="en-US" w:eastAsia="zh-CN" w:bidi="ar"/>
              </w:rPr>
              <w:t>f</w:t>
            </w:r>
          </w:p>
        </w:tc>
      </w:tr>
      <w:tr w14:paraId="6780DD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Merge w:val="restart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4B22942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Study design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7D532EC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#1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1A976B3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Adherence to radiomics and/or machine learning-specific checklists or guidelines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34AF6A2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0.0368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2225E4EA">
            <w:pPr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0.0368</w:t>
            </w:r>
          </w:p>
        </w:tc>
      </w:tr>
      <w:tr w14:paraId="4E5107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Merge w:val="continue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57DB3452">
            <w:pPr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5A7D320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#2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019C31F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Eligibility criteria that describe a representative study population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6CC0400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0.0735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2C33DE33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0.0735</w:t>
            </w:r>
          </w:p>
        </w:tc>
      </w:tr>
      <w:tr w14:paraId="5402CE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Merge w:val="continue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7EEA9304">
            <w:pPr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64BABA1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#3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112F699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High-quality reference standard with a clear definition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1DC49C5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0.0919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50EBED7B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0.0919</w:t>
            </w:r>
          </w:p>
        </w:tc>
      </w:tr>
      <w:tr w14:paraId="244825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Merge w:val="restart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1491D5F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Imaging data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5B56587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#4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502240A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Multi-center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47E560E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0.0438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3914F670">
            <w:pPr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0.0438</w:t>
            </w:r>
          </w:p>
        </w:tc>
      </w:tr>
      <w:tr w14:paraId="6877E0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Merge w:val="continue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648AC425">
            <w:pPr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088F370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#5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209828B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Clinical translatability of the imaging data source for radiomics analysis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2371864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0.0292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5B981179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0.0292</w:t>
            </w:r>
          </w:p>
        </w:tc>
      </w:tr>
      <w:tr w14:paraId="315A9A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Merge w:val="continue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2E22667C">
            <w:pPr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35B48A0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#6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67BB3E4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Imaging protocol with acquisition parameters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7AD40DB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0.0438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6BF68E9F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0.0438</w:t>
            </w:r>
          </w:p>
        </w:tc>
      </w:tr>
      <w:tr w14:paraId="05F524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Merge w:val="continue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1DB1BF25">
            <w:pPr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1D9813A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#7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0557F14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The interval between imaging used and reference standard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763B13F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0.0292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3A81FB3E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0.0292</w:t>
            </w:r>
          </w:p>
        </w:tc>
      </w:tr>
      <w:tr w14:paraId="469A0D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Merge w:val="restart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386FE4F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Segmentation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vertAlign w:val="superscript"/>
                <w:lang w:val="en-US" w:eastAsia="zh-CN" w:bidi="ar"/>
              </w:rPr>
              <w:t>a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0AB1F10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#8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1C29DAF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Transparent description of segmentation methodology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4294238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0.0337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775E0866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0.0337</w:t>
            </w:r>
          </w:p>
        </w:tc>
      </w:tr>
      <w:tr w14:paraId="42CF79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Merge w:val="continue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605B14B8">
            <w:pPr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7AD6FFB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#9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62B8D45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Formal evaluation of fully automated segmentation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vertAlign w:val="superscript"/>
                <w:lang w:val="en-US" w:eastAsia="zh-CN" w:bidi="ar"/>
              </w:rPr>
              <w:t>b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5EBA0A2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0.0225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456A6C9F">
            <w:pPr>
              <w:jc w:val="left"/>
              <w:rPr>
                <w:rFonts w:hint="eastAsia" w:ascii="Times New Roman" w:hAnsi="Times New Roman" w:cs="Times New Roman" w:eastAsia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/>
              </w:rPr>
              <w:t>0</w:t>
            </w:r>
          </w:p>
        </w:tc>
      </w:tr>
      <w:tr w14:paraId="75634D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Merge w:val="continue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1B88864F">
            <w:pPr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76FDF0A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#10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402CFFE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Test set segmentation masks produced by a single reader or automated tool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23F14DC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0.0112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65DC339E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0.0112</w:t>
            </w:r>
          </w:p>
        </w:tc>
      </w:tr>
      <w:tr w14:paraId="253A64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Merge w:val="restart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162DA68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Image processing and feature extraction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0021E2A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#11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607C728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Appropriate use of image preprocessing techniques with transparent description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28EA8E5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0.0622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07222FE6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0.0622</w:t>
            </w:r>
          </w:p>
        </w:tc>
      </w:tr>
      <w:tr w14:paraId="32F503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Merge w:val="continue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3B5599A4">
            <w:pPr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489BFAA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#12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6D45F53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Use of standardized feature extraction software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vertAlign w:val="superscript"/>
                <w:lang w:val="en-US" w:eastAsia="zh-CN" w:bidi="ar"/>
              </w:rPr>
              <w:t>c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63CDC09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0.0311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37BEC883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0.0311</w:t>
            </w:r>
          </w:p>
        </w:tc>
      </w:tr>
      <w:tr w14:paraId="33E854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Merge w:val="continue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2CD169C1">
            <w:pPr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13C4BB9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#13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53B84F3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Transparent reporting of feature extraction parameters, otherwise providing a default configuration statement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563F966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0.0415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5959CCAB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0.0415</w:t>
            </w:r>
          </w:p>
        </w:tc>
      </w:tr>
      <w:tr w14:paraId="29F5CF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Merge w:val="restart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72502B9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Feature processing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2ADD95F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#14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0C9FC74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Removal of non-robust features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vertAlign w:val="superscript"/>
                <w:lang w:val="en-US" w:eastAsia="zh-CN" w:bidi="ar"/>
              </w:rPr>
              <w:t>d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44D4D99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0.0200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17919470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0.0200</w:t>
            </w:r>
          </w:p>
        </w:tc>
      </w:tr>
      <w:tr w14:paraId="7C346D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Merge w:val="continue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51107C53">
            <w:pPr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20A514E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#15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34D2F95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Removal of redundant features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vertAlign w:val="superscript"/>
                <w:lang w:val="en-US" w:eastAsia="zh-CN" w:bidi="ar"/>
              </w:rPr>
              <w:t>d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671DA6B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0.0200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5BA41BBA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0.0200</w:t>
            </w:r>
          </w:p>
        </w:tc>
      </w:tr>
      <w:tr w14:paraId="6B7454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Merge w:val="continue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4D84877C">
            <w:pPr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69C252A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#16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5F0A761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Appropriateness of dimensionality compared to data size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vertAlign w:val="superscript"/>
                <w:lang w:val="en-US" w:eastAsia="zh-CN" w:bidi="ar"/>
              </w:rPr>
              <w:t>d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3946627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0.0300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7C736648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0.0300</w:t>
            </w:r>
          </w:p>
        </w:tc>
      </w:tr>
      <w:tr w14:paraId="22397C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Merge w:val="continue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647B7218">
            <w:pPr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5BDA675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#17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30AE204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Robustness assessment of end-to-end deep learning pipelines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vertAlign w:val="superscript"/>
                <w:lang w:val="en-US" w:eastAsia="zh-CN" w:bidi="ar"/>
              </w:rPr>
              <w:t>e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0E02BB9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0.0200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56925357">
            <w:pPr>
              <w:jc w:val="left"/>
              <w:rPr>
                <w:rFonts w:hint="eastAsia" w:ascii="Times New Roman" w:hAnsi="Times New Roman" w:cs="Times New Roman" w:eastAsia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/>
              </w:rPr>
              <w:t>0</w:t>
            </w:r>
          </w:p>
        </w:tc>
      </w:tr>
      <w:tr w14:paraId="43CEB4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Merge w:val="restart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703F12B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Preparation for modeling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54557B9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#18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3199AD4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Proper data partitioning process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3B9178B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0.0599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1B0BAE48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0.0599</w:t>
            </w:r>
          </w:p>
        </w:tc>
      </w:tr>
      <w:tr w14:paraId="0BF824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Merge w:val="continue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57E543CC">
            <w:pPr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4EB7C09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#19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31A82F9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Handling of confounding factors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5FFCDFE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0.0300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74721D56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0.0300</w:t>
            </w:r>
          </w:p>
        </w:tc>
      </w:tr>
      <w:tr w14:paraId="43C705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Merge w:val="restart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011F29B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Metrics and comparison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6F4CDAF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#20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275ADD3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Use of appropriate performance evaluation metrics for task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0199E7B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0.0352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3005623B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0.0352</w:t>
            </w:r>
          </w:p>
        </w:tc>
      </w:tr>
      <w:tr w14:paraId="3984BD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Merge w:val="continue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292ED874">
            <w:pPr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6A6B271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#21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2CE3C7C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Consideration of uncertainty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3AA7E16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0.0234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38B5B35C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 w14:paraId="332489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Merge w:val="continue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4E0DFC6D">
            <w:pPr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01CFEB8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#22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4BB2F0B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Calibration assessment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273781D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0.0176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3913F8B2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0.0176</w:t>
            </w:r>
          </w:p>
        </w:tc>
      </w:tr>
      <w:tr w14:paraId="415EC6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Merge w:val="continue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106AF02B">
            <w:pPr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4B6205D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#23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1CB1028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Use of uni-parametric imaging or proof of its inferiority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764EE33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0.0117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1D950007">
            <w:pPr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0.0117</w:t>
            </w:r>
          </w:p>
        </w:tc>
      </w:tr>
      <w:tr w14:paraId="02447B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Merge w:val="continue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78E1475C">
            <w:pPr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6FEE1DA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#24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498FF9D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Comparison with a non-radiomic approach or proof of added clinical value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757791D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0.0293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356EACB9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0.0293</w:t>
            </w:r>
          </w:p>
        </w:tc>
      </w:tr>
      <w:tr w14:paraId="356272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Merge w:val="continue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5CB92C0F">
            <w:pPr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26D4B67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#25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2D24275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Comparison with simple or classical statistical models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3941592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0.0176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58F99443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0.0176</w:t>
            </w:r>
          </w:p>
        </w:tc>
      </w:tr>
      <w:tr w14:paraId="3A777E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Merge w:val="restart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73B12EA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Testing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1206FFE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#26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71B97FC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Internal testing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7CAED50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0.0375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6F0965F3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 w14:paraId="646400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Merge w:val="continue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0382EC07">
            <w:pPr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7162D74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#27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69AA1F8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External testing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4133F63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0.0749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6E0137CA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0.0749</w:t>
            </w:r>
          </w:p>
        </w:tc>
      </w:tr>
      <w:tr w14:paraId="24ECC7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Merge w:val="restart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0EB22E0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Open science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45B6B51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#28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527AE1D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Data availability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2B35982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0.0075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5C51214D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0.0075</w:t>
            </w:r>
          </w:p>
        </w:tc>
      </w:tr>
      <w:tr w14:paraId="2346CC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Merge w:val="continue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6459FCF3">
            <w:pPr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136B589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#29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1C2D387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Code availability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0A2FB3B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0.0075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366B2EA1">
            <w:pPr>
              <w:jc w:val="left"/>
              <w:rPr>
                <w:rFonts w:hint="eastAsia" w:ascii="Times New Roman" w:hAnsi="Times New Roman" w:cs="Times New Roman" w:eastAsia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/>
              </w:rPr>
              <w:t>0</w:t>
            </w:r>
          </w:p>
        </w:tc>
      </w:tr>
      <w:tr w14:paraId="69EACF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Merge w:val="continue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33FAF3C6">
            <w:pPr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5CFBCDC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#30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02DDCB6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Model availability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2B219AA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0.0075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5F200447">
            <w:pPr>
              <w:jc w:val="left"/>
              <w:rPr>
                <w:rFonts w:hint="eastAsia" w:ascii="Times New Roman" w:hAnsi="Times New Roman" w:cs="Times New Roman" w:eastAsia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/>
              </w:rPr>
              <w:t>0</w:t>
            </w:r>
          </w:p>
        </w:tc>
      </w:tr>
      <w:tr w14:paraId="18EAD2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gridSpan w:val="4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0CD5888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Total METRICS score (should be given as percentage)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45944B4D">
            <w:pPr>
              <w:jc w:val="left"/>
              <w:rPr>
                <w:rFonts w:hint="default" w:ascii="Times New Roman" w:hAnsi="Times New Roman" w:cs="Times New Roman" w:eastAsia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/>
              </w:rPr>
              <w:t>0.8816</w:t>
            </w:r>
            <w:bookmarkStart w:id="0" w:name="_GoBack"/>
            <w:bookmarkEnd w:id="0"/>
          </w:p>
        </w:tc>
      </w:tr>
      <w:tr w14:paraId="13122D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gridSpan w:val="4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4F4264D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Quality category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vertAlign w:val="superscript"/>
                <w:lang w:val="en-US" w:eastAsia="zh-CN" w:bidi="ar"/>
              </w:rPr>
              <w:t>g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67CC1E2C">
            <w:pPr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1B1B1B"/>
                <w:spacing w:val="0"/>
                <w:sz w:val="22"/>
                <w:szCs w:val="22"/>
                <w:shd w:val="clear" w:fill="FFFFFF"/>
              </w:rPr>
              <w:t>excellent</w:t>
            </w:r>
          </w:p>
        </w:tc>
      </w:tr>
    </w:tbl>
    <w:p w14:paraId="2C84F917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eastAsia="Cambria" w:cs="Times New Roman"/>
          <w:i w:val="0"/>
          <w:iCs w:val="0"/>
          <w:caps w:val="0"/>
          <w:color w:val="1B1B1B"/>
          <w:spacing w:val="0"/>
          <w:sz w:val="22"/>
          <w:szCs w:val="22"/>
          <w:shd w:val="clear" w:fill="FFFFFF"/>
        </w:rPr>
      </w:pPr>
      <w:r>
        <w:rPr>
          <w:rFonts w:hint="default" w:ascii="Times New Roman" w:hAnsi="Times New Roman" w:eastAsia="Cambria" w:cs="Times New Roman"/>
          <w:i w:val="0"/>
          <w:iCs w:val="0"/>
          <w:caps w:val="0"/>
          <w:color w:val="1B1B1B"/>
          <w:spacing w:val="0"/>
          <w:sz w:val="20"/>
          <w:szCs w:val="20"/>
          <w:shd w:val="clear" w:fill="FFFFFF"/>
          <w:vertAlign w:val="superscript"/>
        </w:rPr>
        <w:t>a</w:t>
      </w:r>
      <w:r>
        <w:rPr>
          <w:rFonts w:hint="default" w:ascii="Times New Roman" w:hAnsi="Times New Roman" w:eastAsia="Cambria" w:cs="Times New Roman"/>
          <w:i w:val="0"/>
          <w:iCs w:val="0"/>
          <w:caps w:val="0"/>
          <w:color w:val="1B1B1B"/>
          <w:spacing w:val="0"/>
          <w:sz w:val="22"/>
          <w:szCs w:val="22"/>
          <w:shd w:val="clear" w:fill="FFFFFF"/>
        </w:rPr>
        <w:t>Conditional for studies including region/volume of interest labeling</w:t>
      </w:r>
    </w:p>
    <w:p w14:paraId="48D5D3D1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eastAsia="Cambria" w:cs="Times New Roman"/>
          <w:i w:val="0"/>
          <w:iCs w:val="0"/>
          <w:caps w:val="0"/>
          <w:color w:val="1B1B1B"/>
          <w:spacing w:val="0"/>
          <w:sz w:val="22"/>
          <w:szCs w:val="22"/>
          <w:shd w:val="clear" w:fill="FFFFFF"/>
          <w:vertAlign w:val="superscript"/>
        </w:rPr>
        <w:t>b</w:t>
      </w:r>
      <w:r>
        <w:rPr>
          <w:rFonts w:hint="default" w:ascii="Times New Roman" w:hAnsi="Times New Roman" w:eastAsia="Cambria" w:cs="Times New Roman"/>
          <w:i w:val="0"/>
          <w:iCs w:val="0"/>
          <w:caps w:val="0"/>
          <w:color w:val="1B1B1B"/>
          <w:spacing w:val="0"/>
          <w:sz w:val="22"/>
          <w:szCs w:val="22"/>
          <w:shd w:val="clear" w:fill="FFFFFF"/>
        </w:rPr>
        <w:t>Conditional for studies using fully automated segmentation</w:t>
      </w:r>
    </w:p>
    <w:p w14:paraId="19BE42C3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eastAsia="Cambria" w:cs="Times New Roman"/>
          <w:i w:val="0"/>
          <w:iCs w:val="0"/>
          <w:caps w:val="0"/>
          <w:color w:val="1B1B1B"/>
          <w:spacing w:val="0"/>
          <w:sz w:val="22"/>
          <w:szCs w:val="22"/>
          <w:shd w:val="clear" w:fill="FFFFFF"/>
          <w:vertAlign w:val="superscript"/>
        </w:rPr>
        <w:t>c</w:t>
      </w:r>
      <w:r>
        <w:rPr>
          <w:rFonts w:hint="default" w:ascii="Times New Roman" w:hAnsi="Times New Roman" w:eastAsia="Cambria" w:cs="Times New Roman"/>
          <w:i w:val="0"/>
          <w:iCs w:val="0"/>
          <w:caps w:val="0"/>
          <w:color w:val="1B1B1B"/>
          <w:spacing w:val="0"/>
          <w:sz w:val="22"/>
          <w:szCs w:val="22"/>
          <w:shd w:val="clear" w:fill="FFFFFF"/>
        </w:rPr>
        <w:t>Conditional for the hand-crafted radiomics</w:t>
      </w:r>
    </w:p>
    <w:p w14:paraId="6A48D117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eastAsia="Cambria" w:cs="Times New Roman"/>
          <w:i w:val="0"/>
          <w:iCs w:val="0"/>
          <w:caps w:val="0"/>
          <w:color w:val="1B1B1B"/>
          <w:spacing w:val="0"/>
          <w:sz w:val="22"/>
          <w:szCs w:val="22"/>
          <w:shd w:val="clear" w:fill="FFFFFF"/>
          <w:vertAlign w:val="superscript"/>
        </w:rPr>
        <w:t>d</w:t>
      </w:r>
      <w:r>
        <w:rPr>
          <w:rFonts w:hint="default" w:ascii="Times New Roman" w:hAnsi="Times New Roman" w:eastAsia="Cambria" w:cs="Times New Roman"/>
          <w:i w:val="0"/>
          <w:iCs w:val="0"/>
          <w:caps w:val="0"/>
          <w:color w:val="1B1B1B"/>
          <w:spacing w:val="0"/>
          <w:sz w:val="22"/>
          <w:szCs w:val="22"/>
          <w:shd w:val="clear" w:fill="FFFFFF"/>
        </w:rPr>
        <w:t>Conditional for tabular data use</w:t>
      </w:r>
    </w:p>
    <w:p w14:paraId="133DDD3E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eastAsia="Cambria" w:cs="Times New Roman"/>
          <w:i w:val="0"/>
          <w:iCs w:val="0"/>
          <w:caps w:val="0"/>
          <w:color w:val="1B1B1B"/>
          <w:spacing w:val="0"/>
          <w:sz w:val="22"/>
          <w:szCs w:val="22"/>
          <w:shd w:val="clear" w:fill="FFFFFF"/>
          <w:vertAlign w:val="superscript"/>
        </w:rPr>
        <w:t>e</w:t>
      </w:r>
      <w:r>
        <w:rPr>
          <w:rFonts w:hint="default" w:ascii="Times New Roman" w:hAnsi="Times New Roman" w:eastAsia="Cambria" w:cs="Times New Roman"/>
          <w:i w:val="0"/>
          <w:iCs w:val="0"/>
          <w:caps w:val="0"/>
          <w:color w:val="1B1B1B"/>
          <w:spacing w:val="0"/>
          <w:sz w:val="22"/>
          <w:szCs w:val="22"/>
          <w:shd w:val="clear" w:fill="FFFFFF"/>
        </w:rPr>
        <w:t>Conditional on the use of end-to-end deep learning</w:t>
      </w:r>
    </w:p>
    <w:p w14:paraId="5BCB48C8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eastAsia="Cambria" w:cs="Times New Roman"/>
          <w:i w:val="0"/>
          <w:iCs w:val="0"/>
          <w:caps w:val="0"/>
          <w:color w:val="1B1B1B"/>
          <w:spacing w:val="0"/>
          <w:sz w:val="22"/>
          <w:szCs w:val="22"/>
          <w:shd w:val="clear" w:fill="FFFFFF"/>
        </w:rPr>
      </w:pPr>
      <w:r>
        <w:rPr>
          <w:rFonts w:hint="default" w:ascii="Times New Roman" w:hAnsi="Times New Roman" w:eastAsia="Cambria" w:cs="Times New Roman"/>
          <w:i w:val="0"/>
          <w:iCs w:val="0"/>
          <w:caps w:val="0"/>
          <w:color w:val="1B1B1B"/>
          <w:spacing w:val="0"/>
          <w:sz w:val="22"/>
          <w:szCs w:val="22"/>
          <w:shd w:val="clear" w:fill="FFFFFF"/>
          <w:vertAlign w:val="superscript"/>
        </w:rPr>
        <w:t>f</w:t>
      </w:r>
      <w:r>
        <w:rPr>
          <w:rFonts w:hint="default" w:ascii="Times New Roman" w:hAnsi="Times New Roman" w:eastAsia="Cambria" w:cs="Times New Roman"/>
          <w:i w:val="0"/>
          <w:iCs w:val="0"/>
          <w:caps w:val="0"/>
          <w:color w:val="1B1B1B"/>
          <w:spacing w:val="0"/>
          <w:sz w:val="22"/>
          <w:szCs w:val="22"/>
          <w:shd w:val="clear" w:fill="FFFFFF"/>
        </w:rPr>
        <w:t>Score is simply the weight if present and 0 otherwise</w:t>
      </w:r>
    </w:p>
    <w:p w14:paraId="503BD7B9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eastAsia="Cambria" w:cs="Times New Roman"/>
          <w:i w:val="0"/>
          <w:iCs w:val="0"/>
          <w:caps w:val="0"/>
          <w:color w:val="1B1B1B"/>
          <w:spacing w:val="0"/>
          <w:sz w:val="22"/>
          <w:szCs w:val="22"/>
          <w:shd w:val="clear" w:fill="FFFFFF"/>
          <w:vertAlign w:val="superscript"/>
        </w:rPr>
        <w:t>g</w:t>
      </w:r>
      <w:r>
        <w:rPr>
          <w:rFonts w:hint="default" w:ascii="Times New Roman" w:hAnsi="Times New Roman" w:eastAsia="Cambria" w:cs="Times New Roman"/>
          <w:i w:val="0"/>
          <w:iCs w:val="0"/>
          <w:caps w:val="0"/>
          <w:color w:val="1B1B1B"/>
          <w:spacing w:val="0"/>
          <w:sz w:val="22"/>
          <w:szCs w:val="22"/>
          <w:shd w:val="clear" w:fill="FFFFFF"/>
        </w:rPr>
        <w:t>Proposed total score categories: 0 ≤ score &lt; 20%, “very low”; 20 ≤ score &lt; 40%, “low”; 40 ≤ score &lt; 60%, “moderate”; 60 ≤ score &lt; 80%, “good”; and 80 ≤ score ≤ 100%, “excellent” quality</w:t>
      </w:r>
    </w:p>
    <w:p w14:paraId="0A5CEC0E">
      <w:pPr>
        <w:spacing w:line="360" w:lineRule="auto"/>
        <w:rPr>
          <w:rFonts w:hint="default" w:ascii="Times New Roman" w:hAnsi="Times New Roman" w:cs="Times New Roman"/>
          <w:sz w:val="20"/>
          <w:szCs w:val="20"/>
        </w:rPr>
      </w:pPr>
    </w:p>
    <w:sectPr>
      <w:pgSz w:w="12240" w:h="15840"/>
      <w:pgMar w:top="1440" w:right="1440" w:bottom="1440" w:left="1440" w:header="720" w:footer="720" w:gutter="0"/>
      <w:cols w:space="0" w:num="1"/>
      <w:rtlGutter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embedSystemFonts/>
  <w:mirrorMargin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C75976"/>
    <w:rsid w:val="0D374B59"/>
    <w:rsid w:val="1385255D"/>
    <w:rsid w:val="14F43330"/>
    <w:rsid w:val="1A5B2DB5"/>
    <w:rsid w:val="1C712079"/>
    <w:rsid w:val="1DC75976"/>
    <w:rsid w:val="21ED064C"/>
    <w:rsid w:val="35EF5BDF"/>
    <w:rsid w:val="39F2758E"/>
    <w:rsid w:val="57810B57"/>
    <w:rsid w:val="5CDB5BF9"/>
    <w:rsid w:val="5D14180F"/>
    <w:rsid w:val="6062696C"/>
    <w:rsid w:val="668138C4"/>
    <w:rsid w:val="677D5E3A"/>
    <w:rsid w:val="703972DA"/>
    <w:rsid w:val="778E5E41"/>
    <w:rsid w:val="79F50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383</Words>
  <Characters>2362</Characters>
  <Lines>0</Lines>
  <Paragraphs>0</Paragraphs>
  <TotalTime>15</TotalTime>
  <ScaleCrop>false</ScaleCrop>
  <LinksUpToDate>false</LinksUpToDate>
  <CharactersWithSpaces>2604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2025-03-04T04:10:00Z</dcterms:created>
  <dc:creator>每天努力一点点</dc:creator>
  <cp:lastModifiedBy>b椎琶邪嚎琶</cp:lastModifiedBy>
  <dcterms:modified xsi:type="dcterms:W3CDTF">2025-06-06T02:04:18Z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EFD5E36FBB8840FD9E607BB4CD7260C0_13</vt:lpwstr>
  </property>
  <property fmtid="{D5CDD505-2E9C-101B-9397-08002B2CF9AE}" pid="4" name="KSOTemplateDocerSaveRecord">
    <vt:lpwstr>eyJoZGlkIjoiODU2ZTJkZjRhNmNjNmE5NzA0MTdlMjAyYzI5MTFiYWYiLCJ1c2VySWQiOiIxNjk4NzAxMTMwIn0=</vt:lpwstr>
  </property>
</Properties>
</file>