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B7B58" w14:textId="31552A5D" w:rsidR="00473F31" w:rsidRPr="003C2A0B" w:rsidRDefault="004547CD" w:rsidP="003335E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32"/>
        </w:rPr>
      </w:pPr>
      <w:r w:rsidRPr="003C2A0B">
        <w:rPr>
          <w:rFonts w:ascii="Times New Roman" w:hAnsi="Times New Roman" w:cs="Times New Roman"/>
          <w:b/>
          <w:bCs/>
          <w:i/>
          <w:iCs/>
          <w:sz w:val="28"/>
          <w:szCs w:val="32"/>
        </w:rPr>
        <w:t>Supplementary Materials</w:t>
      </w:r>
    </w:p>
    <w:p w14:paraId="0332E99B" w14:textId="5C1E2031" w:rsidR="00AE3F7C" w:rsidRPr="003C2A0B" w:rsidRDefault="003335EE" w:rsidP="003335EE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3C2A0B">
        <w:rPr>
          <w:rFonts w:ascii="Times New Roman" w:hAnsi="Times New Roman" w:cs="Times New Roman"/>
          <w:b/>
          <w:bCs/>
          <w:sz w:val="28"/>
          <w:szCs w:val="32"/>
        </w:rPr>
        <w:t>Predicting Outcomes in Head and Neck Cancer using CT images via Transfer Learning</w:t>
      </w:r>
    </w:p>
    <w:p w14:paraId="0AC5EA38" w14:textId="06F577D2" w:rsidR="00A238F5" w:rsidRPr="003C2A0B" w:rsidRDefault="00A238F5" w:rsidP="00EF49F4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14:paraId="2270C80F" w14:textId="77777777" w:rsidR="00D748A8" w:rsidRPr="003C2A0B" w:rsidRDefault="00D748A8" w:rsidP="00D748A8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t>S1. Imaging parameters</w:t>
      </w:r>
    </w:p>
    <w:p w14:paraId="0CA366EC" w14:textId="77777777" w:rsidR="00D748A8" w:rsidRPr="003C2A0B" w:rsidRDefault="00D748A8" w:rsidP="00D748A8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t>S2. Augmentation parameter configuration</w:t>
      </w:r>
    </w:p>
    <w:p w14:paraId="3217EFDC" w14:textId="77777777" w:rsidR="00D748A8" w:rsidRPr="003C2A0B" w:rsidRDefault="00D748A8" w:rsidP="00D748A8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t>S3. Learning rate and batch size configuration</w:t>
      </w:r>
    </w:p>
    <w:p w14:paraId="12026066" w14:textId="5BB7BC31" w:rsidR="00D748A8" w:rsidRPr="003C2A0B" w:rsidRDefault="00D748A8" w:rsidP="00EF49F4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14:paraId="32BB9CBC" w14:textId="6278B894" w:rsidR="00D748A8" w:rsidRPr="003C2A0B" w:rsidRDefault="00D748A8" w:rsidP="00EF49F4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</w:pPr>
    </w:p>
    <w:p w14:paraId="4C4DEF44" w14:textId="64E0D3F3" w:rsidR="00D748A8" w:rsidRPr="003C2A0B" w:rsidRDefault="00D748A8">
      <w:pPr>
        <w:widowControl/>
        <w:jc w:val="left"/>
        <w:rPr>
          <w:rFonts w:ascii="Times New Roman" w:hAnsi="Times New Roman" w:cs="Times New Roman"/>
          <w:b/>
          <w:bCs/>
          <w:sz w:val="28"/>
          <w:szCs w:val="32"/>
        </w:rPr>
      </w:pPr>
      <w:r w:rsidRPr="003C2A0B">
        <w:rPr>
          <w:rFonts w:ascii="Times New Roman" w:hAnsi="Times New Roman" w:cs="Times New Roman"/>
          <w:b/>
          <w:bCs/>
          <w:sz w:val="28"/>
          <w:szCs w:val="32"/>
        </w:rPr>
        <w:br w:type="page"/>
      </w:r>
    </w:p>
    <w:p w14:paraId="5065C7B2" w14:textId="21AAA970" w:rsidR="00C950D8" w:rsidRPr="003C2A0B" w:rsidRDefault="00C950D8" w:rsidP="00C950D8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lastRenderedPageBreak/>
        <w:t>S1. Imaging parameters</w:t>
      </w:r>
    </w:p>
    <w:p w14:paraId="6BAAE19C" w14:textId="77777777" w:rsidR="00C950D8" w:rsidRPr="003C2A0B" w:rsidRDefault="00C950D8" w:rsidP="00C950D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3C2A0B">
        <w:rPr>
          <w:rFonts w:ascii="Times New Roman" w:hAnsi="Times New Roman" w:cs="Times New Roman"/>
          <w:b/>
          <w:bCs/>
          <w:sz w:val="24"/>
          <w:szCs w:val="28"/>
        </w:rPr>
        <w:t>Hôpital</w:t>
      </w:r>
      <w:proofErr w:type="spellEnd"/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3C2A0B">
        <w:rPr>
          <w:rFonts w:ascii="Times New Roman" w:hAnsi="Times New Roman" w:cs="Times New Roman"/>
          <w:b/>
          <w:bCs/>
          <w:sz w:val="24"/>
          <w:szCs w:val="28"/>
        </w:rPr>
        <w:t>général</w:t>
      </w:r>
      <w:proofErr w:type="spellEnd"/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proofErr w:type="spellStart"/>
      <w:r w:rsidRPr="003C2A0B">
        <w:rPr>
          <w:rFonts w:ascii="Times New Roman" w:hAnsi="Times New Roman" w:cs="Times New Roman"/>
          <w:b/>
          <w:bCs/>
          <w:sz w:val="24"/>
          <w:szCs w:val="28"/>
        </w:rPr>
        <w:t>juif</w:t>
      </w:r>
      <w:proofErr w:type="spellEnd"/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 (HGJ): </w:t>
      </w:r>
      <w:r w:rsidRPr="003C2A0B">
        <w:rPr>
          <w:rFonts w:ascii="Times New Roman" w:hAnsi="Times New Roman" w:cs="Times New Roman"/>
          <w:sz w:val="24"/>
          <w:szCs w:val="28"/>
        </w:rPr>
        <w:t>All patients had CT scans done on a hybrid PET/CT scanner (Discovery ST, GE Healthcare) within 37 days before treatment (median: 14 days). For the CT scan, an energy of 140 kVp with an exposure of 12 mAs was used. The CT slice thickness resolution was 3.75 mm and the median in-plane resolution was 0.98×0.98 mm</w:t>
      </w:r>
      <w:r w:rsidRPr="003C2A0B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3C2A0B">
        <w:rPr>
          <w:rFonts w:ascii="Times New Roman" w:hAnsi="Times New Roman" w:cs="Times New Roman"/>
          <w:sz w:val="24"/>
          <w:szCs w:val="28"/>
        </w:rPr>
        <w:t xml:space="preserve"> for all patients.</w:t>
      </w:r>
    </w:p>
    <w:p w14:paraId="159E17BC" w14:textId="77777777" w:rsidR="00C950D8" w:rsidRPr="003C2A0B" w:rsidRDefault="00C950D8" w:rsidP="00C950D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Centre hospitalier universitaire de Sherbrooke (CHUS): </w:t>
      </w:r>
      <w:r w:rsidRPr="003C2A0B">
        <w:rPr>
          <w:rFonts w:ascii="Times New Roman" w:hAnsi="Times New Roman" w:cs="Times New Roman"/>
          <w:sz w:val="24"/>
          <w:szCs w:val="28"/>
        </w:rPr>
        <w:t>All patients had CT scans done on a hybrid PET/CT scanner (</w:t>
      </w:r>
      <w:proofErr w:type="spellStart"/>
      <w:r w:rsidRPr="003C2A0B">
        <w:rPr>
          <w:rFonts w:ascii="Times New Roman" w:hAnsi="Times New Roman" w:cs="Times New Roman"/>
          <w:sz w:val="24"/>
          <w:szCs w:val="28"/>
        </w:rPr>
        <w:t>GeminiGXL</w:t>
      </w:r>
      <w:proofErr w:type="spellEnd"/>
      <w:r w:rsidRPr="003C2A0B">
        <w:rPr>
          <w:rFonts w:ascii="Times New Roman" w:hAnsi="Times New Roman" w:cs="Times New Roman"/>
          <w:sz w:val="24"/>
          <w:szCs w:val="28"/>
        </w:rPr>
        <w:t xml:space="preserve"> 16, Philips) within 54 days before treatment (median: 19 days). For the CT scan, a median energy of 140 kVp (range: 12-140) with a median exposure of 210 mAs (range: 43-250) was used. The median CT slice thickness resolution was 3 mm (range: 2-5) and the median in-plane resolution was 1.17×1.17 mm</w:t>
      </w:r>
      <w:r w:rsidRPr="003C2A0B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3C2A0B">
        <w:rPr>
          <w:rFonts w:ascii="Times New Roman" w:hAnsi="Times New Roman" w:cs="Times New Roman"/>
          <w:sz w:val="24"/>
          <w:szCs w:val="28"/>
        </w:rPr>
        <w:t xml:space="preserve"> (range: 0.68-1.17).</w:t>
      </w:r>
    </w:p>
    <w:p w14:paraId="6D0136B9" w14:textId="77777777" w:rsidR="00C950D8" w:rsidRPr="003C2A0B" w:rsidRDefault="00C950D8" w:rsidP="00C950D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proofErr w:type="spellStart"/>
      <w:r w:rsidRPr="003C2A0B">
        <w:rPr>
          <w:rFonts w:ascii="Times New Roman" w:hAnsi="Times New Roman" w:cs="Times New Roman"/>
          <w:b/>
          <w:bCs/>
          <w:sz w:val="24"/>
          <w:szCs w:val="28"/>
        </w:rPr>
        <w:t>Hôpital</w:t>
      </w:r>
      <w:proofErr w:type="spellEnd"/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 Maisonneuve-Rosemont (HMR): </w:t>
      </w:r>
      <w:r w:rsidRPr="003C2A0B">
        <w:rPr>
          <w:rFonts w:ascii="Times New Roman" w:hAnsi="Times New Roman" w:cs="Times New Roman"/>
          <w:sz w:val="24"/>
          <w:szCs w:val="28"/>
        </w:rPr>
        <w:t>All patients had CT scans done on a hybrid PET/CT scanner (Discovery STE, GE Healthcare) within 60 days before treatment (median: 34 days). For the CT scan, a median energy of 140 kVp (range: 120-140) with a median exposure of 11 mAs (range: 5-16) was used. The CT slice thickness resolution was 3.75 mm for all patients and the median in-plane resolution was 0.98 × 0.98 mm</w:t>
      </w:r>
      <w:r w:rsidRPr="003C2A0B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3C2A0B">
        <w:rPr>
          <w:rFonts w:ascii="Times New Roman" w:hAnsi="Times New Roman" w:cs="Times New Roman"/>
          <w:sz w:val="24"/>
          <w:szCs w:val="28"/>
        </w:rPr>
        <w:t xml:space="preserve"> (range: 0.98-1.37).</w:t>
      </w:r>
    </w:p>
    <w:p w14:paraId="629D5695" w14:textId="490F8A3D" w:rsidR="00C950D8" w:rsidRPr="003C2A0B" w:rsidRDefault="00C950D8" w:rsidP="00C950D8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Centre hospitalier de </w:t>
      </w:r>
      <w:proofErr w:type="spellStart"/>
      <w:r w:rsidRPr="003C2A0B">
        <w:rPr>
          <w:rFonts w:ascii="Times New Roman" w:hAnsi="Times New Roman" w:cs="Times New Roman"/>
          <w:b/>
          <w:bCs/>
          <w:sz w:val="24"/>
          <w:szCs w:val="28"/>
        </w:rPr>
        <w:t>l’Université</w:t>
      </w:r>
      <w:proofErr w:type="spellEnd"/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 de Montréal (CHUM): </w:t>
      </w:r>
      <w:r w:rsidRPr="003C2A0B">
        <w:rPr>
          <w:rFonts w:ascii="Times New Roman" w:hAnsi="Times New Roman" w:cs="Times New Roman"/>
          <w:sz w:val="24"/>
          <w:szCs w:val="28"/>
        </w:rPr>
        <w:t>All patients had CT scans done on a hybrid PET/CT scanner (Discovery STE, GE Healthcare) within 66 days before treatment (median: 12 days). For the CT scan, a median energy of 120 kVp (range: 120-140) with a median exposure of 350 mAs (range: 5-350) was used. The median CT slice thickness resolution was 1.5 mm (range: 1.5-3.75) and the median in-plane resolution was 0.98 × 0.98 mm</w:t>
      </w:r>
      <w:r w:rsidRPr="003C2A0B">
        <w:rPr>
          <w:rFonts w:ascii="Times New Roman" w:hAnsi="Times New Roman" w:cs="Times New Roman"/>
          <w:sz w:val="24"/>
          <w:szCs w:val="28"/>
          <w:vertAlign w:val="superscript"/>
        </w:rPr>
        <w:t>2</w:t>
      </w:r>
      <w:r w:rsidRPr="003C2A0B">
        <w:rPr>
          <w:rFonts w:ascii="Times New Roman" w:hAnsi="Times New Roman" w:cs="Times New Roman"/>
          <w:sz w:val="24"/>
          <w:szCs w:val="28"/>
        </w:rPr>
        <w:t xml:space="preserve"> (range: 0.98- 1.37).</w:t>
      </w:r>
    </w:p>
    <w:p w14:paraId="74372684" w14:textId="730F0D5C" w:rsidR="00D748A8" w:rsidRPr="003C2A0B" w:rsidRDefault="00D748A8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sz w:val="24"/>
          <w:szCs w:val="28"/>
        </w:rPr>
        <w:br w:type="page"/>
      </w:r>
    </w:p>
    <w:p w14:paraId="3E7FE6C7" w14:textId="5E2520B1" w:rsidR="00A238F5" w:rsidRPr="003C2A0B" w:rsidRDefault="00A238F5" w:rsidP="00EF49F4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lastRenderedPageBreak/>
        <w:t>S</w:t>
      </w:r>
      <w:r w:rsidR="00C950D8" w:rsidRPr="003C2A0B">
        <w:rPr>
          <w:rFonts w:ascii="Times New Roman" w:hAnsi="Times New Roman" w:cs="Times New Roman"/>
          <w:b/>
          <w:bCs/>
          <w:sz w:val="24"/>
          <w:szCs w:val="28"/>
        </w:rPr>
        <w:t>2</w:t>
      </w:r>
      <w:r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="00EF49F4" w:rsidRPr="003C2A0B">
        <w:rPr>
          <w:rFonts w:ascii="Times New Roman" w:hAnsi="Times New Roman" w:cs="Times New Roman"/>
          <w:b/>
          <w:bCs/>
          <w:sz w:val="24"/>
          <w:szCs w:val="28"/>
        </w:rPr>
        <w:t xml:space="preserve">Augmentation parameter </w:t>
      </w:r>
      <w:r w:rsidR="0088444D" w:rsidRPr="003C2A0B">
        <w:rPr>
          <w:rFonts w:ascii="Times New Roman" w:hAnsi="Times New Roman" w:cs="Times New Roman"/>
          <w:b/>
          <w:bCs/>
          <w:sz w:val="24"/>
          <w:szCs w:val="28"/>
        </w:rPr>
        <w:t>configuration</w:t>
      </w:r>
    </w:p>
    <w:p w14:paraId="6035F9A8" w14:textId="0B148B8C" w:rsidR="00EF49F4" w:rsidRPr="003C2A0B" w:rsidRDefault="00E5071C" w:rsidP="00DA6D6A">
      <w:pPr>
        <w:spacing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sz w:val="24"/>
          <w:szCs w:val="28"/>
        </w:rPr>
        <w:t>To determine the augmentation settings, we performed a parameter-selection experiment on the locoregional-recurrence task, varying the minority: majority multipliers across 100:10, 200:20, 300:30, 400:40, and 500:50. The performance of locoregional recurrences prediction using different augmentation parameters were summarized in the Table A1. As summarized in this Table, increasing the parameter improved discrimination up to the 300:30 setting (AUC 0.84 with 5289 effective images), compared with 100:10 (AUC 0.72; 3651 images) and 200:20 (AUC 0.77; 3955 images). Raising the setting to 400:40 yielded only a marginal AUC change (0.85) at the cost of ~14% more images (</w:t>
      </w:r>
      <w:r w:rsidR="00D65EFD" w:rsidRPr="003C2A0B">
        <w:rPr>
          <w:rFonts w:ascii="Times New Roman" w:hAnsi="Times New Roman" w:cs="Times New Roman"/>
          <w:sz w:val="24"/>
          <w:szCs w:val="28"/>
        </w:rPr>
        <w:t>6</w:t>
      </w:r>
      <w:r w:rsidRPr="003C2A0B">
        <w:rPr>
          <w:rFonts w:ascii="Times New Roman" w:hAnsi="Times New Roman" w:cs="Times New Roman"/>
          <w:sz w:val="24"/>
          <w:szCs w:val="28"/>
        </w:rPr>
        <w:t xml:space="preserve">041 vs. 5289), whereas 500:50 reduced AUC to 0.83 despite ~35% more images (7136 vs. 5289), suggesting diminishing returns and increased overfitting risk. Balancing discrimination gains with computational efficiency and robustness, we therefore selected 300:30 as the final configuration. </w:t>
      </w:r>
    </w:p>
    <w:tbl>
      <w:tblPr>
        <w:tblStyle w:val="a3"/>
        <w:tblW w:w="8334" w:type="dxa"/>
        <w:tblLook w:val="04A0" w:firstRow="1" w:lastRow="0" w:firstColumn="1" w:lastColumn="0" w:noHBand="0" w:noVBand="1"/>
      </w:tblPr>
      <w:tblGrid>
        <w:gridCol w:w="1814"/>
        <w:gridCol w:w="1304"/>
        <w:gridCol w:w="1304"/>
        <w:gridCol w:w="1304"/>
        <w:gridCol w:w="1304"/>
        <w:gridCol w:w="1304"/>
      </w:tblGrid>
      <w:tr w:rsidR="003C2A0B" w:rsidRPr="003C2A0B" w14:paraId="68F4B9B5" w14:textId="77777777" w:rsidTr="00EF49F4">
        <w:tc>
          <w:tcPr>
            <w:tcW w:w="8334" w:type="dxa"/>
            <w:gridSpan w:val="6"/>
          </w:tcPr>
          <w:p w14:paraId="526788B7" w14:textId="6BA1FC15" w:rsidR="00EF49F4" w:rsidRPr="003C2A0B" w:rsidRDefault="00EF49F4" w:rsidP="00B108B7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Hlk207443653"/>
            <w:r w:rsidRPr="003C2A0B">
              <w:rPr>
                <w:rFonts w:ascii="Times New Roman" w:hAnsi="Times New Roman" w:cs="Times New Roman"/>
                <w:sz w:val="24"/>
                <w:szCs w:val="28"/>
              </w:rPr>
              <w:t xml:space="preserve">Table </w:t>
            </w:r>
            <w:r w:rsidR="004547CD" w:rsidRPr="003C2A0B">
              <w:rPr>
                <w:rFonts w:ascii="Times New Roman" w:hAnsi="Times New Roman" w:cs="Times New Roman"/>
                <w:sz w:val="24"/>
                <w:szCs w:val="28"/>
              </w:rPr>
              <w:t>S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 xml:space="preserve">1. Performance of </w:t>
            </w:r>
            <w:r w:rsidR="00E5071C" w:rsidRPr="003C2A0B">
              <w:rPr>
                <w:rFonts w:ascii="Times New Roman" w:hAnsi="Times New Roman" w:cs="Times New Roman"/>
                <w:sz w:val="24"/>
                <w:szCs w:val="28"/>
              </w:rPr>
              <w:t>l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ocoregional recurrences prediction using different augmentation parameters</w:t>
            </w:r>
          </w:p>
        </w:tc>
      </w:tr>
      <w:tr w:rsidR="003C2A0B" w:rsidRPr="003C2A0B" w14:paraId="5F3605CD" w14:textId="77777777" w:rsidTr="00EF49F4">
        <w:tc>
          <w:tcPr>
            <w:tcW w:w="1814" w:type="dxa"/>
          </w:tcPr>
          <w:p w14:paraId="053F72DA" w14:textId="55D8C5D9" w:rsidR="00EF49F4" w:rsidRPr="003C2A0B" w:rsidRDefault="00EF49F4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Parameter</w:t>
            </w:r>
          </w:p>
        </w:tc>
        <w:tc>
          <w:tcPr>
            <w:tcW w:w="1304" w:type="dxa"/>
          </w:tcPr>
          <w:p w14:paraId="6E25DA80" w14:textId="68C79591" w:rsidR="00EF49F4" w:rsidRPr="003C2A0B" w:rsidRDefault="00EF49F4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1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00:10</w:t>
            </w:r>
          </w:p>
        </w:tc>
        <w:tc>
          <w:tcPr>
            <w:tcW w:w="1304" w:type="dxa"/>
          </w:tcPr>
          <w:p w14:paraId="3D3C6161" w14:textId="2364603A" w:rsidR="00EF49F4" w:rsidRPr="003C2A0B" w:rsidRDefault="001E3F7F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00: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304" w:type="dxa"/>
          </w:tcPr>
          <w:p w14:paraId="507089E6" w14:textId="6822C6F1" w:rsidR="00EF49F4" w:rsidRPr="003C2A0B" w:rsidRDefault="001E3F7F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00: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304" w:type="dxa"/>
          </w:tcPr>
          <w:p w14:paraId="08671739" w14:textId="008FAE31" w:rsidR="00EF49F4" w:rsidRPr="003C2A0B" w:rsidRDefault="001E3F7F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00: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304" w:type="dxa"/>
          </w:tcPr>
          <w:p w14:paraId="75F290F0" w14:textId="715C0304" w:rsidR="00EF49F4" w:rsidRPr="003C2A0B" w:rsidRDefault="001E3F7F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00: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="00EF49F4" w:rsidRPr="003C2A0B"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</w:tr>
      <w:tr w:rsidR="003C2A0B" w:rsidRPr="003C2A0B" w14:paraId="72B99440" w14:textId="77777777" w:rsidTr="00EF49F4">
        <w:tc>
          <w:tcPr>
            <w:tcW w:w="1814" w:type="dxa"/>
          </w:tcPr>
          <w:p w14:paraId="36897B4A" w14:textId="4422BDA2" w:rsidR="00EF49F4" w:rsidRPr="003C2A0B" w:rsidRDefault="00EF49F4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I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mage number</w:t>
            </w:r>
          </w:p>
        </w:tc>
        <w:tc>
          <w:tcPr>
            <w:tcW w:w="1304" w:type="dxa"/>
          </w:tcPr>
          <w:p w14:paraId="534B9C59" w14:textId="79ADFB6C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3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651</w:t>
            </w:r>
          </w:p>
        </w:tc>
        <w:tc>
          <w:tcPr>
            <w:tcW w:w="1304" w:type="dxa"/>
          </w:tcPr>
          <w:p w14:paraId="16B9F3B4" w14:textId="2F3C575B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3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955</w:t>
            </w:r>
          </w:p>
        </w:tc>
        <w:tc>
          <w:tcPr>
            <w:tcW w:w="1304" w:type="dxa"/>
          </w:tcPr>
          <w:p w14:paraId="76C6ED0B" w14:textId="735F03BB" w:rsidR="00EF49F4" w:rsidRPr="003C2A0B" w:rsidRDefault="00993170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5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289</w:t>
            </w:r>
          </w:p>
        </w:tc>
        <w:tc>
          <w:tcPr>
            <w:tcW w:w="1304" w:type="dxa"/>
          </w:tcPr>
          <w:p w14:paraId="4880C917" w14:textId="660F47EC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6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041</w:t>
            </w:r>
          </w:p>
        </w:tc>
        <w:tc>
          <w:tcPr>
            <w:tcW w:w="1304" w:type="dxa"/>
          </w:tcPr>
          <w:p w14:paraId="0FAF4835" w14:textId="2C6988D5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7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136</w:t>
            </w:r>
          </w:p>
        </w:tc>
      </w:tr>
      <w:tr w:rsidR="00EF49F4" w:rsidRPr="003C2A0B" w14:paraId="493C559B" w14:textId="77777777" w:rsidTr="00EF49F4">
        <w:tc>
          <w:tcPr>
            <w:tcW w:w="1814" w:type="dxa"/>
          </w:tcPr>
          <w:p w14:paraId="5479493E" w14:textId="143F72FF" w:rsidR="00EF49F4" w:rsidRPr="003C2A0B" w:rsidRDefault="00EF49F4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A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UC</w:t>
            </w:r>
          </w:p>
        </w:tc>
        <w:tc>
          <w:tcPr>
            <w:tcW w:w="1304" w:type="dxa"/>
          </w:tcPr>
          <w:p w14:paraId="4BFBC23D" w14:textId="74A28FB6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.72</w:t>
            </w:r>
          </w:p>
        </w:tc>
        <w:tc>
          <w:tcPr>
            <w:tcW w:w="1304" w:type="dxa"/>
          </w:tcPr>
          <w:p w14:paraId="14577B86" w14:textId="4B1B9D35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.77</w:t>
            </w:r>
          </w:p>
        </w:tc>
        <w:tc>
          <w:tcPr>
            <w:tcW w:w="1304" w:type="dxa"/>
          </w:tcPr>
          <w:p w14:paraId="7B2A8397" w14:textId="49F509F1" w:rsidR="00EF49F4" w:rsidRPr="003C2A0B" w:rsidRDefault="001E3F7F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.84</w:t>
            </w:r>
          </w:p>
        </w:tc>
        <w:tc>
          <w:tcPr>
            <w:tcW w:w="1304" w:type="dxa"/>
          </w:tcPr>
          <w:p w14:paraId="290735BD" w14:textId="00819916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.85</w:t>
            </w:r>
          </w:p>
        </w:tc>
        <w:tc>
          <w:tcPr>
            <w:tcW w:w="1304" w:type="dxa"/>
          </w:tcPr>
          <w:p w14:paraId="14A54D22" w14:textId="736D027A" w:rsidR="00EF49F4" w:rsidRPr="003C2A0B" w:rsidRDefault="007F64F5" w:rsidP="00EF49F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.83</w:t>
            </w:r>
          </w:p>
        </w:tc>
      </w:tr>
      <w:bookmarkEnd w:id="0"/>
    </w:tbl>
    <w:p w14:paraId="30967020" w14:textId="73B0328A" w:rsidR="00857BA3" w:rsidRPr="003C2A0B" w:rsidRDefault="00857BA3" w:rsidP="004F720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14:paraId="498FCAEC" w14:textId="2C68A411" w:rsidR="00D748A8" w:rsidRPr="003C2A0B" w:rsidRDefault="00D748A8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sz w:val="24"/>
          <w:szCs w:val="28"/>
        </w:rPr>
        <w:br w:type="page"/>
      </w:r>
    </w:p>
    <w:p w14:paraId="55455E56" w14:textId="78BEC6C6" w:rsidR="00857BA3" w:rsidRPr="003C2A0B" w:rsidRDefault="00857BA3" w:rsidP="00857BA3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3C2A0B">
        <w:rPr>
          <w:rFonts w:ascii="Times New Roman" w:hAnsi="Times New Roman" w:cs="Times New Roman"/>
          <w:b/>
          <w:bCs/>
          <w:sz w:val="24"/>
          <w:szCs w:val="28"/>
        </w:rPr>
        <w:lastRenderedPageBreak/>
        <w:t>S</w:t>
      </w:r>
      <w:r w:rsidR="00C950D8" w:rsidRPr="003C2A0B">
        <w:rPr>
          <w:rFonts w:ascii="Times New Roman" w:hAnsi="Times New Roman" w:cs="Times New Roman"/>
          <w:b/>
          <w:bCs/>
          <w:sz w:val="24"/>
          <w:szCs w:val="28"/>
        </w:rPr>
        <w:t>3</w:t>
      </w:r>
      <w:r w:rsidRPr="003C2A0B">
        <w:rPr>
          <w:rFonts w:ascii="Times New Roman" w:hAnsi="Times New Roman" w:cs="Times New Roman"/>
          <w:b/>
          <w:bCs/>
          <w:sz w:val="24"/>
          <w:szCs w:val="28"/>
        </w:rPr>
        <w:t>. Learning rate and batch size configuration</w:t>
      </w:r>
    </w:p>
    <w:p w14:paraId="51195E59" w14:textId="2660D936" w:rsidR="00857BA3" w:rsidRPr="003C2A0B" w:rsidRDefault="003A5325" w:rsidP="003A5325">
      <w:pPr>
        <w:spacing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sz w:val="24"/>
          <w:szCs w:val="28"/>
        </w:rPr>
        <w:t>We conducted a sensitivity analysis to determine the optimal network hyperparameters. We systematically explored a range of values for the most influential hyperparameters, including the initial learning rate (10⁻³, 10⁻⁴, 10⁻⁵) and batch size (8, 16, 32, 64). The results for locoregional recurrence prediction (Table S2), demonstrated the model's performance across these different parameter settings.</w:t>
      </w:r>
    </w:p>
    <w:p w14:paraId="6C79B884" w14:textId="3CC64C40" w:rsidR="003A5325" w:rsidRPr="003C2A0B" w:rsidRDefault="003A5325" w:rsidP="003A5325">
      <w:pPr>
        <w:spacing w:line="360" w:lineRule="auto"/>
        <w:ind w:firstLine="420"/>
        <w:rPr>
          <w:rFonts w:ascii="Times New Roman" w:hAnsi="Times New Roman" w:cs="Times New Roman"/>
          <w:sz w:val="24"/>
          <w:szCs w:val="28"/>
        </w:rPr>
      </w:pPr>
      <w:r w:rsidRPr="003C2A0B">
        <w:rPr>
          <w:rFonts w:ascii="Times New Roman" w:hAnsi="Times New Roman" w:cs="Times New Roman"/>
          <w:sz w:val="24"/>
          <w:szCs w:val="28"/>
        </w:rPr>
        <w:t>The analysis showed that a learning rate of 10⁻⁴ consistently provided the best and most stable performance, achieving AUCs between 0.82 and 0.84 across all tested batch sizes. In contrast, a higher learning rate of 10⁻³ led to suboptimal performance (AUCs 0.78-0.81). The peak performance (AUC = 0.84) was achieved with a learning rate of 10⁻⁴ and a batch size of either 16 or 32. We selected the combination of a 10⁻⁴ learning rate and a batch size of 32 for our final model, as it provided an excellent balance of high performance and training efficiency.</w:t>
      </w:r>
    </w:p>
    <w:tbl>
      <w:tblPr>
        <w:tblStyle w:val="a3"/>
        <w:tblW w:w="8334" w:type="dxa"/>
        <w:tblLook w:val="04A0" w:firstRow="1" w:lastRow="0" w:firstColumn="1" w:lastColumn="0" w:noHBand="0" w:noVBand="1"/>
      </w:tblPr>
      <w:tblGrid>
        <w:gridCol w:w="1984"/>
        <w:gridCol w:w="1587"/>
        <w:gridCol w:w="1587"/>
        <w:gridCol w:w="1587"/>
        <w:gridCol w:w="1589"/>
      </w:tblGrid>
      <w:tr w:rsidR="003C2A0B" w:rsidRPr="003C2A0B" w14:paraId="05921FED" w14:textId="77777777" w:rsidTr="00B108B7">
        <w:tc>
          <w:tcPr>
            <w:tcW w:w="8334" w:type="dxa"/>
            <w:gridSpan w:val="5"/>
          </w:tcPr>
          <w:p w14:paraId="3384B7F6" w14:textId="121EE1FD" w:rsidR="00B108B7" w:rsidRPr="003C2A0B" w:rsidRDefault="00B108B7" w:rsidP="00B108B7">
            <w:pPr>
              <w:spacing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Table S2. Performance of locoregional recurrences prediction using different learning rate and batch size</w:t>
            </w:r>
          </w:p>
        </w:tc>
      </w:tr>
      <w:tr w:rsidR="003C2A0B" w:rsidRPr="003C2A0B" w14:paraId="7C948919" w14:textId="77777777" w:rsidTr="00B108B7">
        <w:tc>
          <w:tcPr>
            <w:tcW w:w="1984" w:type="dxa"/>
          </w:tcPr>
          <w:p w14:paraId="1241C06E" w14:textId="77777777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Parameter</w:t>
            </w:r>
          </w:p>
        </w:tc>
        <w:tc>
          <w:tcPr>
            <w:tcW w:w="1587" w:type="dxa"/>
          </w:tcPr>
          <w:p w14:paraId="7F7FF397" w14:textId="4CD49487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1587" w:type="dxa"/>
          </w:tcPr>
          <w:p w14:paraId="6AB0F62E" w14:textId="39754C48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1587" w:type="dxa"/>
          </w:tcPr>
          <w:p w14:paraId="21E130C8" w14:textId="7D6402A2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3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587" w:type="dxa"/>
          </w:tcPr>
          <w:p w14:paraId="57193BFA" w14:textId="44D6026B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6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3C2A0B" w:rsidRPr="003C2A0B" w14:paraId="45817A9E" w14:textId="77777777" w:rsidTr="00B108B7">
        <w:tc>
          <w:tcPr>
            <w:tcW w:w="1984" w:type="dxa"/>
          </w:tcPr>
          <w:p w14:paraId="695C7E96" w14:textId="74453D6B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10⁻³</w:t>
            </w:r>
          </w:p>
        </w:tc>
        <w:tc>
          <w:tcPr>
            <w:tcW w:w="1587" w:type="dxa"/>
          </w:tcPr>
          <w:p w14:paraId="1C714019" w14:textId="7AE589B9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.78</w:t>
            </w:r>
          </w:p>
        </w:tc>
        <w:tc>
          <w:tcPr>
            <w:tcW w:w="1587" w:type="dxa"/>
          </w:tcPr>
          <w:p w14:paraId="3FB4BF5F" w14:textId="0AC3E4A9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.78</w:t>
            </w:r>
          </w:p>
        </w:tc>
        <w:tc>
          <w:tcPr>
            <w:tcW w:w="1587" w:type="dxa"/>
          </w:tcPr>
          <w:p w14:paraId="141E7382" w14:textId="696E8BC7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.79</w:t>
            </w:r>
          </w:p>
        </w:tc>
        <w:tc>
          <w:tcPr>
            <w:tcW w:w="1587" w:type="dxa"/>
          </w:tcPr>
          <w:p w14:paraId="6F420D74" w14:textId="6BCD0727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.81</w:t>
            </w:r>
          </w:p>
        </w:tc>
      </w:tr>
      <w:tr w:rsidR="003C2A0B" w:rsidRPr="003C2A0B" w14:paraId="472E0D32" w14:textId="77777777" w:rsidTr="00B108B7">
        <w:tc>
          <w:tcPr>
            <w:tcW w:w="1984" w:type="dxa"/>
          </w:tcPr>
          <w:p w14:paraId="1349D844" w14:textId="0F5FF306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10⁻</w:t>
            </w:r>
            <w:r w:rsidRPr="003C2A0B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4</w:t>
            </w:r>
          </w:p>
        </w:tc>
        <w:tc>
          <w:tcPr>
            <w:tcW w:w="1587" w:type="dxa"/>
          </w:tcPr>
          <w:p w14:paraId="12FA6C84" w14:textId="49CA236E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.82</w:t>
            </w:r>
          </w:p>
        </w:tc>
        <w:tc>
          <w:tcPr>
            <w:tcW w:w="1587" w:type="dxa"/>
          </w:tcPr>
          <w:p w14:paraId="2C21C631" w14:textId="6F92EA03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.84</w:t>
            </w:r>
          </w:p>
        </w:tc>
        <w:tc>
          <w:tcPr>
            <w:tcW w:w="1587" w:type="dxa"/>
          </w:tcPr>
          <w:p w14:paraId="26BD0F28" w14:textId="01651705" w:rsidR="00B108B7" w:rsidRPr="003C2A0B" w:rsidRDefault="00B44A61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.84</w:t>
            </w:r>
          </w:p>
        </w:tc>
        <w:tc>
          <w:tcPr>
            <w:tcW w:w="1587" w:type="dxa"/>
          </w:tcPr>
          <w:p w14:paraId="3DFB44B4" w14:textId="78A05AD9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.82</w:t>
            </w:r>
          </w:p>
        </w:tc>
      </w:tr>
      <w:tr w:rsidR="00B108B7" w:rsidRPr="003C2A0B" w14:paraId="411C63B5" w14:textId="77777777" w:rsidTr="00B108B7">
        <w:tc>
          <w:tcPr>
            <w:tcW w:w="1984" w:type="dxa"/>
          </w:tcPr>
          <w:p w14:paraId="093ADF81" w14:textId="2CFBD700" w:rsidR="00B108B7" w:rsidRPr="003C2A0B" w:rsidRDefault="00B108B7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10⁻</w:t>
            </w:r>
            <w:r w:rsidRPr="003C2A0B">
              <w:rPr>
                <w:rFonts w:ascii="Times New Roman" w:hAnsi="Times New Roman" w:cs="Times New Roman"/>
                <w:sz w:val="24"/>
                <w:szCs w:val="28"/>
                <w:vertAlign w:val="superscript"/>
              </w:rPr>
              <w:t>5</w:t>
            </w:r>
          </w:p>
        </w:tc>
        <w:tc>
          <w:tcPr>
            <w:tcW w:w="1587" w:type="dxa"/>
          </w:tcPr>
          <w:p w14:paraId="329D18D4" w14:textId="2B74B11B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.82</w:t>
            </w:r>
          </w:p>
        </w:tc>
        <w:tc>
          <w:tcPr>
            <w:tcW w:w="1587" w:type="dxa"/>
          </w:tcPr>
          <w:p w14:paraId="4FCE42FF" w14:textId="21A7DFF1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.81</w:t>
            </w:r>
          </w:p>
        </w:tc>
        <w:tc>
          <w:tcPr>
            <w:tcW w:w="1587" w:type="dxa"/>
          </w:tcPr>
          <w:p w14:paraId="36ED2381" w14:textId="48113355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.81</w:t>
            </w:r>
          </w:p>
        </w:tc>
        <w:tc>
          <w:tcPr>
            <w:tcW w:w="1587" w:type="dxa"/>
          </w:tcPr>
          <w:p w14:paraId="4277D0CC" w14:textId="27D7F573" w:rsidR="00B108B7" w:rsidRPr="003C2A0B" w:rsidRDefault="008D65CF" w:rsidP="00B108B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C2A0B">
              <w:rPr>
                <w:rFonts w:ascii="Times New Roman" w:hAnsi="Times New Roman" w:cs="Times New Roman" w:hint="eastAsia"/>
                <w:sz w:val="24"/>
                <w:szCs w:val="28"/>
              </w:rPr>
              <w:t>0</w:t>
            </w:r>
            <w:r w:rsidRPr="003C2A0B">
              <w:rPr>
                <w:rFonts w:ascii="Times New Roman" w:hAnsi="Times New Roman" w:cs="Times New Roman"/>
                <w:sz w:val="24"/>
                <w:szCs w:val="28"/>
              </w:rPr>
              <w:t>.79</w:t>
            </w:r>
          </w:p>
        </w:tc>
      </w:tr>
    </w:tbl>
    <w:p w14:paraId="256A788F" w14:textId="77777777" w:rsidR="00C950D8" w:rsidRPr="003C2A0B" w:rsidRDefault="00C950D8" w:rsidP="004F7204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sectPr w:rsidR="00C950D8" w:rsidRPr="003C2A0B" w:rsidSect="0003219D">
      <w:footerReference w:type="default" r:id="rId7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38CF3" w14:textId="77777777" w:rsidR="00105A62" w:rsidRDefault="00105A62" w:rsidP="006C10F1">
      <w:r>
        <w:separator/>
      </w:r>
    </w:p>
  </w:endnote>
  <w:endnote w:type="continuationSeparator" w:id="0">
    <w:p w14:paraId="113A629B" w14:textId="77777777" w:rsidR="00105A62" w:rsidRDefault="00105A62" w:rsidP="006C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9007569"/>
      <w:docPartObj>
        <w:docPartGallery w:val="Page Numbers (Bottom of Page)"/>
        <w:docPartUnique/>
      </w:docPartObj>
    </w:sdtPr>
    <w:sdtEndPr/>
    <w:sdtContent>
      <w:p w14:paraId="1319517A" w14:textId="2F647460" w:rsidR="00674A5B" w:rsidRDefault="00674A5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2CCD4FD" w14:textId="77777777" w:rsidR="00674A5B" w:rsidRDefault="00674A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19037" w14:textId="77777777" w:rsidR="00105A62" w:rsidRDefault="00105A62" w:rsidP="006C10F1">
      <w:r>
        <w:separator/>
      </w:r>
    </w:p>
  </w:footnote>
  <w:footnote w:type="continuationSeparator" w:id="0">
    <w:p w14:paraId="5F4CE173" w14:textId="77777777" w:rsidR="00105A62" w:rsidRDefault="00105A62" w:rsidP="006C1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EE"/>
    <w:rsid w:val="0003219D"/>
    <w:rsid w:val="000B09D8"/>
    <w:rsid w:val="000C510C"/>
    <w:rsid w:val="00105A62"/>
    <w:rsid w:val="00124060"/>
    <w:rsid w:val="001E3F7F"/>
    <w:rsid w:val="00232DD9"/>
    <w:rsid w:val="003335EE"/>
    <w:rsid w:val="003472C9"/>
    <w:rsid w:val="003A1645"/>
    <w:rsid w:val="003A5325"/>
    <w:rsid w:val="003C2A0B"/>
    <w:rsid w:val="004547CD"/>
    <w:rsid w:val="00473F31"/>
    <w:rsid w:val="004976CD"/>
    <w:rsid w:val="004C3750"/>
    <w:rsid w:val="004F7204"/>
    <w:rsid w:val="0059417F"/>
    <w:rsid w:val="0067149D"/>
    <w:rsid w:val="00674A5B"/>
    <w:rsid w:val="006C10F1"/>
    <w:rsid w:val="007B2EEC"/>
    <w:rsid w:val="007F64F5"/>
    <w:rsid w:val="00857BA3"/>
    <w:rsid w:val="0088444D"/>
    <w:rsid w:val="008D65CF"/>
    <w:rsid w:val="00935D3E"/>
    <w:rsid w:val="009704AD"/>
    <w:rsid w:val="00993170"/>
    <w:rsid w:val="00A238F5"/>
    <w:rsid w:val="00A36333"/>
    <w:rsid w:val="00A55FAB"/>
    <w:rsid w:val="00B108B7"/>
    <w:rsid w:val="00B44A61"/>
    <w:rsid w:val="00BA779D"/>
    <w:rsid w:val="00C52897"/>
    <w:rsid w:val="00C908AB"/>
    <w:rsid w:val="00C950D8"/>
    <w:rsid w:val="00CA0B18"/>
    <w:rsid w:val="00CD4204"/>
    <w:rsid w:val="00D65EFD"/>
    <w:rsid w:val="00D715D1"/>
    <w:rsid w:val="00D748A8"/>
    <w:rsid w:val="00DA6D6A"/>
    <w:rsid w:val="00DE7606"/>
    <w:rsid w:val="00E5071C"/>
    <w:rsid w:val="00E50C65"/>
    <w:rsid w:val="00EF49F4"/>
    <w:rsid w:val="00EF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3B657C"/>
  <w15:chartTrackingRefBased/>
  <w15:docId w15:val="{C41E65B5-706D-4857-988F-34FEF7A9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4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C10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C10F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C10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C10F1"/>
    <w:rPr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032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3032D-FAD1-4556-B65B-F96B9CDE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4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镭 许</dc:creator>
  <cp:keywords/>
  <dc:description/>
  <cp:lastModifiedBy>镭 许</cp:lastModifiedBy>
  <cp:revision>60</cp:revision>
  <dcterms:created xsi:type="dcterms:W3CDTF">2025-08-30T02:10:00Z</dcterms:created>
  <dcterms:modified xsi:type="dcterms:W3CDTF">2025-09-11T06:49:00Z</dcterms:modified>
</cp:coreProperties>
</file>