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eastAsia="宋体" w:cs="Times New Roman"/>
          <w:color w:val="auto"/>
          <w:kern w:val="2"/>
          <w:sz w:val="21"/>
          <w:szCs w:val="21"/>
          <w:highlight w:val="none"/>
          <w:lang w:val="zh-CN"/>
        </w:rPr>
        <w:id w:val="-67106346"/>
        <w:docPartObj>
          <w:docPartGallery w:val="Table of Contents"/>
          <w:docPartUnique/>
        </w:docPartObj>
      </w:sdtPr>
      <w:sdtEndPr>
        <w:rPr>
          <w:rFonts w:ascii="Times New Roman" w:hAnsi="Times New Roman" w:eastAsia="宋体" w:cs="Times New Roman"/>
          <w:b/>
          <w:bCs/>
          <w:color w:val="auto"/>
          <w:kern w:val="2"/>
          <w:sz w:val="21"/>
          <w:szCs w:val="21"/>
          <w:highlight w:val="none"/>
          <w:lang w:val="zh-CN"/>
        </w:rPr>
      </w:sdtEndPr>
      <w:sdtContent>
        <w:p w14:paraId="78946399">
          <w:pPr>
            <w:pStyle w:val="18"/>
            <w:rPr>
              <w:rFonts w:hint="eastAsia"/>
              <w:color w:val="auto"/>
              <w:highlight w:val="none"/>
            </w:rPr>
          </w:pPr>
          <w:r>
            <w:rPr>
              <w:rFonts w:hint="eastAsia"/>
              <w:color w:val="auto"/>
              <w:highlight w:val="none"/>
              <w:lang w:val="zh-CN"/>
            </w:rPr>
            <w:t>Content</w:t>
          </w:r>
        </w:p>
        <w:p w14:paraId="741C7A2F">
          <w:pPr>
            <w:pStyle w:val="8"/>
            <w:tabs>
              <w:tab w:val="right" w:leader="dot" w:pos="8312"/>
            </w:tabs>
            <w:rPr>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highlight w:val="none"/>
            </w:rPr>
            <w:instrText xml:space="preserve"> HYPERLINK \l _Toc7042 </w:instrText>
          </w:r>
          <w:r>
            <w:rPr>
              <w:highlight w:val="none"/>
            </w:rPr>
            <w:fldChar w:fldCharType="separate"/>
          </w:r>
          <w:r>
            <w:rPr>
              <w:rFonts w:ascii="微软雅黑" w:hAnsi="微软雅黑" w:eastAsia="微软雅黑"/>
              <w:szCs w:val="28"/>
              <w:highlight w:val="none"/>
            </w:rPr>
            <w:t>CT image acquisition</w:t>
          </w:r>
          <w:r>
            <w:rPr>
              <w:highlight w:val="none"/>
            </w:rPr>
            <w:tab/>
          </w:r>
          <w:r>
            <w:rPr>
              <w:highlight w:val="none"/>
            </w:rPr>
            <w:fldChar w:fldCharType="begin"/>
          </w:r>
          <w:r>
            <w:rPr>
              <w:highlight w:val="none"/>
            </w:rPr>
            <w:instrText xml:space="preserve"> PAGEREF _Toc7042 \h </w:instrText>
          </w:r>
          <w:r>
            <w:rPr>
              <w:highlight w:val="none"/>
            </w:rPr>
            <w:fldChar w:fldCharType="separate"/>
          </w:r>
          <w:r>
            <w:rPr>
              <w:highlight w:val="none"/>
            </w:rPr>
            <w:t>2</w:t>
          </w:r>
          <w:r>
            <w:rPr>
              <w:highlight w:val="none"/>
            </w:rPr>
            <w:fldChar w:fldCharType="end"/>
          </w:r>
          <w:r>
            <w:rPr>
              <w:color w:val="auto"/>
              <w:highlight w:val="none"/>
            </w:rPr>
            <w:fldChar w:fldCharType="end"/>
          </w:r>
        </w:p>
        <w:p w14:paraId="7CC29302">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_Toc23547 </w:instrText>
          </w:r>
          <w:r>
            <w:rPr>
              <w:bCs/>
              <w:highlight w:val="none"/>
              <w:lang w:val="zh-CN"/>
            </w:rPr>
            <w:fldChar w:fldCharType="separate"/>
          </w:r>
          <w:r>
            <w:rPr>
              <w:rFonts w:ascii="微软雅黑" w:hAnsi="微软雅黑" w:eastAsia="微软雅黑"/>
              <w:szCs w:val="28"/>
              <w:highlight w:val="none"/>
            </w:rPr>
            <w:t xml:space="preserve">Table </w:t>
          </w:r>
          <w:r>
            <w:rPr>
              <w:rFonts w:hint="eastAsia" w:ascii="微软雅黑" w:hAnsi="微软雅黑" w:eastAsia="微软雅黑"/>
              <w:szCs w:val="28"/>
              <w:highlight w:val="none"/>
            </w:rPr>
            <w:t>S</w:t>
          </w:r>
          <w:r>
            <w:rPr>
              <w:rFonts w:ascii="微软雅黑" w:hAnsi="微软雅黑" w:eastAsia="微软雅黑"/>
              <w:szCs w:val="28"/>
              <w:highlight w:val="none"/>
            </w:rPr>
            <w:t>1: Characteristics of the CT scans.</w:t>
          </w:r>
          <w:r>
            <w:rPr>
              <w:highlight w:val="none"/>
            </w:rPr>
            <w:tab/>
          </w:r>
          <w:r>
            <w:rPr>
              <w:highlight w:val="none"/>
            </w:rPr>
            <w:fldChar w:fldCharType="begin"/>
          </w:r>
          <w:r>
            <w:rPr>
              <w:highlight w:val="none"/>
            </w:rPr>
            <w:instrText xml:space="preserve"> PAGEREF _Toc23547 \h </w:instrText>
          </w:r>
          <w:r>
            <w:rPr>
              <w:highlight w:val="none"/>
            </w:rPr>
            <w:fldChar w:fldCharType="separate"/>
          </w:r>
          <w:r>
            <w:rPr>
              <w:highlight w:val="none"/>
            </w:rPr>
            <w:t>2</w:t>
          </w:r>
          <w:r>
            <w:rPr>
              <w:highlight w:val="none"/>
            </w:rPr>
            <w:fldChar w:fldCharType="end"/>
          </w:r>
          <w:r>
            <w:rPr>
              <w:bCs/>
              <w:color w:val="auto"/>
              <w:highlight w:val="none"/>
              <w:lang w:val="zh-CN"/>
            </w:rPr>
            <w:fldChar w:fldCharType="end"/>
          </w:r>
        </w:p>
        <w:p w14:paraId="35F20C3C">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_Toc14505 </w:instrText>
          </w:r>
          <w:r>
            <w:rPr>
              <w:bCs/>
              <w:highlight w:val="none"/>
              <w:lang w:val="zh-CN"/>
            </w:rPr>
            <w:fldChar w:fldCharType="separate"/>
          </w:r>
          <w:r>
            <w:rPr>
              <w:rFonts w:hint="eastAsia" w:ascii="微软雅黑" w:hAnsi="微软雅黑" w:eastAsia="微软雅黑"/>
              <w:szCs w:val="28"/>
              <w:highlight w:val="none"/>
            </w:rPr>
            <w:t xml:space="preserve">The classification of </w:t>
          </w:r>
          <w:r>
            <w:rPr>
              <w:rFonts w:ascii="微软雅黑" w:hAnsi="微软雅黑" w:eastAsia="微软雅黑"/>
              <w:szCs w:val="28"/>
              <w:highlight w:val="none"/>
            </w:rPr>
            <w:t>liver parenchyma</w:t>
          </w:r>
          <w:r>
            <w:rPr>
              <w:highlight w:val="none"/>
            </w:rPr>
            <w:tab/>
          </w:r>
          <w:r>
            <w:rPr>
              <w:highlight w:val="none"/>
            </w:rPr>
            <w:fldChar w:fldCharType="begin"/>
          </w:r>
          <w:r>
            <w:rPr>
              <w:highlight w:val="none"/>
            </w:rPr>
            <w:instrText xml:space="preserve"> PAGEREF _Toc14505 \h </w:instrText>
          </w:r>
          <w:r>
            <w:rPr>
              <w:highlight w:val="none"/>
            </w:rPr>
            <w:fldChar w:fldCharType="separate"/>
          </w:r>
          <w:r>
            <w:rPr>
              <w:highlight w:val="none"/>
            </w:rPr>
            <w:t>2</w:t>
          </w:r>
          <w:r>
            <w:rPr>
              <w:highlight w:val="none"/>
            </w:rPr>
            <w:fldChar w:fldCharType="end"/>
          </w:r>
          <w:r>
            <w:rPr>
              <w:bCs/>
              <w:color w:val="auto"/>
              <w:highlight w:val="none"/>
              <w:lang w:val="zh-CN"/>
            </w:rPr>
            <w:fldChar w:fldCharType="end"/>
          </w:r>
        </w:p>
        <w:p w14:paraId="597E326F">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_Toc3652 </w:instrText>
          </w:r>
          <w:r>
            <w:rPr>
              <w:bCs/>
              <w:highlight w:val="none"/>
              <w:lang w:val="zh-CN"/>
            </w:rPr>
            <w:fldChar w:fldCharType="separate"/>
          </w:r>
          <w:r>
            <w:rPr>
              <w:rFonts w:hint="eastAsia" w:ascii="微软雅黑" w:hAnsi="微软雅黑" w:eastAsia="微软雅黑"/>
              <w:szCs w:val="28"/>
              <w:highlight w:val="none"/>
            </w:rPr>
            <w:t>External validation datasets</w:t>
          </w:r>
          <w:r>
            <w:rPr>
              <w:highlight w:val="none"/>
            </w:rPr>
            <w:tab/>
          </w:r>
          <w:r>
            <w:rPr>
              <w:highlight w:val="none"/>
            </w:rPr>
            <w:fldChar w:fldCharType="begin"/>
          </w:r>
          <w:r>
            <w:rPr>
              <w:highlight w:val="none"/>
            </w:rPr>
            <w:instrText xml:space="preserve"> PAGEREF _Toc3652 \h </w:instrText>
          </w:r>
          <w:r>
            <w:rPr>
              <w:highlight w:val="none"/>
            </w:rPr>
            <w:fldChar w:fldCharType="separate"/>
          </w:r>
          <w:r>
            <w:rPr>
              <w:highlight w:val="none"/>
            </w:rPr>
            <w:t>3</w:t>
          </w:r>
          <w:r>
            <w:rPr>
              <w:highlight w:val="none"/>
            </w:rPr>
            <w:fldChar w:fldCharType="end"/>
          </w:r>
          <w:r>
            <w:rPr>
              <w:bCs/>
              <w:color w:val="auto"/>
              <w:highlight w:val="none"/>
              <w:lang w:val="zh-CN"/>
            </w:rPr>
            <w:fldChar w:fldCharType="end"/>
          </w:r>
        </w:p>
        <w:p w14:paraId="09E58819">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_Toc14513 </w:instrText>
          </w:r>
          <w:r>
            <w:rPr>
              <w:bCs/>
              <w:highlight w:val="none"/>
              <w:lang w:val="zh-CN"/>
            </w:rPr>
            <w:fldChar w:fldCharType="separate"/>
          </w:r>
          <w:r>
            <w:rPr>
              <w:rFonts w:hint="eastAsia" w:ascii="微软雅黑" w:hAnsi="微软雅黑" w:eastAsia="微软雅黑"/>
              <w:szCs w:val="28"/>
              <w:highlight w:val="none"/>
            </w:rPr>
            <w:t>The workflow of the hepatic VCAR</w:t>
          </w:r>
          <w:r>
            <w:rPr>
              <w:highlight w:val="none"/>
            </w:rPr>
            <w:tab/>
          </w:r>
          <w:r>
            <w:rPr>
              <w:highlight w:val="none"/>
            </w:rPr>
            <w:fldChar w:fldCharType="begin"/>
          </w:r>
          <w:r>
            <w:rPr>
              <w:highlight w:val="none"/>
            </w:rPr>
            <w:instrText xml:space="preserve"> PAGEREF _Toc14513 \h </w:instrText>
          </w:r>
          <w:r>
            <w:rPr>
              <w:highlight w:val="none"/>
            </w:rPr>
            <w:fldChar w:fldCharType="separate"/>
          </w:r>
          <w:r>
            <w:rPr>
              <w:highlight w:val="none"/>
            </w:rPr>
            <w:t>3</w:t>
          </w:r>
          <w:r>
            <w:rPr>
              <w:highlight w:val="none"/>
            </w:rPr>
            <w:fldChar w:fldCharType="end"/>
          </w:r>
          <w:r>
            <w:rPr>
              <w:bCs/>
              <w:color w:val="auto"/>
              <w:highlight w:val="none"/>
              <w:lang w:val="zh-CN"/>
            </w:rPr>
            <w:fldChar w:fldCharType="end"/>
          </w:r>
        </w:p>
        <w:p w14:paraId="23164A1B">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_Toc11550 </w:instrText>
          </w:r>
          <w:r>
            <w:rPr>
              <w:bCs/>
              <w:highlight w:val="none"/>
              <w:lang w:val="zh-CN"/>
            </w:rPr>
            <w:fldChar w:fldCharType="separate"/>
          </w:r>
          <w:r>
            <w:rPr>
              <w:rFonts w:ascii="微软雅黑" w:hAnsi="微软雅黑" w:eastAsia="微软雅黑"/>
              <w:szCs w:val="28"/>
              <w:highlight w:val="none"/>
            </w:rPr>
            <w:t xml:space="preserve">Development of a </w:t>
          </w:r>
          <w:r>
            <w:rPr>
              <w:rFonts w:ascii="微软雅黑" w:hAnsi="微软雅黑" w:eastAsia="微软雅黑"/>
              <w:szCs w:val="28"/>
              <w:highlight w:val="none"/>
              <w:shd w:val="clear" w:color="auto" w:fill="FFFFFF"/>
            </w:rPr>
            <w:t xml:space="preserve">DL-based FLR </w:t>
          </w:r>
          <w:r>
            <w:rPr>
              <w:rFonts w:hint="eastAsia" w:ascii="微软雅黑" w:hAnsi="微软雅黑" w:eastAsia="微软雅黑"/>
              <w:szCs w:val="28"/>
              <w:highlight w:val="none"/>
              <w:shd w:val="clear" w:color="auto" w:fill="FFFFFF"/>
              <w:lang w:val="en-US" w:eastAsia="zh-CN"/>
            </w:rPr>
            <w:t>volumetry</w:t>
          </w:r>
          <w:r>
            <w:rPr>
              <w:rFonts w:ascii="微软雅黑" w:hAnsi="微软雅黑" w:eastAsia="微软雅黑"/>
              <w:szCs w:val="28"/>
              <w:highlight w:val="none"/>
              <w:shd w:val="clear" w:color="auto" w:fill="FFFFFF"/>
            </w:rPr>
            <w:t xml:space="preserve"> system (</w:t>
          </w:r>
          <w:r>
            <w:rPr>
              <w:rFonts w:hint="eastAsia" w:ascii="微软雅黑" w:hAnsi="微软雅黑" w:eastAsia="微软雅黑"/>
              <w:szCs w:val="28"/>
              <w:highlight w:val="none"/>
              <w:shd w:val="clear" w:color="auto" w:fill="FFFFFF"/>
              <w:lang w:eastAsia="zh-CN"/>
            </w:rPr>
            <w:t>DL-FLRVS</w:t>
          </w:r>
          <w:r>
            <w:rPr>
              <w:rFonts w:ascii="微软雅黑" w:hAnsi="微软雅黑" w:eastAsia="微软雅黑"/>
              <w:szCs w:val="28"/>
              <w:highlight w:val="none"/>
              <w:shd w:val="clear" w:color="auto" w:fill="FFFFFF"/>
            </w:rPr>
            <w:t>)</w:t>
          </w:r>
          <w:r>
            <w:rPr>
              <w:highlight w:val="none"/>
            </w:rPr>
            <w:tab/>
          </w:r>
          <w:r>
            <w:rPr>
              <w:highlight w:val="none"/>
            </w:rPr>
            <w:fldChar w:fldCharType="begin"/>
          </w:r>
          <w:r>
            <w:rPr>
              <w:highlight w:val="none"/>
            </w:rPr>
            <w:instrText xml:space="preserve"> PAGEREF _Toc11550 \h </w:instrText>
          </w:r>
          <w:r>
            <w:rPr>
              <w:highlight w:val="none"/>
            </w:rPr>
            <w:fldChar w:fldCharType="separate"/>
          </w:r>
          <w:r>
            <w:rPr>
              <w:highlight w:val="none"/>
            </w:rPr>
            <w:t>3</w:t>
          </w:r>
          <w:r>
            <w:rPr>
              <w:highlight w:val="none"/>
            </w:rPr>
            <w:fldChar w:fldCharType="end"/>
          </w:r>
          <w:r>
            <w:rPr>
              <w:bCs/>
              <w:color w:val="auto"/>
              <w:highlight w:val="none"/>
              <w:lang w:val="zh-CN"/>
            </w:rPr>
            <w:fldChar w:fldCharType="end"/>
          </w:r>
        </w:p>
        <w:p w14:paraId="65DD1E9A">
          <w:pPr>
            <w:pStyle w:val="5"/>
            <w:tabs>
              <w:tab w:val="right" w:leader="dot" w:pos="8312"/>
            </w:tabs>
            <w:rPr>
              <w:highlight w:val="none"/>
            </w:rPr>
          </w:pPr>
          <w:r>
            <w:rPr>
              <w:bCs/>
              <w:color w:val="auto"/>
              <w:highlight w:val="none"/>
              <w:lang w:val="zh-CN"/>
            </w:rPr>
            <w:fldChar w:fldCharType="begin"/>
          </w:r>
          <w:r>
            <w:rPr>
              <w:bCs/>
              <w:highlight w:val="none"/>
              <w:lang w:val="zh-CN"/>
            </w:rPr>
            <w:instrText xml:space="preserve"> HYPERLINK \l _Toc21611 </w:instrText>
          </w:r>
          <w:r>
            <w:rPr>
              <w:bCs/>
              <w:highlight w:val="none"/>
              <w:lang w:val="zh-CN"/>
            </w:rPr>
            <w:fldChar w:fldCharType="separate"/>
          </w:r>
          <w:r>
            <w:rPr>
              <w:rFonts w:ascii="微软雅黑" w:hAnsi="微软雅黑" w:eastAsia="微软雅黑"/>
              <w:bCs w:val="0"/>
              <w:szCs w:val="24"/>
              <w:highlight w:val="none"/>
            </w:rPr>
            <w:t>Dataset description: training dataset</w:t>
          </w:r>
          <w:r>
            <w:rPr>
              <w:rFonts w:hint="eastAsia" w:ascii="微软雅黑" w:hAnsi="微软雅黑" w:eastAsia="微软雅黑"/>
              <w:bCs w:val="0"/>
              <w:szCs w:val="24"/>
              <w:highlight w:val="none"/>
            </w:rPr>
            <w:t xml:space="preserve"> </w:t>
          </w:r>
          <w:r>
            <w:rPr>
              <w:rFonts w:ascii="微软雅黑" w:hAnsi="微软雅黑" w:eastAsia="微软雅黑"/>
              <w:bCs w:val="0"/>
              <w:szCs w:val="24"/>
              <w:highlight w:val="none"/>
            </w:rPr>
            <w:t>of all DL models in this study</w:t>
          </w:r>
          <w:r>
            <w:rPr>
              <w:highlight w:val="none"/>
            </w:rPr>
            <w:tab/>
          </w:r>
          <w:r>
            <w:rPr>
              <w:highlight w:val="none"/>
            </w:rPr>
            <w:fldChar w:fldCharType="begin"/>
          </w:r>
          <w:r>
            <w:rPr>
              <w:highlight w:val="none"/>
            </w:rPr>
            <w:instrText xml:space="preserve"> PAGEREF _Toc21611 \h </w:instrText>
          </w:r>
          <w:r>
            <w:rPr>
              <w:highlight w:val="none"/>
            </w:rPr>
            <w:fldChar w:fldCharType="separate"/>
          </w:r>
          <w:r>
            <w:rPr>
              <w:highlight w:val="none"/>
            </w:rPr>
            <w:t>4</w:t>
          </w:r>
          <w:r>
            <w:rPr>
              <w:highlight w:val="none"/>
            </w:rPr>
            <w:fldChar w:fldCharType="end"/>
          </w:r>
          <w:r>
            <w:rPr>
              <w:bCs/>
              <w:color w:val="auto"/>
              <w:highlight w:val="none"/>
              <w:lang w:val="zh-CN"/>
            </w:rPr>
            <w:fldChar w:fldCharType="end"/>
          </w:r>
        </w:p>
        <w:p w14:paraId="1DC794C1">
          <w:pPr>
            <w:pStyle w:val="5"/>
            <w:tabs>
              <w:tab w:val="right" w:leader="dot" w:pos="8312"/>
            </w:tabs>
            <w:rPr>
              <w:highlight w:val="none"/>
            </w:rPr>
          </w:pPr>
          <w:r>
            <w:rPr>
              <w:bCs/>
              <w:color w:val="auto"/>
              <w:highlight w:val="none"/>
              <w:lang w:val="zh-CN"/>
            </w:rPr>
            <w:fldChar w:fldCharType="begin"/>
          </w:r>
          <w:r>
            <w:rPr>
              <w:bCs/>
              <w:highlight w:val="none"/>
              <w:lang w:val="zh-CN"/>
            </w:rPr>
            <w:instrText xml:space="preserve"> HYPERLINK \l _Toc29113 </w:instrText>
          </w:r>
          <w:r>
            <w:rPr>
              <w:bCs/>
              <w:highlight w:val="none"/>
              <w:lang w:val="zh-CN"/>
            </w:rPr>
            <w:fldChar w:fldCharType="separate"/>
          </w:r>
          <w:r>
            <w:rPr>
              <w:rFonts w:ascii="微软雅黑" w:hAnsi="微软雅黑" w:eastAsia="微软雅黑"/>
              <w:bCs w:val="0"/>
              <w:szCs w:val="24"/>
              <w:highlight w:val="none"/>
            </w:rPr>
            <w:t>Imaging Processing and Labeling for the Development of DL Models</w:t>
          </w:r>
          <w:r>
            <w:rPr>
              <w:highlight w:val="none"/>
            </w:rPr>
            <w:tab/>
          </w:r>
          <w:r>
            <w:rPr>
              <w:highlight w:val="none"/>
            </w:rPr>
            <w:fldChar w:fldCharType="begin"/>
          </w:r>
          <w:r>
            <w:rPr>
              <w:highlight w:val="none"/>
            </w:rPr>
            <w:instrText xml:space="preserve"> PAGEREF _Toc29113 \h </w:instrText>
          </w:r>
          <w:r>
            <w:rPr>
              <w:highlight w:val="none"/>
            </w:rPr>
            <w:fldChar w:fldCharType="separate"/>
          </w:r>
          <w:r>
            <w:rPr>
              <w:highlight w:val="none"/>
            </w:rPr>
            <w:t>5</w:t>
          </w:r>
          <w:r>
            <w:rPr>
              <w:highlight w:val="none"/>
            </w:rPr>
            <w:fldChar w:fldCharType="end"/>
          </w:r>
          <w:r>
            <w:rPr>
              <w:bCs/>
              <w:color w:val="auto"/>
              <w:highlight w:val="none"/>
              <w:lang w:val="zh-CN"/>
            </w:rPr>
            <w:fldChar w:fldCharType="end"/>
          </w:r>
        </w:p>
        <w:p w14:paraId="3D62E6E5">
          <w:pPr>
            <w:pStyle w:val="5"/>
            <w:tabs>
              <w:tab w:val="right" w:leader="dot" w:pos="8312"/>
            </w:tabs>
            <w:rPr>
              <w:highlight w:val="none"/>
            </w:rPr>
          </w:pPr>
          <w:r>
            <w:rPr>
              <w:bCs/>
              <w:color w:val="auto"/>
              <w:highlight w:val="none"/>
              <w:lang w:val="zh-CN"/>
            </w:rPr>
            <w:fldChar w:fldCharType="begin"/>
          </w:r>
          <w:r>
            <w:rPr>
              <w:bCs/>
              <w:highlight w:val="none"/>
              <w:lang w:val="zh-CN"/>
            </w:rPr>
            <w:instrText xml:space="preserve"> HYPERLINK \l _Toc15711 </w:instrText>
          </w:r>
          <w:r>
            <w:rPr>
              <w:bCs/>
              <w:highlight w:val="none"/>
              <w:lang w:val="zh-CN"/>
            </w:rPr>
            <w:fldChar w:fldCharType="separate"/>
          </w:r>
          <w:r>
            <w:rPr>
              <w:rFonts w:hint="eastAsia" w:ascii="微软雅黑" w:hAnsi="微软雅黑" w:eastAsia="微软雅黑"/>
              <w:bCs w:val="0"/>
              <w:szCs w:val="24"/>
              <w:highlight w:val="none"/>
              <w:lang w:eastAsia="zh-CN"/>
            </w:rPr>
            <w:t>DL-FLRVS</w:t>
          </w:r>
          <w:r>
            <w:rPr>
              <w:rFonts w:ascii="微软雅黑" w:hAnsi="微软雅黑" w:eastAsia="微软雅黑"/>
              <w:bCs w:val="0"/>
              <w:szCs w:val="24"/>
              <w:highlight w:val="none"/>
            </w:rPr>
            <w:t xml:space="preserve"> Development</w:t>
          </w:r>
          <w:r>
            <w:rPr>
              <w:highlight w:val="none"/>
            </w:rPr>
            <w:tab/>
          </w:r>
          <w:r>
            <w:rPr>
              <w:highlight w:val="none"/>
            </w:rPr>
            <w:fldChar w:fldCharType="begin"/>
          </w:r>
          <w:r>
            <w:rPr>
              <w:highlight w:val="none"/>
            </w:rPr>
            <w:instrText xml:space="preserve"> PAGEREF _Toc15711 \h </w:instrText>
          </w:r>
          <w:r>
            <w:rPr>
              <w:highlight w:val="none"/>
            </w:rPr>
            <w:fldChar w:fldCharType="separate"/>
          </w:r>
          <w:r>
            <w:rPr>
              <w:highlight w:val="none"/>
            </w:rPr>
            <w:t>5</w:t>
          </w:r>
          <w:r>
            <w:rPr>
              <w:highlight w:val="none"/>
            </w:rPr>
            <w:fldChar w:fldCharType="end"/>
          </w:r>
          <w:r>
            <w:rPr>
              <w:bCs/>
              <w:color w:val="auto"/>
              <w:highlight w:val="none"/>
              <w:lang w:val="zh-CN"/>
            </w:rPr>
            <w:fldChar w:fldCharType="end"/>
          </w:r>
        </w:p>
        <w:p w14:paraId="01C02B16">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_Toc6189 </w:instrText>
          </w:r>
          <w:r>
            <w:rPr>
              <w:bCs/>
              <w:highlight w:val="none"/>
              <w:lang w:val="zh-CN"/>
            </w:rPr>
            <w:fldChar w:fldCharType="separate"/>
          </w:r>
          <w:r>
            <w:rPr>
              <w:rFonts w:ascii="微软雅黑" w:hAnsi="微软雅黑" w:eastAsia="微软雅黑"/>
              <w:highlight w:val="none"/>
            </w:rPr>
            <w:t>Model evaluation</w:t>
          </w:r>
          <w:r>
            <w:rPr>
              <w:highlight w:val="none"/>
            </w:rPr>
            <w:tab/>
          </w:r>
          <w:r>
            <w:rPr>
              <w:highlight w:val="none"/>
            </w:rPr>
            <w:fldChar w:fldCharType="begin"/>
          </w:r>
          <w:r>
            <w:rPr>
              <w:highlight w:val="none"/>
            </w:rPr>
            <w:instrText xml:space="preserve"> PAGEREF _Toc6189 \h </w:instrText>
          </w:r>
          <w:r>
            <w:rPr>
              <w:highlight w:val="none"/>
            </w:rPr>
            <w:fldChar w:fldCharType="separate"/>
          </w:r>
          <w:r>
            <w:rPr>
              <w:highlight w:val="none"/>
            </w:rPr>
            <w:t>6</w:t>
          </w:r>
          <w:r>
            <w:rPr>
              <w:highlight w:val="none"/>
            </w:rPr>
            <w:fldChar w:fldCharType="end"/>
          </w:r>
          <w:r>
            <w:rPr>
              <w:bCs/>
              <w:color w:val="auto"/>
              <w:highlight w:val="none"/>
              <w:lang w:val="zh-CN"/>
            </w:rPr>
            <w:fldChar w:fldCharType="end"/>
          </w:r>
        </w:p>
        <w:p w14:paraId="7FDC9F49">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_Toc5423 </w:instrText>
          </w:r>
          <w:r>
            <w:rPr>
              <w:bCs/>
              <w:highlight w:val="none"/>
              <w:lang w:val="zh-CN"/>
            </w:rPr>
            <w:fldChar w:fldCharType="separate"/>
          </w:r>
          <w:r>
            <w:rPr>
              <w:rFonts w:ascii="微软雅黑" w:hAnsi="微软雅黑" w:eastAsia="微软雅黑"/>
              <w:highlight w:val="none"/>
            </w:rPr>
            <w:t>Results</w:t>
          </w:r>
          <w:r>
            <w:rPr>
              <w:highlight w:val="none"/>
            </w:rPr>
            <w:tab/>
          </w:r>
          <w:r>
            <w:rPr>
              <w:highlight w:val="none"/>
            </w:rPr>
            <w:fldChar w:fldCharType="begin"/>
          </w:r>
          <w:r>
            <w:rPr>
              <w:highlight w:val="none"/>
            </w:rPr>
            <w:instrText xml:space="preserve"> PAGEREF _Toc5423 \h </w:instrText>
          </w:r>
          <w:r>
            <w:rPr>
              <w:highlight w:val="none"/>
            </w:rPr>
            <w:fldChar w:fldCharType="separate"/>
          </w:r>
          <w:r>
            <w:rPr>
              <w:highlight w:val="none"/>
            </w:rPr>
            <w:t>6</w:t>
          </w:r>
          <w:r>
            <w:rPr>
              <w:highlight w:val="none"/>
            </w:rPr>
            <w:fldChar w:fldCharType="end"/>
          </w:r>
          <w:r>
            <w:rPr>
              <w:bCs/>
              <w:color w:val="auto"/>
              <w:highlight w:val="none"/>
              <w:lang w:val="zh-CN"/>
            </w:rPr>
            <w:fldChar w:fldCharType="end"/>
          </w:r>
        </w:p>
        <w:p w14:paraId="61307D52">
          <w:pPr>
            <w:pStyle w:val="8"/>
            <w:tabs>
              <w:tab w:val="right" w:leader="dot" w:pos="8312"/>
            </w:tabs>
            <w:rPr>
              <w:highlight w:val="none"/>
            </w:rPr>
          </w:pPr>
          <w:r>
            <w:rPr>
              <w:bCs/>
              <w:color w:val="auto"/>
              <w:highlight w:val="none"/>
              <w:lang w:val="zh-CN"/>
            </w:rPr>
            <w:fldChar w:fldCharType="begin"/>
          </w:r>
          <w:r>
            <w:rPr>
              <w:bCs/>
              <w:highlight w:val="none"/>
              <w:lang w:val="zh-CN"/>
            </w:rPr>
            <w:instrText xml:space="preserve"> HYPERLINK \l _Toc25051 </w:instrText>
          </w:r>
          <w:r>
            <w:rPr>
              <w:bCs/>
              <w:highlight w:val="none"/>
              <w:lang w:val="zh-CN"/>
            </w:rPr>
            <w:fldChar w:fldCharType="separate"/>
          </w:r>
          <w:r>
            <w:rPr>
              <w:rFonts w:ascii="微软雅黑" w:hAnsi="微软雅黑" w:eastAsia="微软雅黑"/>
              <w:highlight w:val="none"/>
            </w:rPr>
            <w:t>References</w:t>
          </w:r>
          <w:r>
            <w:rPr>
              <w:highlight w:val="none"/>
            </w:rPr>
            <w:tab/>
          </w:r>
          <w:r>
            <w:rPr>
              <w:highlight w:val="none"/>
            </w:rPr>
            <w:fldChar w:fldCharType="begin"/>
          </w:r>
          <w:r>
            <w:rPr>
              <w:highlight w:val="none"/>
            </w:rPr>
            <w:instrText xml:space="preserve"> PAGEREF _Toc25051 \h </w:instrText>
          </w:r>
          <w:r>
            <w:rPr>
              <w:highlight w:val="none"/>
            </w:rPr>
            <w:fldChar w:fldCharType="separate"/>
          </w:r>
          <w:r>
            <w:rPr>
              <w:highlight w:val="none"/>
            </w:rPr>
            <w:t>8</w:t>
          </w:r>
          <w:r>
            <w:rPr>
              <w:highlight w:val="none"/>
            </w:rPr>
            <w:fldChar w:fldCharType="end"/>
          </w:r>
          <w:r>
            <w:rPr>
              <w:bCs/>
              <w:color w:val="auto"/>
              <w:highlight w:val="none"/>
              <w:lang w:val="zh-CN"/>
            </w:rPr>
            <w:fldChar w:fldCharType="end"/>
          </w:r>
        </w:p>
        <w:p w14:paraId="6FBDCE27">
          <w:pPr>
            <w:rPr>
              <w:color w:val="auto"/>
              <w:highlight w:val="none"/>
            </w:rPr>
          </w:pPr>
          <w:r>
            <w:rPr>
              <w:bCs/>
              <w:color w:val="auto"/>
              <w:highlight w:val="none"/>
              <w:lang w:val="zh-CN"/>
            </w:rPr>
            <w:fldChar w:fldCharType="end"/>
          </w:r>
        </w:p>
      </w:sdtContent>
    </w:sdt>
    <w:p w14:paraId="30D82664">
      <w:pPr>
        <w:widowControl/>
        <w:jc w:val="left"/>
        <w:rPr>
          <w:rFonts w:hint="eastAsia" w:ascii="微软雅黑" w:hAnsi="微软雅黑" w:eastAsia="微软雅黑" w:cstheme="majorBidi"/>
          <w:b/>
          <w:bCs/>
          <w:color w:val="auto"/>
          <w:sz w:val="28"/>
          <w:szCs w:val="28"/>
          <w:highlight w:val="none"/>
        </w:rPr>
      </w:pPr>
      <w:r>
        <w:rPr>
          <w:rFonts w:hint="eastAsia" w:ascii="微软雅黑" w:hAnsi="微软雅黑" w:eastAsia="微软雅黑"/>
          <w:color w:val="auto"/>
          <w:sz w:val="28"/>
          <w:szCs w:val="28"/>
          <w:highlight w:val="none"/>
        </w:rPr>
        <w:br w:type="page"/>
      </w:r>
    </w:p>
    <w:p w14:paraId="49518FC7">
      <w:pPr>
        <w:pStyle w:val="3"/>
        <w:rPr>
          <w:rFonts w:hint="eastAsia" w:ascii="微软雅黑" w:hAnsi="微软雅黑" w:eastAsia="微软雅黑"/>
          <w:color w:val="auto"/>
          <w:sz w:val="28"/>
          <w:szCs w:val="28"/>
          <w:highlight w:val="none"/>
        </w:rPr>
      </w:pPr>
      <w:bookmarkStart w:id="0" w:name="_Toc7042"/>
      <w:r>
        <w:rPr>
          <w:rFonts w:ascii="微软雅黑" w:hAnsi="微软雅黑" w:eastAsia="微软雅黑"/>
          <w:color w:val="auto"/>
          <w:sz w:val="28"/>
          <w:szCs w:val="28"/>
          <w:highlight w:val="none"/>
        </w:rPr>
        <w:t>CT image acquisition</w:t>
      </w:r>
      <w:bookmarkEnd w:id="0"/>
    </w:p>
    <w:p w14:paraId="11F7888C">
      <w:pPr>
        <w:spacing w:line="360" w:lineRule="auto"/>
        <w:rPr>
          <w:bCs/>
          <w:color w:val="auto"/>
          <w:highlight w:val="none"/>
          <w:shd w:val="clear" w:color="auto" w:fill="FFFFFF"/>
        </w:rPr>
      </w:pPr>
      <w:r>
        <w:rPr>
          <w:bCs/>
          <w:color w:val="auto"/>
          <w:highlight w:val="none"/>
          <w:shd w:val="clear" w:color="auto" w:fill="FFFFFF"/>
        </w:rPr>
        <w:t>The images were acquired using Definition Flash (Siemens Healthineers) and Revolution (GE Healthcare, Milwaukee, WI, USA). Iodinated contrast agents</w:t>
      </w:r>
      <w:r>
        <w:rPr>
          <w:rFonts w:hint="eastAsia"/>
          <w:bCs/>
          <w:color w:val="auto"/>
          <w:highlight w:val="none"/>
          <w:shd w:val="clear" w:color="auto" w:fill="FFFFFF"/>
        </w:rPr>
        <w:t xml:space="preserve"> used were </w:t>
      </w:r>
      <w:r>
        <w:rPr>
          <w:bCs/>
          <w:color w:val="auto"/>
          <w:highlight w:val="none"/>
          <w:shd w:val="clear" w:color="auto" w:fill="FFFFFF"/>
        </w:rPr>
        <w:t>iohexol</w:t>
      </w:r>
      <w:r>
        <w:rPr>
          <w:rFonts w:hint="eastAsia"/>
          <w:bCs/>
          <w:color w:val="auto"/>
          <w:highlight w:val="none"/>
          <w:shd w:val="clear" w:color="auto" w:fill="FFFFFF"/>
        </w:rPr>
        <w:t xml:space="preserve"> and iomeprol (</w:t>
      </w:r>
      <w:r>
        <w:rPr>
          <w:bCs/>
          <w:color w:val="auto"/>
          <w:highlight w:val="none"/>
          <w:shd w:val="clear" w:color="auto" w:fill="FFFFFF"/>
        </w:rPr>
        <w:t>Omnipaque [GE Health care]</w:t>
      </w:r>
      <w:r>
        <w:rPr>
          <w:rFonts w:hint="eastAsia"/>
          <w:bCs/>
          <w:color w:val="auto"/>
          <w:highlight w:val="none"/>
          <w:shd w:val="clear" w:color="auto" w:fill="FFFFFF"/>
        </w:rPr>
        <w:t xml:space="preserve"> and </w:t>
      </w:r>
      <w:r>
        <w:rPr>
          <w:bCs/>
          <w:color w:val="auto"/>
          <w:highlight w:val="none"/>
          <w:shd w:val="clear" w:color="auto" w:fill="FFFFFF"/>
        </w:rPr>
        <w:t>Imeron [Bracco Imaging]</w:t>
      </w:r>
      <w:r>
        <w:rPr>
          <w:rFonts w:hint="eastAsia"/>
          <w:bCs/>
          <w:color w:val="auto"/>
          <w:highlight w:val="none"/>
          <w:shd w:val="clear" w:color="auto" w:fill="FFFFFF"/>
        </w:rPr>
        <w:t>)</w:t>
      </w:r>
      <w:r>
        <w:rPr>
          <w:bCs/>
          <w:color w:val="auto"/>
          <w:highlight w:val="none"/>
          <w:shd w:val="clear" w:color="auto" w:fill="FFFFFF"/>
        </w:rPr>
        <w:t xml:space="preserve"> </w:t>
      </w:r>
      <w:r>
        <w:rPr>
          <w:rFonts w:hint="eastAsia"/>
          <w:bCs/>
          <w:color w:val="auto"/>
          <w:highlight w:val="none"/>
          <w:shd w:val="clear" w:color="auto" w:fill="FFFFFF"/>
        </w:rPr>
        <w:t>with an amount of ranging from</w:t>
      </w:r>
      <w:r>
        <w:rPr>
          <w:bCs/>
          <w:color w:val="auto"/>
          <w:highlight w:val="none"/>
          <w:shd w:val="clear" w:color="auto" w:fill="FFFFFF"/>
        </w:rPr>
        <w:t xml:space="preserve"> 80 to 140 mL. Because the assessment of FLR for major hepatectomy is based on the anatomy of Couinaud’s liver segments, which are formed by portal veins and hepatic veins, only CT images with clear portal veins and hepatic veins </w:t>
      </w:r>
      <w:r>
        <w:rPr>
          <w:rFonts w:hint="eastAsia"/>
          <w:bCs/>
          <w:color w:val="auto"/>
          <w:highlight w:val="none"/>
          <w:shd w:val="clear" w:color="auto" w:fill="FFFFFF"/>
        </w:rPr>
        <w:t>were</w:t>
      </w:r>
      <w:r>
        <w:rPr>
          <w:bCs/>
          <w:color w:val="auto"/>
          <w:highlight w:val="none"/>
          <w:shd w:val="clear" w:color="auto" w:fill="FFFFFF"/>
        </w:rPr>
        <w:t xml:space="preserve"> used</w:t>
      </w:r>
      <w:r>
        <w:rPr>
          <w:rFonts w:hint="eastAsia"/>
          <w:bCs/>
          <w:color w:val="auto"/>
          <w:highlight w:val="none"/>
          <w:shd w:val="clear" w:color="auto" w:fill="FFFFFF"/>
        </w:rPr>
        <w:t>. Most images were acquired at p</w:t>
      </w:r>
      <w:r>
        <w:rPr>
          <w:bCs/>
          <w:color w:val="auto"/>
          <w:highlight w:val="none"/>
          <w:shd w:val="clear" w:color="auto" w:fill="FFFFFF"/>
        </w:rPr>
        <w:t>ortovenous phase</w:t>
      </w:r>
      <w:r>
        <w:rPr>
          <w:rFonts w:hint="eastAsia"/>
          <w:bCs/>
          <w:color w:val="auto"/>
          <w:highlight w:val="none"/>
          <w:shd w:val="clear" w:color="auto" w:fill="FFFFFF"/>
        </w:rPr>
        <w:t xml:space="preserve"> (98.31%)</w:t>
      </w:r>
      <w:r>
        <w:rPr>
          <w:bCs/>
          <w:color w:val="auto"/>
          <w:highlight w:val="none"/>
          <w:shd w:val="clear" w:color="auto" w:fill="FFFFFF"/>
        </w:rPr>
        <w:t>. CT images with a 1.0/1.25 mm slice thickness were acquired to obtain a precise FLR assessment. The details are summarized in Table S1.</w:t>
      </w:r>
    </w:p>
    <w:p w14:paraId="4EC09F5A">
      <w:pPr>
        <w:spacing w:line="360" w:lineRule="auto"/>
        <w:rPr>
          <w:bCs/>
          <w:color w:val="auto"/>
          <w:highlight w:val="none"/>
          <w:shd w:val="clear" w:color="auto" w:fill="FFFFFF"/>
        </w:rPr>
      </w:pPr>
    </w:p>
    <w:p w14:paraId="7FD84F64">
      <w:pPr>
        <w:pStyle w:val="3"/>
        <w:rPr>
          <w:rFonts w:hint="eastAsia" w:ascii="微软雅黑" w:hAnsi="微软雅黑" w:eastAsia="微软雅黑"/>
          <w:color w:val="auto"/>
          <w:sz w:val="28"/>
          <w:szCs w:val="28"/>
          <w:highlight w:val="none"/>
        </w:rPr>
      </w:pPr>
      <w:bookmarkStart w:id="1" w:name="_Toc23547"/>
      <w:r>
        <w:rPr>
          <w:rFonts w:ascii="微软雅黑" w:hAnsi="微软雅黑" w:eastAsia="微软雅黑"/>
          <w:color w:val="auto"/>
          <w:sz w:val="28"/>
          <w:szCs w:val="28"/>
          <w:highlight w:val="none"/>
        </w:rPr>
        <w:t xml:space="preserve">Table </w:t>
      </w:r>
      <w:r>
        <w:rPr>
          <w:rFonts w:hint="eastAsia" w:ascii="微软雅黑" w:hAnsi="微软雅黑" w:eastAsia="微软雅黑"/>
          <w:color w:val="auto"/>
          <w:sz w:val="28"/>
          <w:szCs w:val="28"/>
          <w:highlight w:val="none"/>
        </w:rPr>
        <w:t>S</w:t>
      </w:r>
      <w:r>
        <w:rPr>
          <w:rFonts w:ascii="微软雅黑" w:hAnsi="微软雅黑" w:eastAsia="微软雅黑"/>
          <w:color w:val="auto"/>
          <w:sz w:val="28"/>
          <w:szCs w:val="28"/>
          <w:highlight w:val="none"/>
        </w:rPr>
        <w:t>1: Characteristics of the CT scans.</w:t>
      </w:r>
      <w:bookmarkEnd w:id="1"/>
    </w:p>
    <w:tbl>
      <w:tblPr>
        <w:tblStyle w:val="9"/>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84"/>
        <w:gridCol w:w="2036"/>
        <w:gridCol w:w="2358"/>
      </w:tblGrid>
      <w:tr w14:paraId="7603C2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single" w:color="auto" w:sz="4" w:space="0"/>
              <w:left w:val="nil"/>
              <w:bottom w:val="single" w:color="auto" w:sz="4" w:space="0"/>
              <w:right w:val="nil"/>
            </w:tcBorders>
          </w:tcPr>
          <w:p w14:paraId="286AB560">
            <w:pPr>
              <w:spacing w:line="360" w:lineRule="auto"/>
              <w:rPr>
                <w:b/>
                <w:bCs/>
                <w:color w:val="auto"/>
                <w:highlight w:val="none"/>
                <w:shd w:val="clear" w:color="auto" w:fill="FFFFFF"/>
              </w:rPr>
            </w:pPr>
            <w:r>
              <w:rPr>
                <w:b/>
                <w:bCs/>
                <w:color w:val="auto"/>
                <w:highlight w:val="none"/>
                <w:shd w:val="clear" w:color="auto" w:fill="FFFFFF"/>
              </w:rPr>
              <w:t>Parameters</w:t>
            </w:r>
          </w:p>
        </w:tc>
        <w:tc>
          <w:tcPr>
            <w:tcW w:w="2036" w:type="dxa"/>
            <w:tcBorders>
              <w:top w:val="single" w:color="auto" w:sz="4" w:space="0"/>
              <w:left w:val="nil"/>
              <w:bottom w:val="single" w:color="auto" w:sz="4" w:space="0"/>
              <w:right w:val="nil"/>
            </w:tcBorders>
          </w:tcPr>
          <w:p w14:paraId="20BCFC11">
            <w:pPr>
              <w:spacing w:line="360" w:lineRule="auto"/>
              <w:jc w:val="center"/>
              <w:rPr>
                <w:b/>
                <w:bCs/>
                <w:color w:val="auto"/>
                <w:highlight w:val="none"/>
                <w:shd w:val="clear" w:color="auto" w:fill="FFFFFF"/>
              </w:rPr>
            </w:pPr>
            <w:r>
              <w:rPr>
                <w:rFonts w:hint="eastAsia"/>
                <w:b/>
                <w:bCs/>
                <w:color w:val="auto"/>
                <w:highlight w:val="none"/>
                <w:shd w:val="clear" w:color="auto" w:fill="FFFFFF"/>
              </w:rPr>
              <w:t>External validation</w:t>
            </w:r>
            <w:r>
              <w:rPr>
                <w:b/>
                <w:bCs/>
                <w:color w:val="auto"/>
                <w:highlight w:val="none"/>
                <w:shd w:val="clear" w:color="auto" w:fill="FFFFFF"/>
              </w:rPr>
              <w:br w:type="textWrapping"/>
            </w:r>
            <w:r>
              <w:rPr>
                <w:rFonts w:hint="eastAsia"/>
                <w:b/>
                <w:bCs/>
                <w:color w:val="auto"/>
                <w:highlight w:val="none"/>
                <w:shd w:val="clear" w:color="auto" w:fill="FFFFFF"/>
              </w:rPr>
              <w:t>Cohort</w:t>
            </w:r>
            <w:r>
              <w:rPr>
                <w:b/>
                <w:bCs/>
                <w:color w:val="auto"/>
                <w:highlight w:val="none"/>
                <w:shd w:val="clear" w:color="auto" w:fill="FFFFFF"/>
              </w:rPr>
              <w:t>-1(n=146)</w:t>
            </w:r>
          </w:p>
        </w:tc>
        <w:tc>
          <w:tcPr>
            <w:tcW w:w="2358" w:type="dxa"/>
            <w:tcBorders>
              <w:top w:val="single" w:color="auto" w:sz="4" w:space="0"/>
              <w:left w:val="nil"/>
              <w:bottom w:val="single" w:color="auto" w:sz="4" w:space="0"/>
              <w:right w:val="nil"/>
            </w:tcBorders>
          </w:tcPr>
          <w:p w14:paraId="0D1EEA00">
            <w:pPr>
              <w:spacing w:line="360" w:lineRule="auto"/>
              <w:jc w:val="center"/>
              <w:rPr>
                <w:b/>
                <w:bCs/>
                <w:color w:val="auto"/>
                <w:highlight w:val="none"/>
                <w:shd w:val="clear" w:color="auto" w:fill="FFFFFF"/>
              </w:rPr>
            </w:pPr>
            <w:r>
              <w:rPr>
                <w:rFonts w:hint="eastAsia"/>
                <w:b/>
                <w:bCs/>
                <w:color w:val="auto"/>
                <w:highlight w:val="none"/>
                <w:shd w:val="clear" w:color="auto" w:fill="FFFFFF"/>
              </w:rPr>
              <w:t xml:space="preserve">External validation </w:t>
            </w:r>
            <w:r>
              <w:rPr>
                <w:b/>
                <w:bCs/>
                <w:color w:val="auto"/>
                <w:highlight w:val="none"/>
                <w:shd w:val="clear" w:color="auto" w:fill="FFFFFF"/>
              </w:rPr>
              <w:br w:type="textWrapping"/>
            </w:r>
            <w:r>
              <w:rPr>
                <w:rFonts w:hint="eastAsia"/>
                <w:b/>
                <w:bCs/>
                <w:color w:val="auto"/>
                <w:highlight w:val="none"/>
                <w:shd w:val="clear" w:color="auto" w:fill="FFFFFF"/>
              </w:rPr>
              <w:t>Cohort</w:t>
            </w:r>
            <w:r>
              <w:rPr>
                <w:b/>
                <w:bCs/>
                <w:color w:val="auto"/>
                <w:highlight w:val="none"/>
                <w:shd w:val="clear" w:color="auto" w:fill="FFFFFF"/>
              </w:rPr>
              <w:t xml:space="preserve"> -2(n=32)</w:t>
            </w:r>
          </w:p>
        </w:tc>
      </w:tr>
      <w:tr w14:paraId="5943CF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095B43B8">
            <w:pPr>
              <w:spacing w:line="360" w:lineRule="auto"/>
              <w:rPr>
                <w:bCs/>
                <w:i/>
                <w:iCs/>
                <w:color w:val="auto"/>
                <w:highlight w:val="none"/>
                <w:shd w:val="clear" w:color="auto" w:fill="FFFFFF"/>
              </w:rPr>
            </w:pPr>
            <w:r>
              <w:rPr>
                <w:bCs/>
                <w:i/>
                <w:iCs/>
                <w:color w:val="auto"/>
                <w:highlight w:val="none"/>
                <w:shd w:val="clear" w:color="auto" w:fill="FFFFFF"/>
              </w:rPr>
              <w:t>CT Imaging system</w:t>
            </w:r>
          </w:p>
        </w:tc>
        <w:tc>
          <w:tcPr>
            <w:tcW w:w="2036" w:type="dxa"/>
            <w:tcBorders>
              <w:top w:val="nil"/>
              <w:left w:val="nil"/>
              <w:bottom w:val="nil"/>
              <w:right w:val="nil"/>
            </w:tcBorders>
          </w:tcPr>
          <w:p w14:paraId="0D419023">
            <w:pPr>
              <w:spacing w:line="360" w:lineRule="auto"/>
              <w:jc w:val="center"/>
              <w:rPr>
                <w:bCs/>
                <w:color w:val="auto"/>
                <w:highlight w:val="none"/>
                <w:shd w:val="clear" w:color="auto" w:fill="FFFFFF"/>
              </w:rPr>
            </w:pPr>
          </w:p>
        </w:tc>
        <w:tc>
          <w:tcPr>
            <w:tcW w:w="2358" w:type="dxa"/>
            <w:tcBorders>
              <w:top w:val="nil"/>
              <w:left w:val="nil"/>
              <w:bottom w:val="nil"/>
              <w:right w:val="nil"/>
            </w:tcBorders>
          </w:tcPr>
          <w:p w14:paraId="27433B39">
            <w:pPr>
              <w:spacing w:line="360" w:lineRule="auto"/>
              <w:jc w:val="center"/>
              <w:rPr>
                <w:bCs/>
                <w:color w:val="auto"/>
                <w:highlight w:val="none"/>
                <w:shd w:val="clear" w:color="auto" w:fill="FFFFFF"/>
              </w:rPr>
            </w:pPr>
          </w:p>
        </w:tc>
      </w:tr>
      <w:tr w14:paraId="3C63EA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197C3A84">
            <w:pPr>
              <w:spacing w:line="360" w:lineRule="auto"/>
              <w:ind w:firstLine="210" w:firstLineChars="100"/>
              <w:rPr>
                <w:bCs/>
                <w:color w:val="auto"/>
                <w:highlight w:val="none"/>
                <w:shd w:val="clear" w:color="auto" w:fill="FFFFFF"/>
              </w:rPr>
            </w:pPr>
            <w:r>
              <w:rPr>
                <w:bCs/>
                <w:color w:val="auto"/>
                <w:highlight w:val="none"/>
                <w:shd w:val="clear" w:color="auto" w:fill="FFFFFF"/>
              </w:rPr>
              <w:t>Siemens Definition Flash</w:t>
            </w:r>
          </w:p>
        </w:tc>
        <w:tc>
          <w:tcPr>
            <w:tcW w:w="2036" w:type="dxa"/>
            <w:tcBorders>
              <w:top w:val="nil"/>
              <w:left w:val="nil"/>
              <w:bottom w:val="nil"/>
              <w:right w:val="nil"/>
            </w:tcBorders>
          </w:tcPr>
          <w:p w14:paraId="4DDDABB3">
            <w:pPr>
              <w:spacing w:line="360" w:lineRule="auto"/>
              <w:jc w:val="center"/>
              <w:rPr>
                <w:bCs/>
                <w:color w:val="auto"/>
                <w:highlight w:val="none"/>
                <w:shd w:val="clear" w:color="auto" w:fill="FFFFFF"/>
              </w:rPr>
            </w:pPr>
            <w:r>
              <w:rPr>
                <w:bCs/>
                <w:color w:val="auto"/>
                <w:highlight w:val="none"/>
                <w:shd w:val="clear" w:color="auto" w:fill="FFFFFF"/>
              </w:rPr>
              <w:t>53</w:t>
            </w:r>
          </w:p>
        </w:tc>
        <w:tc>
          <w:tcPr>
            <w:tcW w:w="2358" w:type="dxa"/>
            <w:tcBorders>
              <w:top w:val="nil"/>
              <w:left w:val="nil"/>
              <w:bottom w:val="nil"/>
              <w:right w:val="nil"/>
            </w:tcBorders>
          </w:tcPr>
          <w:p w14:paraId="4C10D262">
            <w:pPr>
              <w:spacing w:line="360" w:lineRule="auto"/>
              <w:jc w:val="center"/>
              <w:rPr>
                <w:bCs/>
                <w:color w:val="auto"/>
                <w:highlight w:val="none"/>
                <w:shd w:val="clear" w:color="auto" w:fill="FFFFFF"/>
              </w:rPr>
            </w:pPr>
            <w:r>
              <w:rPr>
                <w:bCs/>
                <w:color w:val="auto"/>
                <w:highlight w:val="none"/>
                <w:shd w:val="clear" w:color="auto" w:fill="FFFFFF"/>
              </w:rPr>
              <w:t>18</w:t>
            </w:r>
          </w:p>
        </w:tc>
      </w:tr>
      <w:tr w14:paraId="284476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601780AA">
            <w:pPr>
              <w:spacing w:line="360" w:lineRule="auto"/>
              <w:ind w:firstLine="210" w:firstLineChars="100"/>
              <w:rPr>
                <w:bCs/>
                <w:color w:val="auto"/>
                <w:highlight w:val="none"/>
                <w:shd w:val="clear" w:color="auto" w:fill="FFFFFF"/>
              </w:rPr>
            </w:pPr>
            <w:r>
              <w:rPr>
                <w:bCs/>
                <w:color w:val="auto"/>
                <w:highlight w:val="none"/>
                <w:shd w:val="clear" w:color="auto" w:fill="FFFFFF"/>
              </w:rPr>
              <w:t>GE Revolution</w:t>
            </w:r>
          </w:p>
        </w:tc>
        <w:tc>
          <w:tcPr>
            <w:tcW w:w="2036" w:type="dxa"/>
            <w:tcBorders>
              <w:top w:val="nil"/>
              <w:left w:val="nil"/>
              <w:bottom w:val="nil"/>
              <w:right w:val="nil"/>
            </w:tcBorders>
          </w:tcPr>
          <w:p w14:paraId="00AFE895">
            <w:pPr>
              <w:spacing w:line="360" w:lineRule="auto"/>
              <w:jc w:val="center"/>
              <w:rPr>
                <w:bCs/>
                <w:color w:val="auto"/>
                <w:highlight w:val="none"/>
                <w:shd w:val="clear" w:color="auto" w:fill="FFFFFF"/>
              </w:rPr>
            </w:pPr>
            <w:r>
              <w:rPr>
                <w:bCs/>
                <w:color w:val="auto"/>
                <w:highlight w:val="none"/>
                <w:shd w:val="clear" w:color="auto" w:fill="FFFFFF"/>
              </w:rPr>
              <w:t>93</w:t>
            </w:r>
          </w:p>
        </w:tc>
        <w:tc>
          <w:tcPr>
            <w:tcW w:w="2358" w:type="dxa"/>
            <w:tcBorders>
              <w:top w:val="nil"/>
              <w:left w:val="nil"/>
              <w:bottom w:val="nil"/>
              <w:right w:val="nil"/>
            </w:tcBorders>
          </w:tcPr>
          <w:p w14:paraId="777A420A">
            <w:pPr>
              <w:spacing w:line="360" w:lineRule="auto"/>
              <w:jc w:val="center"/>
              <w:rPr>
                <w:bCs/>
                <w:color w:val="auto"/>
                <w:highlight w:val="none"/>
                <w:shd w:val="clear" w:color="auto" w:fill="FFFFFF"/>
              </w:rPr>
            </w:pPr>
            <w:r>
              <w:rPr>
                <w:bCs/>
                <w:color w:val="auto"/>
                <w:highlight w:val="none"/>
                <w:shd w:val="clear" w:color="auto" w:fill="FFFFFF"/>
              </w:rPr>
              <w:t>14</w:t>
            </w:r>
          </w:p>
        </w:tc>
      </w:tr>
      <w:tr w14:paraId="114EBC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657EA9FA">
            <w:pPr>
              <w:spacing w:line="360" w:lineRule="auto"/>
              <w:rPr>
                <w:bCs/>
                <w:i/>
                <w:iCs/>
                <w:color w:val="auto"/>
                <w:highlight w:val="none"/>
                <w:shd w:val="clear" w:color="auto" w:fill="FFFFFF"/>
              </w:rPr>
            </w:pPr>
            <w:r>
              <w:rPr>
                <w:bCs/>
                <w:i/>
                <w:iCs/>
                <w:color w:val="auto"/>
                <w:highlight w:val="none"/>
                <w:shd w:val="clear" w:color="auto" w:fill="FFFFFF"/>
              </w:rPr>
              <w:t>Imaging thickness (mm)</w:t>
            </w:r>
          </w:p>
        </w:tc>
        <w:tc>
          <w:tcPr>
            <w:tcW w:w="2036" w:type="dxa"/>
            <w:tcBorders>
              <w:top w:val="nil"/>
              <w:left w:val="nil"/>
              <w:bottom w:val="nil"/>
              <w:right w:val="nil"/>
            </w:tcBorders>
          </w:tcPr>
          <w:p w14:paraId="474BB8E2">
            <w:pPr>
              <w:spacing w:line="360" w:lineRule="auto"/>
              <w:jc w:val="center"/>
              <w:rPr>
                <w:bCs/>
                <w:color w:val="auto"/>
                <w:highlight w:val="none"/>
                <w:shd w:val="clear" w:color="auto" w:fill="FFFFFF"/>
              </w:rPr>
            </w:pPr>
            <w:r>
              <w:rPr>
                <w:bCs/>
                <w:color w:val="auto"/>
                <w:highlight w:val="none"/>
                <w:shd w:val="clear" w:color="auto" w:fill="FFFFFF"/>
              </w:rPr>
              <w:t>1.0/1.25</w:t>
            </w:r>
          </w:p>
        </w:tc>
        <w:tc>
          <w:tcPr>
            <w:tcW w:w="2358" w:type="dxa"/>
            <w:tcBorders>
              <w:top w:val="nil"/>
              <w:left w:val="nil"/>
              <w:bottom w:val="nil"/>
              <w:right w:val="nil"/>
            </w:tcBorders>
          </w:tcPr>
          <w:p w14:paraId="3F008081">
            <w:pPr>
              <w:spacing w:line="360" w:lineRule="auto"/>
              <w:jc w:val="center"/>
              <w:rPr>
                <w:bCs/>
                <w:color w:val="auto"/>
                <w:highlight w:val="none"/>
                <w:shd w:val="clear" w:color="auto" w:fill="FFFFFF"/>
              </w:rPr>
            </w:pPr>
            <w:r>
              <w:rPr>
                <w:bCs/>
                <w:color w:val="auto"/>
                <w:highlight w:val="none"/>
                <w:shd w:val="clear" w:color="auto" w:fill="FFFFFF"/>
              </w:rPr>
              <w:t>1.0/1.25</w:t>
            </w:r>
          </w:p>
        </w:tc>
      </w:tr>
      <w:tr w14:paraId="5F1A5C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14B0489F">
            <w:pPr>
              <w:spacing w:line="360" w:lineRule="auto"/>
              <w:rPr>
                <w:bCs/>
                <w:i/>
                <w:iCs/>
                <w:color w:val="auto"/>
                <w:highlight w:val="none"/>
                <w:shd w:val="clear" w:color="auto" w:fill="FFFFFF"/>
              </w:rPr>
            </w:pPr>
            <w:r>
              <w:rPr>
                <w:bCs/>
                <w:i/>
                <w:iCs/>
                <w:color w:val="auto"/>
                <w:highlight w:val="none"/>
                <w:shd w:val="clear" w:color="auto" w:fill="FFFFFF"/>
              </w:rPr>
              <w:t>Tube voltage</w:t>
            </w:r>
          </w:p>
        </w:tc>
        <w:tc>
          <w:tcPr>
            <w:tcW w:w="2036" w:type="dxa"/>
            <w:tcBorders>
              <w:top w:val="nil"/>
              <w:left w:val="nil"/>
              <w:bottom w:val="nil"/>
              <w:right w:val="nil"/>
            </w:tcBorders>
          </w:tcPr>
          <w:p w14:paraId="49DEC989">
            <w:pPr>
              <w:spacing w:line="360" w:lineRule="auto"/>
              <w:jc w:val="center"/>
              <w:rPr>
                <w:bCs/>
                <w:color w:val="auto"/>
                <w:highlight w:val="none"/>
                <w:shd w:val="clear" w:color="auto" w:fill="FFFFFF"/>
              </w:rPr>
            </w:pPr>
          </w:p>
        </w:tc>
        <w:tc>
          <w:tcPr>
            <w:tcW w:w="2358" w:type="dxa"/>
            <w:tcBorders>
              <w:top w:val="nil"/>
              <w:left w:val="nil"/>
              <w:bottom w:val="nil"/>
              <w:right w:val="nil"/>
            </w:tcBorders>
          </w:tcPr>
          <w:p w14:paraId="02E67B71">
            <w:pPr>
              <w:spacing w:line="360" w:lineRule="auto"/>
              <w:jc w:val="center"/>
              <w:rPr>
                <w:bCs/>
                <w:color w:val="auto"/>
                <w:highlight w:val="none"/>
                <w:shd w:val="clear" w:color="auto" w:fill="FFFFFF"/>
              </w:rPr>
            </w:pPr>
          </w:p>
        </w:tc>
      </w:tr>
      <w:tr w14:paraId="778927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115746F8">
            <w:pPr>
              <w:spacing w:line="360" w:lineRule="auto"/>
              <w:ind w:firstLine="210" w:firstLineChars="100"/>
              <w:rPr>
                <w:bCs/>
                <w:color w:val="auto"/>
                <w:highlight w:val="none"/>
                <w:shd w:val="clear" w:color="auto" w:fill="FFFFFF"/>
              </w:rPr>
            </w:pPr>
            <w:r>
              <w:rPr>
                <w:bCs/>
                <w:color w:val="auto"/>
                <w:highlight w:val="none"/>
                <w:shd w:val="clear" w:color="auto" w:fill="FFFFFF"/>
              </w:rPr>
              <w:t>120 kVp</w:t>
            </w:r>
          </w:p>
        </w:tc>
        <w:tc>
          <w:tcPr>
            <w:tcW w:w="2036" w:type="dxa"/>
            <w:tcBorders>
              <w:top w:val="nil"/>
              <w:left w:val="nil"/>
              <w:bottom w:val="nil"/>
              <w:right w:val="nil"/>
            </w:tcBorders>
          </w:tcPr>
          <w:p w14:paraId="5C4A4C05">
            <w:pPr>
              <w:spacing w:line="360" w:lineRule="auto"/>
              <w:jc w:val="center"/>
              <w:rPr>
                <w:bCs/>
                <w:color w:val="auto"/>
                <w:highlight w:val="none"/>
                <w:shd w:val="clear" w:color="auto" w:fill="FFFFFF"/>
              </w:rPr>
            </w:pPr>
            <w:r>
              <w:rPr>
                <w:rFonts w:hint="eastAsia"/>
                <w:bCs/>
                <w:color w:val="auto"/>
                <w:highlight w:val="none"/>
                <w:shd w:val="clear" w:color="auto" w:fill="FFFFFF"/>
              </w:rPr>
              <w:t>1</w:t>
            </w:r>
            <w:r>
              <w:rPr>
                <w:bCs/>
                <w:color w:val="auto"/>
                <w:highlight w:val="none"/>
                <w:shd w:val="clear" w:color="auto" w:fill="FFFFFF"/>
              </w:rPr>
              <w:t>08</w:t>
            </w:r>
          </w:p>
        </w:tc>
        <w:tc>
          <w:tcPr>
            <w:tcW w:w="2358" w:type="dxa"/>
            <w:tcBorders>
              <w:top w:val="nil"/>
              <w:left w:val="nil"/>
              <w:bottom w:val="nil"/>
              <w:right w:val="nil"/>
            </w:tcBorders>
          </w:tcPr>
          <w:p w14:paraId="295330F0">
            <w:pPr>
              <w:spacing w:line="360" w:lineRule="auto"/>
              <w:jc w:val="center"/>
              <w:rPr>
                <w:bCs/>
                <w:color w:val="auto"/>
                <w:highlight w:val="none"/>
                <w:shd w:val="clear" w:color="auto" w:fill="FFFFFF"/>
              </w:rPr>
            </w:pPr>
            <w:r>
              <w:rPr>
                <w:rFonts w:hint="eastAsia"/>
                <w:bCs/>
                <w:color w:val="auto"/>
                <w:highlight w:val="none"/>
                <w:shd w:val="clear" w:color="auto" w:fill="FFFFFF"/>
              </w:rPr>
              <w:t>2</w:t>
            </w:r>
            <w:r>
              <w:rPr>
                <w:bCs/>
                <w:color w:val="auto"/>
                <w:highlight w:val="none"/>
                <w:shd w:val="clear" w:color="auto" w:fill="FFFFFF"/>
              </w:rPr>
              <w:t>7</w:t>
            </w:r>
          </w:p>
        </w:tc>
      </w:tr>
      <w:tr w14:paraId="665E5E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63CAA6AB">
            <w:pPr>
              <w:spacing w:line="360" w:lineRule="auto"/>
              <w:ind w:firstLine="210" w:firstLineChars="100"/>
              <w:rPr>
                <w:bCs/>
                <w:color w:val="auto"/>
                <w:highlight w:val="none"/>
                <w:shd w:val="clear" w:color="auto" w:fill="FFFFFF"/>
              </w:rPr>
            </w:pPr>
            <w:r>
              <w:rPr>
                <w:bCs/>
                <w:color w:val="auto"/>
                <w:highlight w:val="none"/>
                <w:shd w:val="clear" w:color="auto" w:fill="FFFFFF"/>
              </w:rPr>
              <w:t>100 kVp</w:t>
            </w:r>
          </w:p>
        </w:tc>
        <w:tc>
          <w:tcPr>
            <w:tcW w:w="2036" w:type="dxa"/>
            <w:tcBorders>
              <w:top w:val="nil"/>
              <w:left w:val="nil"/>
              <w:bottom w:val="nil"/>
              <w:right w:val="nil"/>
            </w:tcBorders>
          </w:tcPr>
          <w:p w14:paraId="7068CB41">
            <w:pPr>
              <w:spacing w:line="360" w:lineRule="auto"/>
              <w:jc w:val="center"/>
              <w:rPr>
                <w:bCs/>
                <w:color w:val="auto"/>
                <w:highlight w:val="none"/>
                <w:shd w:val="clear" w:color="auto" w:fill="FFFFFF"/>
              </w:rPr>
            </w:pPr>
            <w:r>
              <w:rPr>
                <w:rFonts w:hint="eastAsia"/>
                <w:bCs/>
                <w:color w:val="auto"/>
                <w:highlight w:val="none"/>
                <w:shd w:val="clear" w:color="auto" w:fill="FFFFFF"/>
              </w:rPr>
              <w:t>3</w:t>
            </w:r>
            <w:r>
              <w:rPr>
                <w:bCs/>
                <w:color w:val="auto"/>
                <w:highlight w:val="none"/>
                <w:shd w:val="clear" w:color="auto" w:fill="FFFFFF"/>
              </w:rPr>
              <w:t>8</w:t>
            </w:r>
          </w:p>
        </w:tc>
        <w:tc>
          <w:tcPr>
            <w:tcW w:w="2358" w:type="dxa"/>
            <w:tcBorders>
              <w:top w:val="nil"/>
              <w:left w:val="nil"/>
              <w:bottom w:val="nil"/>
              <w:right w:val="nil"/>
            </w:tcBorders>
          </w:tcPr>
          <w:p w14:paraId="7F4A7458">
            <w:pPr>
              <w:spacing w:line="360" w:lineRule="auto"/>
              <w:jc w:val="center"/>
              <w:rPr>
                <w:bCs/>
                <w:color w:val="auto"/>
                <w:highlight w:val="none"/>
                <w:shd w:val="clear" w:color="auto" w:fill="FFFFFF"/>
              </w:rPr>
            </w:pPr>
            <w:r>
              <w:rPr>
                <w:rFonts w:hint="eastAsia"/>
                <w:bCs/>
                <w:color w:val="auto"/>
                <w:highlight w:val="none"/>
                <w:shd w:val="clear" w:color="auto" w:fill="FFFFFF"/>
              </w:rPr>
              <w:t>5</w:t>
            </w:r>
          </w:p>
        </w:tc>
      </w:tr>
      <w:tr w14:paraId="6B7375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4D56DC24">
            <w:pPr>
              <w:spacing w:line="360" w:lineRule="auto"/>
              <w:rPr>
                <w:bCs/>
                <w:i/>
                <w:iCs/>
                <w:color w:val="auto"/>
                <w:highlight w:val="none"/>
                <w:shd w:val="clear" w:color="auto" w:fill="FFFFFF"/>
              </w:rPr>
            </w:pPr>
            <w:r>
              <w:rPr>
                <w:bCs/>
                <w:i/>
                <w:iCs/>
                <w:color w:val="auto"/>
                <w:highlight w:val="none"/>
                <w:shd w:val="clear" w:color="auto" w:fill="FFFFFF"/>
              </w:rPr>
              <w:t>Images</w:t>
            </w:r>
          </w:p>
        </w:tc>
        <w:tc>
          <w:tcPr>
            <w:tcW w:w="2036" w:type="dxa"/>
            <w:tcBorders>
              <w:top w:val="nil"/>
              <w:left w:val="nil"/>
              <w:bottom w:val="nil"/>
              <w:right w:val="nil"/>
            </w:tcBorders>
          </w:tcPr>
          <w:p w14:paraId="1848406D">
            <w:pPr>
              <w:spacing w:line="360" w:lineRule="auto"/>
              <w:jc w:val="center"/>
              <w:rPr>
                <w:bCs/>
                <w:color w:val="auto"/>
                <w:highlight w:val="none"/>
                <w:shd w:val="clear" w:color="auto" w:fill="FFFFFF"/>
              </w:rPr>
            </w:pPr>
          </w:p>
        </w:tc>
        <w:tc>
          <w:tcPr>
            <w:tcW w:w="2358" w:type="dxa"/>
            <w:tcBorders>
              <w:top w:val="nil"/>
              <w:left w:val="nil"/>
              <w:bottom w:val="nil"/>
              <w:right w:val="nil"/>
            </w:tcBorders>
          </w:tcPr>
          <w:p w14:paraId="26DC45EE">
            <w:pPr>
              <w:spacing w:line="360" w:lineRule="auto"/>
              <w:jc w:val="center"/>
              <w:rPr>
                <w:bCs/>
                <w:color w:val="auto"/>
                <w:highlight w:val="none"/>
                <w:shd w:val="clear" w:color="auto" w:fill="FFFFFF"/>
              </w:rPr>
            </w:pPr>
          </w:p>
        </w:tc>
      </w:tr>
      <w:tr w14:paraId="285EFF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nil"/>
              <w:right w:val="nil"/>
            </w:tcBorders>
          </w:tcPr>
          <w:p w14:paraId="475C9462">
            <w:pPr>
              <w:spacing w:line="360" w:lineRule="auto"/>
              <w:ind w:firstLine="210" w:firstLineChars="100"/>
              <w:rPr>
                <w:bCs/>
                <w:color w:val="auto"/>
                <w:highlight w:val="none"/>
                <w:shd w:val="clear" w:color="auto" w:fill="FFFFFF"/>
              </w:rPr>
            </w:pPr>
            <w:r>
              <w:rPr>
                <w:bCs/>
                <w:color w:val="auto"/>
                <w:highlight w:val="none"/>
                <w:shd w:val="clear" w:color="auto" w:fill="FFFFFF"/>
              </w:rPr>
              <w:t>Portovenous phase</w:t>
            </w:r>
          </w:p>
        </w:tc>
        <w:tc>
          <w:tcPr>
            <w:tcW w:w="2036" w:type="dxa"/>
            <w:tcBorders>
              <w:top w:val="nil"/>
              <w:left w:val="nil"/>
              <w:bottom w:val="nil"/>
              <w:right w:val="nil"/>
            </w:tcBorders>
          </w:tcPr>
          <w:p w14:paraId="45B55888">
            <w:pPr>
              <w:spacing w:line="360" w:lineRule="auto"/>
              <w:jc w:val="center"/>
              <w:rPr>
                <w:bCs/>
                <w:color w:val="auto"/>
                <w:highlight w:val="none"/>
                <w:shd w:val="clear" w:color="auto" w:fill="FFFFFF"/>
              </w:rPr>
            </w:pPr>
            <w:r>
              <w:rPr>
                <w:rFonts w:hint="eastAsia"/>
                <w:bCs/>
                <w:color w:val="auto"/>
                <w:highlight w:val="none"/>
                <w:shd w:val="clear" w:color="auto" w:fill="FFFFFF"/>
              </w:rPr>
              <w:t>144</w:t>
            </w:r>
          </w:p>
        </w:tc>
        <w:tc>
          <w:tcPr>
            <w:tcW w:w="2358" w:type="dxa"/>
            <w:tcBorders>
              <w:top w:val="nil"/>
              <w:left w:val="nil"/>
              <w:bottom w:val="nil"/>
              <w:right w:val="nil"/>
            </w:tcBorders>
          </w:tcPr>
          <w:p w14:paraId="59122695">
            <w:pPr>
              <w:spacing w:line="360" w:lineRule="auto"/>
              <w:jc w:val="center"/>
              <w:rPr>
                <w:bCs/>
                <w:color w:val="auto"/>
                <w:highlight w:val="none"/>
                <w:shd w:val="clear" w:color="auto" w:fill="FFFFFF"/>
              </w:rPr>
            </w:pPr>
            <w:r>
              <w:rPr>
                <w:rFonts w:hint="eastAsia"/>
                <w:bCs/>
                <w:color w:val="auto"/>
                <w:highlight w:val="none"/>
                <w:shd w:val="clear" w:color="auto" w:fill="FFFFFF"/>
              </w:rPr>
              <w:t>31</w:t>
            </w:r>
          </w:p>
        </w:tc>
      </w:tr>
      <w:tr w14:paraId="39277F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84" w:type="dxa"/>
            <w:tcBorders>
              <w:top w:val="nil"/>
              <w:left w:val="nil"/>
              <w:bottom w:val="single" w:color="auto" w:sz="4" w:space="0"/>
              <w:right w:val="nil"/>
            </w:tcBorders>
          </w:tcPr>
          <w:p w14:paraId="5F7964D1">
            <w:pPr>
              <w:spacing w:line="360" w:lineRule="auto"/>
              <w:ind w:firstLine="210" w:firstLineChars="100"/>
              <w:rPr>
                <w:bCs/>
                <w:color w:val="auto"/>
                <w:highlight w:val="none"/>
                <w:shd w:val="clear" w:color="auto" w:fill="FFFFFF"/>
              </w:rPr>
            </w:pPr>
            <w:r>
              <w:rPr>
                <w:bCs/>
                <w:color w:val="auto"/>
                <w:highlight w:val="none"/>
                <w:shd w:val="clear" w:color="auto" w:fill="FFFFFF"/>
              </w:rPr>
              <w:t>Delay phase</w:t>
            </w:r>
          </w:p>
        </w:tc>
        <w:tc>
          <w:tcPr>
            <w:tcW w:w="2036" w:type="dxa"/>
            <w:tcBorders>
              <w:top w:val="nil"/>
              <w:left w:val="nil"/>
              <w:bottom w:val="single" w:color="auto" w:sz="4" w:space="0"/>
              <w:right w:val="nil"/>
            </w:tcBorders>
          </w:tcPr>
          <w:p w14:paraId="4F1D8190">
            <w:pPr>
              <w:spacing w:line="360" w:lineRule="auto"/>
              <w:jc w:val="center"/>
              <w:rPr>
                <w:bCs/>
                <w:color w:val="auto"/>
                <w:highlight w:val="none"/>
                <w:shd w:val="clear" w:color="auto" w:fill="FFFFFF"/>
              </w:rPr>
            </w:pPr>
            <w:r>
              <w:rPr>
                <w:rFonts w:hint="eastAsia"/>
                <w:bCs/>
                <w:color w:val="auto"/>
                <w:highlight w:val="none"/>
                <w:shd w:val="clear" w:color="auto" w:fill="FFFFFF"/>
              </w:rPr>
              <w:t>2</w:t>
            </w:r>
          </w:p>
        </w:tc>
        <w:tc>
          <w:tcPr>
            <w:tcW w:w="2358" w:type="dxa"/>
            <w:tcBorders>
              <w:top w:val="nil"/>
              <w:left w:val="nil"/>
              <w:bottom w:val="single" w:color="auto" w:sz="4" w:space="0"/>
              <w:right w:val="nil"/>
            </w:tcBorders>
          </w:tcPr>
          <w:p w14:paraId="3A0050C6">
            <w:pPr>
              <w:spacing w:line="360" w:lineRule="auto"/>
              <w:jc w:val="center"/>
              <w:rPr>
                <w:bCs/>
                <w:color w:val="auto"/>
                <w:highlight w:val="none"/>
                <w:shd w:val="clear" w:color="auto" w:fill="FFFFFF"/>
              </w:rPr>
            </w:pPr>
            <w:r>
              <w:rPr>
                <w:rFonts w:hint="eastAsia"/>
                <w:bCs/>
                <w:color w:val="auto"/>
                <w:highlight w:val="none"/>
                <w:shd w:val="clear" w:color="auto" w:fill="FFFFFF"/>
              </w:rPr>
              <w:t>1</w:t>
            </w:r>
          </w:p>
        </w:tc>
      </w:tr>
    </w:tbl>
    <w:p w14:paraId="07E2B0C6">
      <w:pPr>
        <w:spacing w:line="360" w:lineRule="auto"/>
        <w:rPr>
          <w:bCs/>
          <w:color w:val="auto"/>
          <w:highlight w:val="none"/>
          <w:shd w:val="clear" w:color="auto" w:fill="FFFFFF"/>
        </w:rPr>
      </w:pPr>
    </w:p>
    <w:p w14:paraId="40388599">
      <w:pPr>
        <w:pStyle w:val="3"/>
        <w:rPr>
          <w:rFonts w:hint="eastAsia" w:ascii="微软雅黑" w:hAnsi="微软雅黑" w:eastAsia="微软雅黑"/>
          <w:color w:val="auto"/>
          <w:sz w:val="28"/>
          <w:szCs w:val="28"/>
          <w:highlight w:val="none"/>
        </w:rPr>
      </w:pPr>
      <w:bookmarkStart w:id="2" w:name="_Toc14505"/>
      <w:r>
        <w:rPr>
          <w:rFonts w:hint="eastAsia" w:ascii="微软雅黑" w:hAnsi="微软雅黑" w:eastAsia="微软雅黑"/>
          <w:color w:val="auto"/>
          <w:sz w:val="28"/>
          <w:szCs w:val="28"/>
          <w:highlight w:val="none"/>
        </w:rPr>
        <w:t xml:space="preserve">The classification of </w:t>
      </w:r>
      <w:r>
        <w:rPr>
          <w:rFonts w:ascii="微软雅黑" w:hAnsi="微软雅黑" w:eastAsia="微软雅黑"/>
          <w:color w:val="auto"/>
          <w:sz w:val="28"/>
          <w:szCs w:val="28"/>
          <w:highlight w:val="none"/>
        </w:rPr>
        <w:t>liver parenchyma</w:t>
      </w:r>
      <w:bookmarkEnd w:id="2"/>
    </w:p>
    <w:p w14:paraId="31089354">
      <w:pPr>
        <w:spacing w:line="360" w:lineRule="auto"/>
        <w:rPr>
          <w:bCs/>
          <w:color w:val="auto"/>
          <w:highlight w:val="none"/>
          <w:shd w:val="clear" w:color="auto" w:fill="FFFFFF"/>
        </w:rPr>
      </w:pPr>
      <w:r>
        <w:rPr>
          <w:rFonts w:hint="eastAsia"/>
          <w:color w:val="auto"/>
          <w:highlight w:val="none"/>
        </w:rPr>
        <w:t>Liver parenchyma of subjects</w:t>
      </w:r>
      <w:r>
        <w:rPr>
          <w:rFonts w:hint="eastAsia"/>
          <w:bCs/>
          <w:color w:val="auto"/>
          <w:highlight w:val="none"/>
          <w:shd w:val="clear" w:color="auto" w:fill="FFFFFF"/>
        </w:rPr>
        <w:t xml:space="preserve"> in </w:t>
      </w:r>
      <w:r>
        <w:rPr>
          <w:rFonts w:hint="eastAsia"/>
          <w:bCs/>
          <w:color w:val="auto"/>
          <w:highlight w:val="none"/>
          <w:shd w:val="clear" w:color="auto" w:fill="FFFFFF"/>
          <w:lang w:val="en-US" w:eastAsia="zh-CN"/>
        </w:rPr>
        <w:t xml:space="preserve">the </w:t>
      </w:r>
      <w:r>
        <w:rPr>
          <w:rFonts w:hint="eastAsia"/>
          <w:bCs/>
          <w:color w:val="auto"/>
          <w:highlight w:val="none"/>
          <w:shd w:val="clear" w:color="auto" w:fill="FFFFFF"/>
        </w:rPr>
        <w:t>training dataset and external validation cohort-1 were classified into healthy liver, fatty liver</w:t>
      </w:r>
      <w:r>
        <w:rPr>
          <w:rFonts w:hint="eastAsia"/>
          <w:bCs/>
          <w:color w:val="auto"/>
          <w:highlight w:val="none"/>
          <w:shd w:val="clear" w:color="auto" w:fill="FFFFFF"/>
          <w:lang w:val="en-US" w:eastAsia="zh-CN"/>
        </w:rPr>
        <w:t>,</w:t>
      </w:r>
      <w:r>
        <w:rPr>
          <w:rFonts w:hint="eastAsia"/>
          <w:bCs/>
          <w:color w:val="auto"/>
          <w:highlight w:val="none"/>
          <w:shd w:val="clear" w:color="auto" w:fill="FFFFFF"/>
        </w:rPr>
        <w:t xml:space="preserve"> and cirrhosis according to the same definition. </w:t>
      </w:r>
    </w:p>
    <w:p w14:paraId="71639B60">
      <w:pPr>
        <w:spacing w:line="360" w:lineRule="auto"/>
        <w:ind w:firstLine="210" w:firstLineChars="100"/>
        <w:rPr>
          <w:bCs/>
          <w:color w:val="auto"/>
          <w:highlight w:val="none"/>
          <w:shd w:val="clear" w:color="auto" w:fill="FFFFFF"/>
        </w:rPr>
      </w:pPr>
      <w:r>
        <w:rPr>
          <w:rFonts w:hint="eastAsia"/>
          <w:bCs/>
          <w:color w:val="auto"/>
          <w:highlight w:val="none"/>
          <w:shd w:val="clear" w:color="auto" w:fill="FFFFFF"/>
        </w:rPr>
        <w:t xml:space="preserve">Subjects with no clinical and pathologic evidence of liver disease were defined as healthy liver in this study. </w:t>
      </w:r>
      <w:r>
        <w:rPr>
          <w:bCs/>
          <w:color w:val="auto"/>
          <w:highlight w:val="none"/>
          <w:shd w:val="clear" w:color="auto" w:fill="FFFFFF"/>
        </w:rPr>
        <w:t>C</w:t>
      </w:r>
      <w:r>
        <w:rPr>
          <w:rFonts w:hint="eastAsia"/>
          <w:bCs/>
          <w:color w:val="auto"/>
          <w:highlight w:val="none"/>
          <w:shd w:val="clear" w:color="auto" w:fill="FFFFFF"/>
        </w:rPr>
        <w:t xml:space="preserve">ases with the </w:t>
      </w:r>
      <w:r>
        <w:rPr>
          <w:bCs/>
          <w:color w:val="auto"/>
          <w:highlight w:val="none"/>
          <w:shd w:val="clear" w:color="auto" w:fill="FFFFFF"/>
        </w:rPr>
        <w:t>MRI proton density fat fraction (PDFF) measurement results ranged from 6.5% to 17.4%</w:t>
      </w:r>
      <w:r>
        <w:rPr>
          <w:rFonts w:hint="eastAsia"/>
          <w:bCs/>
          <w:color w:val="auto"/>
          <w:highlight w:val="none"/>
          <w:shd w:val="clear" w:color="auto" w:fill="FFFFFF"/>
        </w:rPr>
        <w:t xml:space="preserve">, </w:t>
      </w:r>
      <w:r>
        <w:rPr>
          <w:bCs/>
          <w:color w:val="auto"/>
          <w:highlight w:val="none"/>
          <w:shd w:val="clear" w:color="auto" w:fill="FFFFFF"/>
        </w:rPr>
        <w:t>17.5% to 22.1%</w:t>
      </w:r>
      <w:r>
        <w:rPr>
          <w:rFonts w:hint="eastAsia"/>
          <w:bCs/>
          <w:color w:val="auto"/>
          <w:highlight w:val="none"/>
          <w:shd w:val="clear" w:color="auto" w:fill="FFFFFF"/>
        </w:rPr>
        <w:t xml:space="preserve">, and </w:t>
      </w:r>
      <w:r>
        <w:rPr>
          <w:bCs/>
          <w:color w:val="auto"/>
          <w:highlight w:val="none"/>
          <w:shd w:val="clear" w:color="auto" w:fill="FFFFFF"/>
        </w:rPr>
        <w:t>higher than 22.1%</w:t>
      </w:r>
      <w:r>
        <w:rPr>
          <w:rFonts w:hint="eastAsia"/>
          <w:bCs/>
          <w:color w:val="auto"/>
          <w:highlight w:val="none"/>
          <w:shd w:val="clear" w:color="auto" w:fill="FFFFFF"/>
        </w:rPr>
        <w:t xml:space="preserve"> were defined as mild fatty liver, moderate fatty liver, and severe fatty liver, respectively.</w:t>
      </w:r>
      <w:r>
        <w:rPr>
          <w:bCs/>
          <w:color w:val="auto"/>
          <w:highlight w:val="none"/>
          <w:shd w:val="clear" w:color="auto" w:fill="FFFFFF"/>
        </w:rPr>
        <w:t xml:space="preserve"> </w:t>
      </w:r>
      <w:r>
        <w:rPr>
          <w:rFonts w:hint="eastAsia"/>
          <w:bCs/>
          <w:color w:val="auto"/>
          <w:highlight w:val="none"/>
          <w:shd w:val="clear" w:color="auto" w:fill="FFFFFF"/>
          <w:lang w:val="en-US" w:eastAsia="zh-CN"/>
        </w:rPr>
        <w:t>T</w:t>
      </w:r>
      <w:r>
        <w:rPr>
          <w:bCs/>
          <w:color w:val="auto"/>
          <w:highlight w:val="none"/>
          <w:shd w:val="clear" w:color="auto" w:fill="FFFFFF"/>
        </w:rPr>
        <w:t xml:space="preserve">he time interval between </w:t>
      </w:r>
      <w:r>
        <w:rPr>
          <w:rFonts w:hint="eastAsia"/>
          <w:bCs/>
          <w:color w:val="auto"/>
          <w:highlight w:val="none"/>
          <w:shd w:val="clear" w:color="auto" w:fill="FFFFFF"/>
          <w:lang w:val="en-US" w:eastAsia="zh-CN"/>
        </w:rPr>
        <w:t xml:space="preserve">the </w:t>
      </w:r>
      <w:r>
        <w:rPr>
          <w:bCs/>
          <w:color w:val="auto"/>
          <w:highlight w:val="none"/>
          <w:shd w:val="clear" w:color="auto" w:fill="FFFFFF"/>
        </w:rPr>
        <w:t xml:space="preserve">MR PDFF examination and </w:t>
      </w:r>
      <w:r>
        <w:rPr>
          <w:rFonts w:hint="eastAsia"/>
          <w:bCs/>
          <w:color w:val="auto"/>
          <w:highlight w:val="none"/>
          <w:shd w:val="clear" w:color="auto" w:fill="FFFFFF"/>
          <w:lang w:val="en-US" w:eastAsia="zh-CN"/>
        </w:rPr>
        <w:t xml:space="preserve">the </w:t>
      </w:r>
      <w:r>
        <w:rPr>
          <w:bCs/>
          <w:color w:val="auto"/>
          <w:highlight w:val="none"/>
          <w:shd w:val="clear" w:color="auto" w:fill="FFFFFF"/>
        </w:rPr>
        <w:t xml:space="preserve">CT examination is less than </w:t>
      </w:r>
      <w:r>
        <w:rPr>
          <w:rFonts w:hint="eastAsia"/>
          <w:bCs/>
          <w:color w:val="auto"/>
          <w:highlight w:val="none"/>
          <w:shd w:val="clear" w:color="auto" w:fill="FFFFFF"/>
        </w:rPr>
        <w:t>two</w:t>
      </w:r>
      <w:r>
        <w:rPr>
          <w:bCs/>
          <w:color w:val="auto"/>
          <w:highlight w:val="none"/>
          <w:shd w:val="clear" w:color="auto" w:fill="FFFFFF"/>
        </w:rPr>
        <w:t xml:space="preserve"> weeks</w:t>
      </w:r>
      <w:r>
        <w:rPr>
          <w:rFonts w:hint="eastAsia"/>
          <w:bCs/>
          <w:color w:val="auto"/>
          <w:highlight w:val="none"/>
          <w:shd w:val="clear" w:color="auto" w:fill="FFFFFF"/>
        </w:rPr>
        <w:t xml:space="preserve">. </w:t>
      </w:r>
      <w:r>
        <w:rPr>
          <w:bCs/>
          <w:color w:val="auto"/>
          <w:highlight w:val="none"/>
          <w:shd w:val="clear" w:color="auto" w:fill="FFFFFF"/>
        </w:rPr>
        <w:t>C</w:t>
      </w:r>
      <w:r>
        <w:rPr>
          <w:rFonts w:hint="eastAsia"/>
          <w:bCs/>
          <w:color w:val="auto"/>
          <w:highlight w:val="none"/>
          <w:shd w:val="clear" w:color="auto" w:fill="FFFFFF"/>
        </w:rPr>
        <w:t xml:space="preserve">ases with </w:t>
      </w:r>
      <w:r>
        <w:rPr>
          <w:bCs/>
          <w:color w:val="auto"/>
          <w:highlight w:val="none"/>
          <w:shd w:val="clear" w:color="auto" w:fill="FFFFFF"/>
        </w:rPr>
        <w:t>Child-Pugh Classification of A cirrhosis</w:t>
      </w:r>
      <w:r>
        <w:rPr>
          <w:rFonts w:hint="eastAsia"/>
          <w:bCs/>
          <w:color w:val="auto"/>
          <w:highlight w:val="none"/>
          <w:shd w:val="clear" w:color="auto" w:fill="FFFFFF"/>
        </w:rPr>
        <w:t xml:space="preserve"> were included in this study and classified as cirrhosis. We excluded </w:t>
      </w:r>
      <w:r>
        <w:rPr>
          <w:bCs/>
          <w:color w:val="auto"/>
          <w:highlight w:val="none"/>
          <w:shd w:val="clear" w:color="auto" w:fill="FFFFFF"/>
        </w:rPr>
        <w:t>Child-Pugh Classification of B and C</w:t>
      </w:r>
      <w:r>
        <w:rPr>
          <w:rFonts w:hint="eastAsia"/>
          <w:bCs/>
          <w:color w:val="auto"/>
          <w:highlight w:val="none"/>
          <w:shd w:val="clear" w:color="auto" w:fill="FFFFFF"/>
        </w:rPr>
        <w:t xml:space="preserve"> because these cases were not recommended to accept major hepatectomy.</w:t>
      </w:r>
    </w:p>
    <w:p w14:paraId="59C2095E">
      <w:pPr>
        <w:pStyle w:val="3"/>
        <w:rPr>
          <w:rFonts w:ascii="微软雅黑" w:hAnsi="微软雅黑" w:eastAsia="微软雅黑"/>
          <w:color w:val="auto"/>
          <w:sz w:val="28"/>
          <w:szCs w:val="28"/>
          <w:highlight w:val="none"/>
        </w:rPr>
      </w:pPr>
      <w:bookmarkStart w:id="3" w:name="_Toc3652"/>
      <w:r>
        <w:rPr>
          <w:rFonts w:hint="eastAsia" w:ascii="微软雅黑" w:hAnsi="微软雅黑" w:eastAsia="微软雅黑"/>
          <w:color w:val="auto"/>
          <w:sz w:val="28"/>
          <w:szCs w:val="28"/>
          <w:highlight w:val="none"/>
        </w:rPr>
        <w:t>External validation datasets</w:t>
      </w:r>
      <w:bookmarkEnd w:id="3"/>
    </w:p>
    <w:p w14:paraId="4F799905">
      <w:pPr>
        <w:spacing w:line="360" w:lineRule="auto"/>
        <w:rPr>
          <w:rFonts w:hint="eastAsia"/>
          <w:bCs/>
          <w:color w:val="auto"/>
          <w:highlight w:val="none"/>
          <w:shd w:val="clear" w:color="auto" w:fill="FFFFFF"/>
        </w:rPr>
      </w:pPr>
      <w:r>
        <w:rPr>
          <w:bCs/>
          <w:color w:val="auto"/>
          <w:highlight w:val="none"/>
          <w:shd w:val="clear" w:color="auto" w:fill="FFFFFF"/>
        </w:rPr>
        <w:t>C</w:t>
      </w:r>
      <w:r>
        <w:rPr>
          <w:rFonts w:hint="eastAsia"/>
          <w:bCs/>
          <w:color w:val="auto"/>
          <w:highlight w:val="none"/>
          <w:shd w:val="clear" w:color="auto" w:fill="FFFFFF"/>
        </w:rPr>
        <w:t>ases who underwent upper abdominal contrast-enhanced CT scans before major hepatectomy, with an interval of no more than one week between the CT scan and hepatectomy, were collected in the external validation cohort-2.</w:t>
      </w:r>
    </w:p>
    <w:p w14:paraId="5136D93B">
      <w:pPr>
        <w:spacing w:line="360" w:lineRule="auto"/>
        <w:ind w:firstLine="210" w:firstLineChars="100"/>
        <w:rPr>
          <w:rFonts w:hint="eastAsia" w:ascii="微软雅黑" w:hAnsi="微软雅黑" w:eastAsia="微软雅黑"/>
          <w:color w:val="auto"/>
          <w:sz w:val="28"/>
          <w:szCs w:val="28"/>
          <w:highlight w:val="none"/>
        </w:rPr>
      </w:pPr>
      <w:r>
        <w:rPr>
          <w:bCs/>
          <w:color w:val="auto"/>
          <w:highlight w:val="none"/>
          <w:shd w:val="clear" w:color="auto" w:fill="FFFFFF"/>
        </w:rPr>
        <w:t>I</w:t>
      </w:r>
      <w:r>
        <w:rPr>
          <w:rFonts w:hint="eastAsia"/>
          <w:bCs/>
          <w:color w:val="auto"/>
          <w:highlight w:val="none"/>
          <w:shd w:val="clear" w:color="auto" w:fill="FFFFFF"/>
        </w:rPr>
        <w:t xml:space="preserve">n external validation cohort-1, we </w:t>
      </w:r>
      <w:r>
        <w:rPr>
          <w:bCs/>
          <w:color w:val="auto"/>
          <w:highlight w:val="none"/>
          <w:shd w:val="clear" w:color="auto" w:fill="FFFFFF"/>
        </w:rPr>
        <w:t xml:space="preserve">continuously </w:t>
      </w:r>
      <w:r>
        <w:rPr>
          <w:rFonts w:hint="eastAsia"/>
          <w:bCs/>
          <w:color w:val="auto"/>
          <w:highlight w:val="none"/>
          <w:shd w:val="clear" w:color="auto" w:fill="FFFFFF"/>
        </w:rPr>
        <w:t>collected</w:t>
      </w:r>
      <w:r>
        <w:rPr>
          <w:bCs/>
          <w:color w:val="auto"/>
          <w:highlight w:val="none"/>
          <w:shd w:val="clear" w:color="auto" w:fill="FFFFFF"/>
        </w:rPr>
        <w:t xml:space="preserve"> the first </w:t>
      </w:r>
      <w:r>
        <w:rPr>
          <w:rFonts w:hint="eastAsia"/>
          <w:bCs/>
          <w:color w:val="auto"/>
          <w:highlight w:val="none"/>
          <w:shd w:val="clear" w:color="auto" w:fill="FFFFFF"/>
        </w:rPr>
        <w:t>50</w:t>
      </w:r>
      <w:r>
        <w:rPr>
          <w:bCs/>
          <w:color w:val="auto"/>
          <w:highlight w:val="none"/>
          <w:shd w:val="clear" w:color="auto" w:fill="FFFFFF"/>
        </w:rPr>
        <w:t xml:space="preserve"> subjects with a </w:t>
      </w:r>
      <w:r>
        <w:rPr>
          <w:rFonts w:hint="eastAsia"/>
          <w:bCs/>
          <w:color w:val="auto"/>
          <w:highlight w:val="none"/>
          <w:shd w:val="clear" w:color="auto" w:fill="FFFFFF"/>
        </w:rPr>
        <w:t>healthy</w:t>
      </w:r>
      <w:r>
        <w:rPr>
          <w:bCs/>
          <w:color w:val="auto"/>
          <w:highlight w:val="none"/>
          <w:shd w:val="clear" w:color="auto" w:fill="FFFFFF"/>
        </w:rPr>
        <w:t xml:space="preserve"> liver</w:t>
      </w:r>
      <w:r>
        <w:rPr>
          <w:rFonts w:hint="eastAsia"/>
          <w:bCs/>
          <w:color w:val="auto"/>
          <w:highlight w:val="none"/>
          <w:shd w:val="clear" w:color="auto" w:fill="FFFFFF"/>
        </w:rPr>
        <w:t>,</w:t>
      </w:r>
      <w:r>
        <w:rPr>
          <w:bCs/>
          <w:color w:val="auto"/>
          <w:highlight w:val="none"/>
          <w:shd w:val="clear" w:color="auto" w:fill="FFFFFF"/>
        </w:rPr>
        <w:t xml:space="preserve"> the first </w:t>
      </w:r>
      <w:r>
        <w:rPr>
          <w:rFonts w:hint="eastAsia"/>
          <w:bCs/>
          <w:color w:val="auto"/>
          <w:highlight w:val="none"/>
          <w:shd w:val="clear" w:color="auto" w:fill="FFFFFF"/>
        </w:rPr>
        <w:t>15</w:t>
      </w:r>
      <w:r>
        <w:rPr>
          <w:bCs/>
          <w:color w:val="auto"/>
          <w:highlight w:val="none"/>
          <w:shd w:val="clear" w:color="auto" w:fill="FFFFFF"/>
        </w:rPr>
        <w:t xml:space="preserve"> subjects </w:t>
      </w:r>
      <w:r>
        <w:rPr>
          <w:rFonts w:hint="eastAsia"/>
          <w:bCs/>
          <w:color w:val="auto"/>
          <w:highlight w:val="none"/>
          <w:shd w:val="clear" w:color="auto" w:fill="FFFFFF"/>
        </w:rPr>
        <w:t>with</w:t>
      </w:r>
      <w:r>
        <w:rPr>
          <w:bCs/>
          <w:color w:val="auto"/>
          <w:highlight w:val="none"/>
          <w:shd w:val="clear" w:color="auto" w:fill="FFFFFF"/>
        </w:rPr>
        <w:t xml:space="preserve"> mild fatty liver</w:t>
      </w:r>
      <w:r>
        <w:rPr>
          <w:rFonts w:hint="eastAsia"/>
          <w:bCs/>
          <w:color w:val="auto"/>
          <w:highlight w:val="none"/>
          <w:shd w:val="clear" w:color="auto" w:fill="FFFFFF"/>
        </w:rPr>
        <w:t>,</w:t>
      </w:r>
      <w:r>
        <w:rPr>
          <w:bCs/>
          <w:color w:val="auto"/>
          <w:highlight w:val="none"/>
          <w:shd w:val="clear" w:color="auto" w:fill="FFFFFF"/>
        </w:rPr>
        <w:t xml:space="preserve"> the </w:t>
      </w:r>
      <w:r>
        <w:rPr>
          <w:rFonts w:hint="eastAsia"/>
          <w:bCs/>
          <w:color w:val="auto"/>
          <w:highlight w:val="none"/>
          <w:shd w:val="clear" w:color="auto" w:fill="FFFFFF"/>
        </w:rPr>
        <w:t>first</w:t>
      </w:r>
      <w:r>
        <w:rPr>
          <w:bCs/>
          <w:color w:val="auto"/>
          <w:highlight w:val="none"/>
          <w:shd w:val="clear" w:color="auto" w:fill="FFFFFF"/>
        </w:rPr>
        <w:t xml:space="preserve"> </w:t>
      </w:r>
      <w:r>
        <w:rPr>
          <w:rFonts w:hint="eastAsia"/>
          <w:bCs/>
          <w:color w:val="auto"/>
          <w:highlight w:val="none"/>
          <w:shd w:val="clear" w:color="auto" w:fill="FFFFFF"/>
        </w:rPr>
        <w:t>15</w:t>
      </w:r>
      <w:r>
        <w:rPr>
          <w:bCs/>
          <w:color w:val="auto"/>
          <w:highlight w:val="none"/>
          <w:shd w:val="clear" w:color="auto" w:fill="FFFFFF"/>
        </w:rPr>
        <w:t xml:space="preserve"> subjects </w:t>
      </w:r>
      <w:r>
        <w:rPr>
          <w:rFonts w:hint="eastAsia"/>
          <w:bCs/>
          <w:color w:val="auto"/>
          <w:highlight w:val="none"/>
          <w:shd w:val="clear" w:color="auto" w:fill="FFFFFF"/>
          <w:lang w:val="en-US" w:eastAsia="zh-CN"/>
        </w:rPr>
        <w:t>with</w:t>
      </w:r>
      <w:r>
        <w:rPr>
          <w:bCs/>
          <w:color w:val="auto"/>
          <w:highlight w:val="none"/>
          <w:shd w:val="clear" w:color="auto" w:fill="FFFFFF"/>
        </w:rPr>
        <w:t xml:space="preserve"> moderate fatty liver, and</w:t>
      </w:r>
      <w:r>
        <w:rPr>
          <w:rFonts w:hint="eastAsia"/>
          <w:bCs/>
          <w:color w:val="auto"/>
          <w:highlight w:val="none"/>
          <w:shd w:val="clear" w:color="auto" w:fill="FFFFFF"/>
        </w:rPr>
        <w:t xml:space="preserve"> the first</w:t>
      </w:r>
      <w:r>
        <w:rPr>
          <w:bCs/>
          <w:color w:val="auto"/>
          <w:highlight w:val="none"/>
          <w:shd w:val="clear" w:color="auto" w:fill="FFFFFF"/>
        </w:rPr>
        <w:t xml:space="preserve"> </w:t>
      </w:r>
      <w:r>
        <w:rPr>
          <w:rFonts w:hint="eastAsia"/>
          <w:bCs/>
          <w:color w:val="auto"/>
          <w:highlight w:val="none"/>
          <w:shd w:val="clear" w:color="auto" w:fill="FFFFFF"/>
        </w:rPr>
        <w:t>17</w:t>
      </w:r>
      <w:r>
        <w:rPr>
          <w:bCs/>
          <w:color w:val="auto"/>
          <w:highlight w:val="none"/>
          <w:shd w:val="clear" w:color="auto" w:fill="FFFFFF"/>
        </w:rPr>
        <w:t xml:space="preserve"> subjects </w:t>
      </w:r>
      <w:r>
        <w:rPr>
          <w:rFonts w:hint="eastAsia"/>
          <w:bCs/>
          <w:color w:val="auto"/>
          <w:highlight w:val="none"/>
          <w:shd w:val="clear" w:color="auto" w:fill="FFFFFF"/>
          <w:lang w:val="en-US" w:eastAsia="zh-CN"/>
        </w:rPr>
        <w:t>with</w:t>
      </w:r>
      <w:r>
        <w:rPr>
          <w:bCs/>
          <w:color w:val="auto"/>
          <w:highlight w:val="none"/>
          <w:shd w:val="clear" w:color="auto" w:fill="FFFFFF"/>
        </w:rPr>
        <w:t xml:space="preserve"> severe fatty liver between J</w:t>
      </w:r>
      <w:r>
        <w:rPr>
          <w:rFonts w:hint="eastAsia"/>
          <w:bCs/>
          <w:color w:val="auto"/>
          <w:highlight w:val="none"/>
          <w:shd w:val="clear" w:color="auto" w:fill="FFFFFF"/>
        </w:rPr>
        <w:t>une</w:t>
      </w:r>
      <w:r>
        <w:rPr>
          <w:bCs/>
          <w:color w:val="auto"/>
          <w:highlight w:val="none"/>
          <w:shd w:val="clear" w:color="auto" w:fill="FFFFFF"/>
        </w:rPr>
        <w:t xml:space="preserve"> 201</w:t>
      </w:r>
      <w:r>
        <w:rPr>
          <w:rFonts w:hint="eastAsia"/>
          <w:bCs/>
          <w:color w:val="auto"/>
          <w:highlight w:val="none"/>
          <w:shd w:val="clear" w:color="auto" w:fill="FFFFFF"/>
        </w:rPr>
        <w:t>9</w:t>
      </w:r>
      <w:r>
        <w:rPr>
          <w:bCs/>
          <w:color w:val="auto"/>
          <w:highlight w:val="none"/>
          <w:shd w:val="clear" w:color="auto" w:fill="FFFFFF"/>
        </w:rPr>
        <w:t xml:space="preserve"> and </w:t>
      </w:r>
      <w:r>
        <w:rPr>
          <w:rFonts w:hint="eastAsia"/>
          <w:bCs/>
          <w:color w:val="auto"/>
          <w:highlight w:val="none"/>
          <w:shd w:val="clear" w:color="auto" w:fill="FFFFFF"/>
        </w:rPr>
        <w:t>December</w:t>
      </w:r>
      <w:r>
        <w:rPr>
          <w:bCs/>
          <w:color w:val="auto"/>
          <w:highlight w:val="none"/>
          <w:shd w:val="clear" w:color="auto" w:fill="FFFFFF"/>
        </w:rPr>
        <w:t xml:space="preserve"> 20</w:t>
      </w:r>
      <w:r>
        <w:rPr>
          <w:rFonts w:hint="eastAsia"/>
          <w:bCs/>
          <w:color w:val="auto"/>
          <w:highlight w:val="none"/>
          <w:shd w:val="clear" w:color="auto" w:fill="FFFFFF"/>
        </w:rPr>
        <w:t>21</w:t>
      </w:r>
      <w:r>
        <w:rPr>
          <w:bCs/>
          <w:color w:val="auto"/>
          <w:highlight w:val="none"/>
          <w:shd w:val="clear" w:color="auto" w:fill="FFFFFF"/>
        </w:rPr>
        <w:t xml:space="preserve">. </w:t>
      </w:r>
      <w:r>
        <w:rPr>
          <w:rFonts w:hint="eastAsia"/>
          <w:bCs/>
          <w:color w:val="auto"/>
          <w:highlight w:val="none"/>
          <w:shd w:val="clear" w:color="auto" w:fill="FFFFFF"/>
        </w:rPr>
        <w:t>W</w:t>
      </w:r>
      <w:r>
        <w:rPr>
          <w:bCs/>
          <w:color w:val="auto"/>
          <w:highlight w:val="none"/>
          <w:shd w:val="clear" w:color="auto" w:fill="FFFFFF"/>
        </w:rPr>
        <w:t>e continuously included the first 4</w:t>
      </w:r>
      <w:r>
        <w:rPr>
          <w:rFonts w:hint="eastAsia"/>
          <w:bCs/>
          <w:color w:val="auto"/>
          <w:highlight w:val="none"/>
          <w:shd w:val="clear" w:color="auto" w:fill="FFFFFF"/>
        </w:rPr>
        <w:t>9</w:t>
      </w:r>
      <w:r>
        <w:rPr>
          <w:bCs/>
          <w:color w:val="auto"/>
          <w:highlight w:val="none"/>
          <w:shd w:val="clear" w:color="auto" w:fill="FFFFFF"/>
        </w:rPr>
        <w:t xml:space="preserve"> subjects with Child-Pugh Classification of A cirrhosis between J</w:t>
      </w:r>
      <w:r>
        <w:rPr>
          <w:rFonts w:hint="eastAsia"/>
          <w:bCs/>
          <w:color w:val="auto"/>
          <w:highlight w:val="none"/>
          <w:shd w:val="clear" w:color="auto" w:fill="FFFFFF"/>
        </w:rPr>
        <w:t>une</w:t>
      </w:r>
      <w:r>
        <w:rPr>
          <w:bCs/>
          <w:color w:val="auto"/>
          <w:highlight w:val="none"/>
          <w:shd w:val="clear" w:color="auto" w:fill="FFFFFF"/>
        </w:rPr>
        <w:t xml:space="preserve"> 201</w:t>
      </w:r>
      <w:r>
        <w:rPr>
          <w:rFonts w:hint="eastAsia"/>
          <w:bCs/>
          <w:color w:val="auto"/>
          <w:highlight w:val="none"/>
          <w:shd w:val="clear" w:color="auto" w:fill="FFFFFF"/>
        </w:rPr>
        <w:t>9</w:t>
      </w:r>
      <w:r>
        <w:rPr>
          <w:bCs/>
          <w:color w:val="auto"/>
          <w:highlight w:val="none"/>
          <w:shd w:val="clear" w:color="auto" w:fill="FFFFFF"/>
        </w:rPr>
        <w:t xml:space="preserve"> and </w:t>
      </w:r>
      <w:r>
        <w:rPr>
          <w:rFonts w:hint="eastAsia"/>
          <w:bCs/>
          <w:color w:val="auto"/>
          <w:highlight w:val="none"/>
          <w:shd w:val="clear" w:color="auto" w:fill="FFFFFF"/>
        </w:rPr>
        <w:t>December</w:t>
      </w:r>
      <w:r>
        <w:rPr>
          <w:bCs/>
          <w:color w:val="auto"/>
          <w:highlight w:val="none"/>
          <w:shd w:val="clear" w:color="auto" w:fill="FFFFFF"/>
        </w:rPr>
        <w:t xml:space="preserve"> 20</w:t>
      </w:r>
      <w:r>
        <w:rPr>
          <w:rFonts w:hint="eastAsia"/>
          <w:bCs/>
          <w:color w:val="auto"/>
          <w:highlight w:val="none"/>
          <w:shd w:val="clear" w:color="auto" w:fill="FFFFFF"/>
        </w:rPr>
        <w:t>21</w:t>
      </w:r>
      <w:r>
        <w:rPr>
          <w:bCs/>
          <w:color w:val="auto"/>
          <w:highlight w:val="none"/>
          <w:shd w:val="clear" w:color="auto" w:fill="FFFFFF"/>
        </w:rPr>
        <w:t>.</w:t>
      </w:r>
    </w:p>
    <w:p w14:paraId="12919DEF">
      <w:pPr>
        <w:pStyle w:val="3"/>
        <w:rPr>
          <w:rFonts w:hint="eastAsia" w:ascii="微软雅黑" w:hAnsi="微软雅黑" w:eastAsia="微软雅黑"/>
          <w:color w:val="auto"/>
          <w:sz w:val="28"/>
          <w:szCs w:val="28"/>
          <w:highlight w:val="none"/>
        </w:rPr>
      </w:pPr>
      <w:bookmarkStart w:id="4" w:name="_Toc14513"/>
      <w:r>
        <w:rPr>
          <w:rFonts w:hint="eastAsia" w:ascii="微软雅黑" w:hAnsi="微软雅黑" w:eastAsia="微软雅黑"/>
          <w:color w:val="auto"/>
          <w:sz w:val="28"/>
          <w:szCs w:val="28"/>
          <w:highlight w:val="none"/>
        </w:rPr>
        <w:t>The workflow of the hepatic VCAR</w:t>
      </w:r>
      <w:bookmarkEnd w:id="4"/>
    </w:p>
    <w:p w14:paraId="7764A679">
      <w:pPr>
        <w:spacing w:line="360" w:lineRule="auto"/>
        <w:rPr>
          <w:bCs/>
          <w:color w:val="auto"/>
          <w:highlight w:val="none"/>
          <w:shd w:val="clear" w:color="auto" w:fill="FFFFFF"/>
        </w:rPr>
      </w:pPr>
      <w:r>
        <w:rPr>
          <w:rFonts w:hint="eastAsia"/>
          <w:bCs/>
          <w:color w:val="auto"/>
          <w:highlight w:val="none"/>
          <w:shd w:val="clear" w:color="auto" w:fill="FFFFFF"/>
        </w:rPr>
        <w:t>As illustrated in Figure 2, all images were imported into the hepatic VCAR program, which ran on a dedicated workstation (AW 4.7 workstation, GE Healthcare, United States) following the acquisition of CT images. A five-step process was required for the final prediction of candidates, involving both manual and automated procedures. First, the hepatic tumor was manually detected by a radiologist or surgeon. Subsequently, the whole-liver was automatically segmented via hepatic VCAR. The liver segmentation results were meticulously reviewed slice by slice and corrected manually if necessary, and finally be confirmed by a radiologist. Next, the location of the target tumor was subsequently identified. A virtual hepatectomy plane for complete/expanded hepatectomy was then delineated by surgeons, generating a quantitative assessment results of FLR. Thereafter, the liver parenchyma was classified into healthy livers, fatty livers, and cirrhosis manually. Finally, the prediction of candidates for major hepatectomy was decided by surgeons.</w:t>
      </w:r>
    </w:p>
    <w:p w14:paraId="72524A5A">
      <w:pPr>
        <w:spacing w:line="360" w:lineRule="auto"/>
        <w:rPr>
          <w:bCs/>
          <w:color w:val="auto"/>
          <w:highlight w:val="none"/>
          <w:shd w:val="clear" w:color="auto" w:fill="FFFFFF"/>
        </w:rPr>
      </w:pPr>
    </w:p>
    <w:p w14:paraId="7D604E58">
      <w:pPr>
        <w:pStyle w:val="3"/>
        <w:spacing w:line="360" w:lineRule="auto"/>
        <w:rPr>
          <w:rFonts w:hint="eastAsia" w:ascii="微软雅黑" w:hAnsi="微软雅黑" w:eastAsia="微软雅黑"/>
          <w:bCs w:val="0"/>
          <w:color w:val="auto"/>
          <w:sz w:val="28"/>
          <w:szCs w:val="28"/>
          <w:highlight w:val="none"/>
          <w:shd w:val="clear" w:color="auto" w:fill="FFFFFF"/>
        </w:rPr>
      </w:pPr>
      <w:bookmarkStart w:id="5" w:name="_Toc11550"/>
      <w:r>
        <w:rPr>
          <w:rFonts w:ascii="微软雅黑" w:hAnsi="微软雅黑" w:eastAsia="微软雅黑"/>
          <w:color w:val="auto"/>
          <w:sz w:val="28"/>
          <w:szCs w:val="28"/>
          <w:highlight w:val="none"/>
        </w:rPr>
        <w:t xml:space="preserve">Development of a </w:t>
      </w:r>
      <w:r>
        <w:rPr>
          <w:rFonts w:ascii="微软雅黑" w:hAnsi="微软雅黑" w:eastAsia="微软雅黑"/>
          <w:color w:val="auto"/>
          <w:sz w:val="28"/>
          <w:szCs w:val="28"/>
          <w:highlight w:val="none"/>
          <w:shd w:val="clear" w:color="auto" w:fill="FFFFFF"/>
        </w:rPr>
        <w:t xml:space="preserve">DL-based FLR </w:t>
      </w:r>
      <w:r>
        <w:rPr>
          <w:rFonts w:hint="eastAsia" w:ascii="微软雅黑" w:hAnsi="微软雅黑" w:eastAsia="微软雅黑"/>
          <w:color w:val="auto"/>
          <w:sz w:val="28"/>
          <w:szCs w:val="28"/>
          <w:highlight w:val="none"/>
          <w:shd w:val="clear" w:color="auto" w:fill="FFFFFF"/>
          <w:lang w:val="en-US" w:eastAsia="zh-CN"/>
        </w:rPr>
        <w:t>volumetry</w:t>
      </w:r>
      <w:r>
        <w:rPr>
          <w:rFonts w:ascii="微软雅黑" w:hAnsi="微软雅黑" w:eastAsia="微软雅黑"/>
          <w:color w:val="auto"/>
          <w:sz w:val="28"/>
          <w:szCs w:val="28"/>
          <w:highlight w:val="none"/>
          <w:shd w:val="clear" w:color="auto" w:fill="FFFFFF"/>
        </w:rPr>
        <w:t xml:space="preserve"> system (</w:t>
      </w:r>
      <w:r>
        <w:rPr>
          <w:rFonts w:hint="eastAsia" w:ascii="微软雅黑" w:hAnsi="微软雅黑" w:eastAsia="微软雅黑"/>
          <w:color w:val="auto"/>
          <w:sz w:val="28"/>
          <w:szCs w:val="28"/>
          <w:highlight w:val="none"/>
          <w:shd w:val="clear" w:color="auto" w:fill="FFFFFF"/>
          <w:lang w:eastAsia="zh-CN"/>
        </w:rPr>
        <w:t>DL-FLRVS</w:t>
      </w:r>
      <w:r>
        <w:rPr>
          <w:rFonts w:ascii="微软雅黑" w:hAnsi="微软雅黑" w:eastAsia="微软雅黑"/>
          <w:color w:val="auto"/>
          <w:sz w:val="28"/>
          <w:szCs w:val="28"/>
          <w:highlight w:val="none"/>
          <w:shd w:val="clear" w:color="auto" w:fill="FFFFFF"/>
        </w:rPr>
        <w:t>)</w:t>
      </w:r>
      <w:bookmarkEnd w:id="5"/>
      <w:r>
        <w:rPr>
          <w:rFonts w:ascii="微软雅黑" w:hAnsi="微软雅黑" w:eastAsia="微软雅黑"/>
          <w:color w:val="auto"/>
          <w:sz w:val="28"/>
          <w:szCs w:val="28"/>
          <w:highlight w:val="none"/>
          <w:shd w:val="clear" w:color="auto" w:fill="FFFFFF"/>
        </w:rPr>
        <w:t xml:space="preserve"> </w:t>
      </w:r>
    </w:p>
    <w:p w14:paraId="72AA6F9D">
      <w:pPr>
        <w:spacing w:line="360" w:lineRule="auto"/>
        <w:rPr>
          <w:bCs/>
          <w:color w:val="auto"/>
          <w:highlight w:val="none"/>
          <w:shd w:val="clear" w:color="auto" w:fill="FFFFFF"/>
        </w:rPr>
      </w:pPr>
      <w:r>
        <w:rPr>
          <w:bCs/>
          <w:color w:val="auto"/>
          <w:highlight w:val="none"/>
          <w:shd w:val="clear" w:color="auto" w:fill="FFFFFF"/>
        </w:rPr>
        <w:t xml:space="preserve">The DL-based FLR </w:t>
      </w:r>
      <w:r>
        <w:rPr>
          <w:rFonts w:hint="eastAsia"/>
          <w:bCs/>
          <w:color w:val="auto"/>
          <w:highlight w:val="none"/>
          <w:shd w:val="clear" w:color="auto" w:fill="FFFFFF"/>
          <w:lang w:val="en-US" w:eastAsia="zh-CN"/>
        </w:rPr>
        <w:t>volumetry</w:t>
      </w:r>
      <w:r>
        <w:rPr>
          <w:bCs/>
          <w:color w:val="auto"/>
          <w:highlight w:val="none"/>
          <w:shd w:val="clear" w:color="auto" w:fill="FFFFFF"/>
        </w:rPr>
        <w:t xml:space="preserve"> system (</w:t>
      </w:r>
      <w:r>
        <w:rPr>
          <w:rFonts w:hint="eastAsia"/>
          <w:bCs/>
          <w:color w:val="auto"/>
          <w:highlight w:val="none"/>
          <w:shd w:val="clear" w:color="auto" w:fill="FFFFFF"/>
          <w:lang w:eastAsia="zh-CN"/>
        </w:rPr>
        <w:t>DL-FLRVS</w:t>
      </w:r>
      <w:r>
        <w:rPr>
          <w:bCs/>
          <w:color w:val="auto"/>
          <w:highlight w:val="none"/>
          <w:shd w:val="clear" w:color="auto" w:fill="FFFFFF"/>
        </w:rPr>
        <w:t xml:space="preserve">) consisted of five automated segmentation models </w:t>
      </w:r>
      <w:r>
        <w:rPr>
          <w:bCs/>
          <w:color w:val="auto"/>
          <w:highlight w:val="none"/>
        </w:rPr>
        <w:t>that aimed</w:t>
      </w:r>
      <w:r>
        <w:rPr>
          <w:bCs/>
          <w:color w:val="auto"/>
          <w:highlight w:val="none"/>
          <w:shd w:val="clear" w:color="auto" w:fill="FFFFFF"/>
        </w:rPr>
        <w:t xml:space="preserve"> to segment livers, Couinaud liver segments, hepatic veins, portal veins and hepatic lesions automatically. The training and testing dataset cohorts of all of these DL models </w:t>
      </w:r>
      <w:r>
        <w:rPr>
          <w:bCs/>
          <w:color w:val="auto"/>
          <w:highlight w:val="none"/>
        </w:rPr>
        <w:t>are</w:t>
      </w:r>
      <w:r>
        <w:rPr>
          <w:bCs/>
          <w:color w:val="auto"/>
          <w:highlight w:val="none"/>
          <w:shd w:val="clear" w:color="auto" w:fill="FFFFFF"/>
        </w:rPr>
        <w:t xml:space="preserve"> shown in Table </w:t>
      </w:r>
      <w:r>
        <w:rPr>
          <w:rFonts w:hint="eastAsia"/>
          <w:bCs/>
          <w:color w:val="auto"/>
          <w:highlight w:val="none"/>
          <w:shd w:val="clear" w:color="auto" w:fill="FFFFFF"/>
        </w:rPr>
        <w:t>S</w:t>
      </w:r>
      <w:r>
        <w:rPr>
          <w:bCs/>
          <w:color w:val="auto"/>
          <w:highlight w:val="none"/>
          <w:shd w:val="clear" w:color="auto" w:fill="FFFFFF"/>
        </w:rPr>
        <w:t xml:space="preserve">1. </w:t>
      </w:r>
    </w:p>
    <w:p w14:paraId="0F88DEBD">
      <w:pPr>
        <w:spacing w:line="360" w:lineRule="auto"/>
        <w:rPr>
          <w:b/>
          <w:bCs/>
          <w:i/>
          <w:iCs/>
          <w:color w:val="auto"/>
          <w:highlight w:val="none"/>
        </w:rPr>
      </w:pPr>
      <w:r>
        <w:rPr>
          <w:b/>
          <w:bCs/>
          <w:i/>
          <w:iCs/>
          <w:color w:val="auto"/>
          <w:highlight w:val="none"/>
        </w:rPr>
        <w:t xml:space="preserve"> </w:t>
      </w:r>
    </w:p>
    <w:p w14:paraId="10D5A027">
      <w:pPr>
        <w:pStyle w:val="4"/>
        <w:rPr>
          <w:rFonts w:hint="eastAsia" w:ascii="微软雅黑" w:hAnsi="微软雅黑" w:eastAsia="微软雅黑"/>
          <w:b w:val="0"/>
          <w:bCs w:val="0"/>
          <w:color w:val="auto"/>
          <w:sz w:val="24"/>
          <w:szCs w:val="24"/>
          <w:highlight w:val="none"/>
          <w:shd w:val="clear" w:color="auto" w:fill="FFFFFF"/>
        </w:rPr>
      </w:pPr>
      <w:bookmarkStart w:id="6" w:name="_Toc21611"/>
      <w:r>
        <w:rPr>
          <w:rFonts w:ascii="微软雅黑" w:hAnsi="微软雅黑" w:eastAsia="微软雅黑"/>
          <w:b w:val="0"/>
          <w:bCs w:val="0"/>
          <w:color w:val="auto"/>
          <w:sz w:val="24"/>
          <w:szCs w:val="24"/>
          <w:highlight w:val="none"/>
        </w:rPr>
        <w:t>Dataset description: training dataset</w:t>
      </w:r>
      <w:r>
        <w:rPr>
          <w:rFonts w:hint="eastAsia" w:ascii="微软雅黑" w:hAnsi="微软雅黑" w:eastAsia="微软雅黑"/>
          <w:b w:val="0"/>
          <w:bCs w:val="0"/>
          <w:color w:val="auto"/>
          <w:sz w:val="24"/>
          <w:szCs w:val="24"/>
          <w:highlight w:val="none"/>
        </w:rPr>
        <w:t xml:space="preserve"> </w:t>
      </w:r>
      <w:r>
        <w:rPr>
          <w:rFonts w:ascii="微软雅黑" w:hAnsi="微软雅黑" w:eastAsia="微软雅黑"/>
          <w:b w:val="0"/>
          <w:bCs w:val="0"/>
          <w:color w:val="auto"/>
          <w:sz w:val="24"/>
          <w:szCs w:val="24"/>
          <w:highlight w:val="none"/>
        </w:rPr>
        <w:t>of all DL models in this study</w:t>
      </w:r>
      <w:bookmarkEnd w:id="6"/>
    </w:p>
    <w:p w14:paraId="6E6DA114">
      <w:pPr>
        <w:spacing w:line="360" w:lineRule="auto"/>
        <w:rPr>
          <w:b/>
          <w:i/>
          <w:iCs/>
          <w:color w:val="auto"/>
          <w:highlight w:val="none"/>
          <w:shd w:val="clear" w:color="auto" w:fill="FFFFFF"/>
        </w:rPr>
      </w:pPr>
      <w:r>
        <w:rPr>
          <w:b/>
          <w:i/>
          <w:iCs/>
          <w:color w:val="auto"/>
          <w:highlight w:val="none"/>
          <w:shd w:val="clear" w:color="auto" w:fill="FFFFFF"/>
        </w:rPr>
        <w:t xml:space="preserve">Training </w:t>
      </w:r>
      <w:r>
        <w:rPr>
          <w:b/>
          <w:i/>
          <w:iCs/>
          <w:color w:val="auto"/>
          <w:highlight w:val="none"/>
        </w:rPr>
        <w:t>dataset</w:t>
      </w:r>
    </w:p>
    <w:p w14:paraId="70806F7E">
      <w:pPr>
        <w:spacing w:line="360" w:lineRule="auto"/>
        <w:rPr>
          <w:bCs/>
          <w:color w:val="auto"/>
          <w:highlight w:val="none"/>
        </w:rPr>
      </w:pPr>
      <w:r>
        <w:rPr>
          <w:bCs/>
          <w:color w:val="auto"/>
          <w:highlight w:val="none"/>
          <w:shd w:val="clear" w:color="auto" w:fill="FFFFFF"/>
        </w:rPr>
        <w:t xml:space="preserve">For the training of all of these automated segmentation models, a total of 2283 patients who </w:t>
      </w:r>
      <w:r>
        <w:rPr>
          <w:bCs/>
          <w:color w:val="auto"/>
          <w:highlight w:val="none"/>
        </w:rPr>
        <w:t>underwent</w:t>
      </w:r>
      <w:r>
        <w:rPr>
          <w:bCs/>
          <w:color w:val="auto"/>
          <w:highlight w:val="none"/>
          <w:shd w:val="clear" w:color="auto" w:fill="FFFFFF"/>
        </w:rPr>
        <w:t xml:space="preserve"> abdominal contrast-enhanced CT examinations between January 2018 and March 2019 </w:t>
      </w:r>
      <w:r>
        <w:rPr>
          <w:bCs/>
          <w:color w:val="auto"/>
          <w:highlight w:val="none"/>
        </w:rPr>
        <w:t>at</w:t>
      </w:r>
      <w:r>
        <w:rPr>
          <w:bCs/>
          <w:color w:val="auto"/>
          <w:highlight w:val="none"/>
          <w:shd w:val="clear" w:color="auto" w:fill="FFFFFF"/>
        </w:rPr>
        <w:t xml:space="preserve"> Peking University First Hospital (Hospital-1) were </w:t>
      </w:r>
      <w:r>
        <w:rPr>
          <w:bCs/>
          <w:color w:val="auto"/>
          <w:highlight w:val="none"/>
        </w:rPr>
        <w:t xml:space="preserve">included. </w:t>
      </w:r>
    </w:p>
    <w:p w14:paraId="31E1D091">
      <w:pPr>
        <w:spacing w:line="360" w:lineRule="auto"/>
        <w:ind w:firstLine="210" w:firstLineChars="100"/>
        <w:rPr>
          <w:rFonts w:hint="eastAsia"/>
          <w:bCs/>
          <w:color w:val="auto"/>
          <w:highlight w:val="none"/>
          <w:shd w:val="clear" w:color="auto" w:fill="FFFFFF"/>
        </w:rPr>
      </w:pPr>
      <w:r>
        <w:rPr>
          <w:bCs/>
          <w:color w:val="auto"/>
          <w:highlight w:val="none"/>
          <w:shd w:val="clear" w:color="auto" w:fill="FFFFFF"/>
        </w:rPr>
        <w:t>I</w:t>
      </w:r>
      <w:r>
        <w:rPr>
          <w:rFonts w:hint="eastAsia"/>
          <w:bCs/>
          <w:color w:val="auto"/>
          <w:highlight w:val="none"/>
          <w:shd w:val="clear" w:color="auto" w:fill="FFFFFF"/>
        </w:rPr>
        <w:t>n training dataset, a total of 307,</w:t>
      </w:r>
      <w:r>
        <w:rPr>
          <w:bCs/>
          <w:color w:val="auto"/>
          <w:highlight w:val="none"/>
          <w:shd w:val="clear" w:color="auto" w:fill="FFFFFF"/>
        </w:rPr>
        <w:t xml:space="preserve"> </w:t>
      </w:r>
      <w:r>
        <w:rPr>
          <w:rFonts w:hint="eastAsia"/>
          <w:bCs/>
          <w:color w:val="auto"/>
          <w:highlight w:val="none"/>
          <w:shd w:val="clear" w:color="auto" w:fill="FFFFFF"/>
        </w:rPr>
        <w:t>170</w:t>
      </w:r>
      <w:r>
        <w:rPr>
          <w:bCs/>
          <w:color w:val="auto"/>
          <w:highlight w:val="none"/>
          <w:shd w:val="clear" w:color="auto" w:fill="FFFFFF"/>
        </w:rPr>
        <w:t xml:space="preserve">, </w:t>
      </w:r>
      <w:r>
        <w:rPr>
          <w:rFonts w:hint="eastAsia"/>
          <w:bCs/>
          <w:color w:val="auto"/>
          <w:highlight w:val="none"/>
          <w:shd w:val="clear" w:color="auto" w:fill="FFFFFF"/>
        </w:rPr>
        <w:t>170</w:t>
      </w:r>
      <w:r>
        <w:rPr>
          <w:bCs/>
          <w:color w:val="auto"/>
          <w:highlight w:val="none"/>
          <w:shd w:val="clear" w:color="auto" w:fill="FFFFFF"/>
        </w:rPr>
        <w:t xml:space="preserve">, </w:t>
      </w:r>
      <w:r>
        <w:rPr>
          <w:rFonts w:hint="eastAsia"/>
          <w:bCs/>
          <w:color w:val="auto"/>
          <w:highlight w:val="none"/>
          <w:shd w:val="clear" w:color="auto" w:fill="FFFFFF"/>
        </w:rPr>
        <w:t>170</w:t>
      </w:r>
      <w:r>
        <w:rPr>
          <w:bCs/>
          <w:color w:val="auto"/>
          <w:highlight w:val="none"/>
          <w:shd w:val="clear" w:color="auto" w:fill="FFFFFF"/>
        </w:rPr>
        <w:t xml:space="preserve">, and </w:t>
      </w:r>
      <w:r>
        <w:rPr>
          <w:rFonts w:hint="eastAsia"/>
          <w:bCs/>
          <w:color w:val="auto"/>
          <w:highlight w:val="none"/>
          <w:shd w:val="clear" w:color="auto" w:fill="FFFFFF"/>
        </w:rPr>
        <w:t>49</w:t>
      </w:r>
      <w:r>
        <w:rPr>
          <w:bCs/>
          <w:color w:val="auto"/>
          <w:highlight w:val="none"/>
          <w:shd w:val="clear" w:color="auto" w:fill="FFFFFF"/>
        </w:rPr>
        <w:t>2</w:t>
      </w:r>
      <w:r>
        <w:rPr>
          <w:rFonts w:hint="eastAsia"/>
          <w:bCs/>
          <w:color w:val="auto"/>
          <w:highlight w:val="none"/>
          <w:shd w:val="clear" w:color="auto" w:fill="FFFFFF"/>
        </w:rPr>
        <w:t xml:space="preserve"> cases were randomly selected from the collected </w:t>
      </w:r>
      <w:r>
        <w:rPr>
          <w:bCs/>
          <w:color w:val="auto"/>
          <w:highlight w:val="none"/>
          <w:shd w:val="clear" w:color="auto" w:fill="FFFFFF"/>
        </w:rPr>
        <w:t>19</w:t>
      </w:r>
      <w:r>
        <w:rPr>
          <w:rFonts w:hint="eastAsia"/>
          <w:bCs/>
          <w:color w:val="auto"/>
          <w:highlight w:val="none"/>
          <w:shd w:val="clear" w:color="auto" w:fill="FFFFFF"/>
        </w:rPr>
        <w:t>4</w:t>
      </w:r>
      <w:r>
        <w:rPr>
          <w:bCs/>
          <w:color w:val="auto"/>
          <w:highlight w:val="none"/>
          <w:shd w:val="clear" w:color="auto" w:fill="FFFFFF"/>
        </w:rPr>
        <w:t>2</w:t>
      </w:r>
      <w:r>
        <w:rPr>
          <w:rFonts w:hint="eastAsia"/>
          <w:bCs/>
          <w:color w:val="auto"/>
          <w:highlight w:val="none"/>
          <w:shd w:val="clear" w:color="auto" w:fill="FFFFFF"/>
        </w:rPr>
        <w:t xml:space="preserve"> eligible </w:t>
      </w:r>
      <w:r>
        <w:rPr>
          <w:bCs/>
          <w:color w:val="auto"/>
          <w:highlight w:val="none"/>
          <w:shd w:val="clear" w:color="auto" w:fill="FFFFFF"/>
        </w:rPr>
        <w:t xml:space="preserve">patients </w:t>
      </w:r>
      <w:r>
        <w:rPr>
          <w:rFonts w:hint="eastAsia"/>
          <w:bCs/>
          <w:color w:val="auto"/>
          <w:highlight w:val="none"/>
          <w:shd w:val="clear" w:color="auto" w:fill="FFFFFF"/>
        </w:rPr>
        <w:t xml:space="preserve">for the training of </w:t>
      </w:r>
      <w:r>
        <w:rPr>
          <w:bCs/>
          <w:color w:val="auto"/>
          <w:highlight w:val="none"/>
          <w:shd w:val="clear" w:color="auto" w:fill="FFFFFF"/>
        </w:rPr>
        <w:t>automated segmentation models of whole livers, Couinaud’s liver segments, hepatic veins, portal veins, and hepatic lesions, respectively</w:t>
      </w:r>
      <w:r>
        <w:rPr>
          <w:rFonts w:hint="eastAsia"/>
          <w:bCs/>
          <w:color w:val="auto"/>
          <w:highlight w:val="none"/>
          <w:shd w:val="clear" w:color="auto" w:fill="FFFFFF"/>
        </w:rPr>
        <w:t xml:space="preserve">. </w:t>
      </w:r>
      <w:r>
        <w:rPr>
          <w:bCs/>
          <w:color w:val="auto"/>
          <w:highlight w:val="none"/>
          <w:shd w:val="clear" w:color="auto" w:fill="FFFFFF"/>
        </w:rPr>
        <w:t>I</w:t>
      </w:r>
      <w:r>
        <w:rPr>
          <w:rFonts w:hint="eastAsia"/>
          <w:bCs/>
          <w:color w:val="auto"/>
          <w:highlight w:val="none"/>
          <w:shd w:val="clear" w:color="auto" w:fill="FFFFFF"/>
        </w:rPr>
        <w:t xml:space="preserve">t was obtained </w:t>
      </w:r>
      <w:r>
        <w:rPr>
          <w:bCs/>
          <w:color w:val="auto"/>
          <w:highlight w:val="none"/>
          <w:shd w:val="clear" w:color="auto" w:fill="FFFFFF"/>
        </w:rPr>
        <w:t>multiple steps from a large cohort of patients with CT data from a previous study (1).</w:t>
      </w:r>
    </w:p>
    <w:p w14:paraId="3F0B24F7">
      <w:pPr>
        <w:spacing w:line="360" w:lineRule="auto"/>
        <w:ind w:firstLine="210" w:firstLineChars="100"/>
        <w:rPr>
          <w:bCs/>
          <w:color w:val="auto"/>
          <w:highlight w:val="none"/>
          <w:shd w:val="clear" w:color="auto" w:fill="FFFFFF"/>
        </w:rPr>
      </w:pPr>
      <w:r>
        <w:rPr>
          <w:rFonts w:hint="eastAsia"/>
          <w:bCs/>
          <w:color w:val="auto"/>
          <w:highlight w:val="none"/>
          <w:shd w:val="clear" w:color="auto" w:fill="FFFFFF"/>
        </w:rPr>
        <w:t>First, we continuously collected the first 307 subjects for the development of</w:t>
      </w:r>
      <w:r>
        <w:rPr>
          <w:rFonts w:hint="eastAsia"/>
          <w:bCs/>
          <w:color w:val="auto"/>
          <w:highlight w:val="none"/>
          <w:shd w:val="clear" w:color="auto" w:fill="FFFFFF"/>
          <w:lang w:val="en-US" w:eastAsia="zh-CN"/>
        </w:rPr>
        <w:t xml:space="preserve"> the</w:t>
      </w:r>
      <w:r>
        <w:rPr>
          <w:rFonts w:hint="eastAsia"/>
          <w:bCs/>
          <w:color w:val="auto"/>
          <w:highlight w:val="none"/>
          <w:shd w:val="clear" w:color="auto" w:fill="FFFFFF"/>
        </w:rPr>
        <w:t xml:space="preserve"> automatic </w:t>
      </w:r>
      <w:r>
        <w:rPr>
          <w:bCs/>
          <w:color w:val="auto"/>
          <w:highlight w:val="none"/>
          <w:shd w:val="clear" w:color="auto" w:fill="FFFFFF"/>
        </w:rPr>
        <w:t>liver</w:t>
      </w:r>
      <w:r>
        <w:rPr>
          <w:rFonts w:hint="eastAsia"/>
          <w:bCs/>
          <w:color w:val="auto"/>
          <w:highlight w:val="none"/>
          <w:shd w:val="clear" w:color="auto" w:fill="FFFFFF"/>
        </w:rPr>
        <w:t xml:space="preserve"> segmentation model. </w:t>
      </w:r>
    </w:p>
    <w:p w14:paraId="2995ECDA">
      <w:pPr>
        <w:spacing w:line="360" w:lineRule="auto"/>
        <w:ind w:firstLine="210" w:firstLineChars="100"/>
        <w:rPr>
          <w:bCs/>
          <w:color w:val="auto"/>
          <w:highlight w:val="none"/>
          <w:shd w:val="clear" w:color="auto" w:fill="FFFFFF"/>
        </w:rPr>
      </w:pPr>
      <w:r>
        <w:rPr>
          <w:rFonts w:hint="eastAsia"/>
          <w:bCs/>
          <w:color w:val="auto"/>
          <w:highlight w:val="none"/>
          <w:shd w:val="clear" w:color="auto" w:fill="FFFFFF"/>
        </w:rPr>
        <w:t>We subsequently collected subjects with healthy livers, fatty livers, and cirrhosis</w:t>
      </w:r>
      <w:r>
        <w:rPr>
          <w:rFonts w:hint="eastAsia"/>
          <w:bCs/>
          <w:color w:val="auto"/>
          <w:highlight w:val="none"/>
          <w:shd w:val="clear" w:color="auto" w:fill="FFFFFF"/>
          <w:lang w:val="en-US" w:eastAsia="zh-CN"/>
        </w:rPr>
        <w:t>. These cases were utilized to</w:t>
      </w:r>
      <w:r>
        <w:rPr>
          <w:rFonts w:hint="eastAsia"/>
          <w:bCs/>
          <w:color w:val="auto"/>
          <w:highlight w:val="none"/>
          <w:shd w:val="clear" w:color="auto" w:fill="FFFFFF"/>
        </w:rPr>
        <w:t xml:space="preserve"> develop</w:t>
      </w:r>
      <w:r>
        <w:rPr>
          <w:rFonts w:hint="eastAsia"/>
          <w:bCs/>
          <w:color w:val="auto"/>
          <w:highlight w:val="none"/>
          <w:shd w:val="clear" w:color="auto" w:fill="FFFFFF"/>
          <w:lang w:val="en-US" w:eastAsia="zh-CN"/>
        </w:rPr>
        <w:t xml:space="preserve"> three distinct segmentation models:</w:t>
      </w:r>
      <w:r>
        <w:rPr>
          <w:rFonts w:hint="eastAsia"/>
          <w:bCs/>
          <w:color w:val="auto"/>
          <w:highlight w:val="none"/>
          <w:shd w:val="clear" w:color="auto" w:fill="FFFFFF"/>
        </w:rPr>
        <w:t xml:space="preserve"> </w:t>
      </w:r>
      <w:r>
        <w:rPr>
          <w:rFonts w:hint="eastAsia"/>
          <w:bCs/>
          <w:color w:val="auto"/>
          <w:highlight w:val="none"/>
          <w:shd w:val="clear" w:color="auto" w:fill="FFFFFF"/>
          <w:lang w:val="en-US" w:eastAsia="zh-CN"/>
        </w:rPr>
        <w:t xml:space="preserve">the </w:t>
      </w:r>
      <w:r>
        <w:rPr>
          <w:bCs/>
          <w:color w:val="auto"/>
          <w:highlight w:val="none"/>
          <w:shd w:val="clear" w:color="auto" w:fill="FFFFFF"/>
        </w:rPr>
        <w:t>Couinaud’s liver segment</w:t>
      </w:r>
      <w:r>
        <w:rPr>
          <w:rFonts w:hint="eastAsia"/>
          <w:bCs/>
          <w:color w:val="auto"/>
          <w:highlight w:val="none"/>
          <w:shd w:val="clear" w:color="auto" w:fill="FFFFFF"/>
          <w:lang w:val="en-US" w:eastAsia="zh-CN"/>
        </w:rPr>
        <w:t>s model</w:t>
      </w:r>
      <w:r>
        <w:rPr>
          <w:bCs/>
          <w:color w:val="auto"/>
          <w:highlight w:val="none"/>
          <w:shd w:val="clear" w:color="auto" w:fill="FFFFFF"/>
        </w:rPr>
        <w:t xml:space="preserve">, </w:t>
      </w:r>
      <w:r>
        <w:rPr>
          <w:rFonts w:hint="eastAsia"/>
          <w:bCs/>
          <w:color w:val="auto"/>
          <w:highlight w:val="none"/>
          <w:shd w:val="clear" w:color="auto" w:fill="FFFFFF"/>
          <w:lang w:val="en-US" w:eastAsia="zh-CN"/>
        </w:rPr>
        <w:t xml:space="preserve">the </w:t>
      </w:r>
      <w:r>
        <w:rPr>
          <w:bCs/>
          <w:color w:val="auto"/>
          <w:highlight w:val="none"/>
          <w:shd w:val="clear" w:color="auto" w:fill="FFFFFF"/>
        </w:rPr>
        <w:t>hepatic vein</w:t>
      </w:r>
      <w:r>
        <w:rPr>
          <w:rFonts w:hint="eastAsia"/>
          <w:bCs/>
          <w:color w:val="auto"/>
          <w:highlight w:val="none"/>
          <w:shd w:val="clear" w:color="auto" w:fill="FFFFFF"/>
          <w:lang w:val="en-US" w:eastAsia="zh-CN"/>
        </w:rPr>
        <w:t>s model,</w:t>
      </w:r>
      <w:r>
        <w:rPr>
          <w:rFonts w:hint="eastAsia"/>
          <w:bCs/>
          <w:color w:val="auto"/>
          <w:highlight w:val="none"/>
          <w:shd w:val="clear" w:color="auto" w:fill="FFFFFF"/>
        </w:rPr>
        <w:t xml:space="preserve"> and</w:t>
      </w:r>
      <w:r>
        <w:rPr>
          <w:bCs/>
          <w:color w:val="auto"/>
          <w:highlight w:val="none"/>
          <w:shd w:val="clear" w:color="auto" w:fill="FFFFFF"/>
        </w:rPr>
        <w:t xml:space="preserve"> </w:t>
      </w:r>
      <w:r>
        <w:rPr>
          <w:rFonts w:hint="eastAsia"/>
          <w:bCs/>
          <w:color w:val="auto"/>
          <w:highlight w:val="none"/>
          <w:shd w:val="clear" w:color="auto" w:fill="FFFFFF"/>
          <w:lang w:val="en-US" w:eastAsia="zh-CN"/>
        </w:rPr>
        <w:t xml:space="preserve">the </w:t>
      </w:r>
      <w:r>
        <w:rPr>
          <w:bCs/>
          <w:color w:val="auto"/>
          <w:highlight w:val="none"/>
          <w:shd w:val="clear" w:color="auto" w:fill="FFFFFF"/>
        </w:rPr>
        <w:t>portal veins</w:t>
      </w:r>
      <w:r>
        <w:rPr>
          <w:rFonts w:hint="eastAsia"/>
          <w:bCs/>
          <w:color w:val="auto"/>
          <w:highlight w:val="none"/>
          <w:shd w:val="clear" w:color="auto" w:fill="FFFFFF"/>
        </w:rPr>
        <w:t xml:space="preserve"> models</w:t>
      </w:r>
      <w:r>
        <w:rPr>
          <w:rFonts w:hint="eastAsia"/>
          <w:bCs/>
          <w:color w:val="auto"/>
          <w:highlight w:val="none"/>
          <w:shd w:val="clear" w:color="auto" w:fill="FFFFFF"/>
          <w:lang w:val="en-US" w:eastAsia="zh-CN"/>
        </w:rPr>
        <w:t>.</w:t>
      </w:r>
      <w:r>
        <w:rPr>
          <w:rFonts w:hint="eastAsia"/>
          <w:bCs/>
          <w:color w:val="auto"/>
          <w:highlight w:val="none"/>
          <w:shd w:val="clear" w:color="auto" w:fill="FFFFFF"/>
        </w:rPr>
        <w:t xml:space="preserve"> </w:t>
      </w:r>
      <w:r>
        <w:rPr>
          <w:rFonts w:hint="eastAsia"/>
          <w:bCs/>
          <w:color w:val="auto"/>
          <w:highlight w:val="none"/>
          <w:shd w:val="clear" w:color="auto" w:fill="FFFFFF"/>
          <w:lang w:val="en-US" w:eastAsia="zh-CN"/>
        </w:rPr>
        <w:t>This approach was adopted because the</w:t>
      </w:r>
      <w:r>
        <w:rPr>
          <w:rFonts w:hint="eastAsia"/>
          <w:bCs/>
          <w:color w:val="auto"/>
          <w:highlight w:val="none"/>
          <w:shd w:val="clear" w:color="auto" w:fill="FFFFFF"/>
        </w:rPr>
        <w:t xml:space="preserve"> hepatic veins and portal veins formed the anatomical boundaries of Couinaud</w:t>
      </w:r>
      <w:r>
        <w:rPr>
          <w:bCs/>
          <w:color w:val="auto"/>
          <w:highlight w:val="none"/>
          <w:shd w:val="clear" w:color="auto" w:fill="FFFFFF"/>
        </w:rPr>
        <w:t>’</w:t>
      </w:r>
      <w:r>
        <w:rPr>
          <w:rFonts w:hint="eastAsia"/>
          <w:bCs/>
          <w:color w:val="auto"/>
          <w:highlight w:val="none"/>
          <w:shd w:val="clear" w:color="auto" w:fill="FFFFFF"/>
        </w:rPr>
        <w:t>s liver segments. W</w:t>
      </w:r>
      <w:r>
        <w:rPr>
          <w:bCs/>
          <w:color w:val="auto"/>
          <w:highlight w:val="none"/>
          <w:shd w:val="clear" w:color="auto" w:fill="FFFFFF"/>
        </w:rPr>
        <w:t xml:space="preserve">e continuously include the first 61 subjects with a </w:t>
      </w:r>
      <w:r>
        <w:rPr>
          <w:rFonts w:hint="eastAsia"/>
          <w:bCs/>
          <w:color w:val="auto"/>
          <w:highlight w:val="none"/>
          <w:shd w:val="clear" w:color="auto" w:fill="FFFFFF"/>
        </w:rPr>
        <w:t>healthy</w:t>
      </w:r>
      <w:r>
        <w:rPr>
          <w:bCs/>
          <w:color w:val="auto"/>
          <w:highlight w:val="none"/>
          <w:shd w:val="clear" w:color="auto" w:fill="FFFFFF"/>
        </w:rPr>
        <w:t xml:space="preserve"> liver who accepted CT scan between January 2018 and March 2019. For 62 subjects with fatty liver, we continuously included the first 20 subjects of mild fatty liver, the </w:t>
      </w:r>
      <w:r>
        <w:rPr>
          <w:rFonts w:hint="eastAsia"/>
          <w:bCs/>
          <w:color w:val="auto"/>
          <w:highlight w:val="none"/>
          <w:shd w:val="clear" w:color="auto" w:fill="FFFFFF"/>
        </w:rPr>
        <w:t>first</w:t>
      </w:r>
      <w:r>
        <w:rPr>
          <w:bCs/>
          <w:color w:val="auto"/>
          <w:highlight w:val="none"/>
          <w:shd w:val="clear" w:color="auto" w:fill="FFFFFF"/>
        </w:rPr>
        <w:t xml:space="preserve"> 20 subjects of moderate fatty liver, and</w:t>
      </w:r>
      <w:r>
        <w:rPr>
          <w:rFonts w:hint="eastAsia"/>
          <w:bCs/>
          <w:color w:val="auto"/>
          <w:highlight w:val="none"/>
          <w:shd w:val="clear" w:color="auto" w:fill="FFFFFF"/>
        </w:rPr>
        <w:t xml:space="preserve"> the first</w:t>
      </w:r>
      <w:r>
        <w:rPr>
          <w:bCs/>
          <w:color w:val="auto"/>
          <w:highlight w:val="none"/>
          <w:shd w:val="clear" w:color="auto" w:fill="FFFFFF"/>
        </w:rPr>
        <w:t xml:space="preserve"> 22 subjects of severe fatty liver</w:t>
      </w:r>
      <w:r>
        <w:rPr>
          <w:rFonts w:hint="eastAsia"/>
          <w:bCs/>
          <w:color w:val="auto"/>
          <w:highlight w:val="none"/>
          <w:shd w:val="clear" w:color="auto" w:fill="FFFFFF"/>
        </w:rPr>
        <w:t xml:space="preserve"> </w:t>
      </w:r>
      <w:r>
        <w:rPr>
          <w:bCs/>
          <w:color w:val="auto"/>
          <w:highlight w:val="none"/>
          <w:shd w:val="clear" w:color="auto" w:fill="FFFFFF"/>
        </w:rPr>
        <w:t xml:space="preserve">who accepted CT scan between January 2018 and March 2019 (2). For 47 subjects with hepatic cirrhosis, we continuously included the first 47 subjects with Child-Pugh Classification of A cirrhosis. </w:t>
      </w:r>
    </w:p>
    <w:p w14:paraId="568950A5">
      <w:pPr>
        <w:spacing w:line="360" w:lineRule="auto"/>
        <w:ind w:firstLine="210" w:firstLineChars="100"/>
        <w:rPr>
          <w:rFonts w:hint="eastAsia"/>
          <w:bCs/>
          <w:color w:val="auto"/>
          <w:highlight w:val="none"/>
          <w:shd w:val="clear" w:color="auto" w:fill="FFFFFF"/>
        </w:rPr>
      </w:pPr>
      <w:r>
        <w:rPr>
          <w:bCs/>
          <w:color w:val="auto"/>
          <w:highlight w:val="none"/>
          <w:shd w:val="clear" w:color="auto" w:fill="FFFFFF"/>
        </w:rPr>
        <w:t>A</w:t>
      </w:r>
      <w:r>
        <w:rPr>
          <w:rFonts w:hint="eastAsia"/>
          <w:bCs/>
          <w:color w:val="auto"/>
          <w:highlight w:val="none"/>
          <w:shd w:val="clear" w:color="auto" w:fill="FFFFFF"/>
        </w:rPr>
        <w:t>t last, we continuously collected the first 492 subjects for the development of automatic hepatic lesion</w:t>
      </w:r>
      <w:r>
        <w:rPr>
          <w:rFonts w:hint="eastAsia"/>
          <w:bCs/>
          <w:color w:val="auto"/>
          <w:highlight w:val="none"/>
          <w:shd w:val="clear" w:color="auto" w:fill="FFFFFF"/>
          <w:lang w:val="en-US" w:eastAsia="zh-CN"/>
        </w:rPr>
        <w:t>s</w:t>
      </w:r>
      <w:r>
        <w:rPr>
          <w:rFonts w:hint="eastAsia"/>
          <w:bCs/>
          <w:color w:val="auto"/>
          <w:highlight w:val="none"/>
          <w:shd w:val="clear" w:color="auto" w:fill="FFFFFF"/>
        </w:rPr>
        <w:t xml:space="preserve"> segmentation model </w:t>
      </w:r>
      <w:r>
        <w:rPr>
          <w:bCs/>
          <w:color w:val="auto"/>
          <w:highlight w:val="none"/>
          <w:shd w:val="clear" w:color="auto" w:fill="FFFFFF"/>
        </w:rPr>
        <w:t xml:space="preserve">(Table </w:t>
      </w:r>
      <w:r>
        <w:rPr>
          <w:rFonts w:hint="eastAsia"/>
          <w:bCs/>
          <w:color w:val="auto"/>
          <w:highlight w:val="none"/>
          <w:shd w:val="clear" w:color="auto" w:fill="FFFFFF"/>
        </w:rPr>
        <w:t>S</w:t>
      </w:r>
      <w:r>
        <w:rPr>
          <w:rFonts w:hint="eastAsia"/>
          <w:bCs/>
          <w:color w:val="auto"/>
          <w:highlight w:val="none"/>
          <w:shd w:val="clear" w:color="auto" w:fill="FFFFFF"/>
          <w:lang w:val="en-US" w:eastAsia="zh-CN"/>
        </w:rPr>
        <w:t>2</w:t>
      </w:r>
      <w:r>
        <w:rPr>
          <w:bCs/>
          <w:color w:val="auto"/>
          <w:highlight w:val="none"/>
          <w:shd w:val="clear" w:color="auto" w:fill="FFFFFF"/>
        </w:rPr>
        <w:t>)</w:t>
      </w:r>
      <w:r>
        <w:rPr>
          <w:bCs/>
          <w:color w:val="auto"/>
          <w:highlight w:val="none"/>
          <w:shd w:val="clear" w:color="auto" w:fill="FFFFFF"/>
        </w:rPr>
        <w:t>.</w:t>
      </w:r>
      <w:r>
        <w:rPr>
          <w:rFonts w:hint="eastAsia"/>
          <w:bCs/>
          <w:color w:val="auto"/>
          <w:highlight w:val="none"/>
          <w:shd w:val="clear" w:color="auto" w:fill="FFFFFF"/>
        </w:rPr>
        <w:t xml:space="preserve"> </w:t>
      </w:r>
    </w:p>
    <w:p w14:paraId="7EC95CD8">
      <w:pPr>
        <w:spacing w:line="360" w:lineRule="auto"/>
        <w:ind w:firstLine="210" w:firstLineChars="100"/>
        <w:rPr>
          <w:bCs/>
          <w:color w:val="auto"/>
          <w:highlight w:val="none"/>
          <w:shd w:val="clear" w:color="auto" w:fill="FFFFFF"/>
        </w:rPr>
      </w:pPr>
      <w:r>
        <w:rPr>
          <w:rFonts w:hint="eastAsia"/>
          <w:bCs/>
          <w:color w:val="auto"/>
          <w:highlight w:val="none"/>
          <w:shd w:val="clear" w:color="auto" w:fill="FFFFFF"/>
        </w:rPr>
        <w:t xml:space="preserve">Training datasets were employed for model training, validating, and internal testing, with a ratio of 8:1:1. </w:t>
      </w:r>
      <w:r>
        <w:rPr>
          <w:bCs/>
          <w:color w:val="auto"/>
          <w:highlight w:val="none"/>
          <w:shd w:val="clear" w:color="auto" w:fill="FFFFFF"/>
        </w:rPr>
        <w:t xml:space="preserve">To develop a robust </w:t>
      </w:r>
      <w:r>
        <w:rPr>
          <w:rFonts w:hint="eastAsia"/>
          <w:bCs/>
          <w:color w:val="auto"/>
          <w:highlight w:val="none"/>
          <w:shd w:val="clear" w:color="auto" w:fill="FFFFFF"/>
          <w:lang w:eastAsia="zh-CN"/>
        </w:rPr>
        <w:t>DL-FLRVS</w:t>
      </w:r>
      <w:r>
        <w:rPr>
          <w:bCs/>
          <w:color w:val="auto"/>
          <w:highlight w:val="none"/>
          <w:shd w:val="clear" w:color="auto" w:fill="FFFFFF"/>
        </w:rPr>
        <w:t xml:space="preserve"> </w:t>
      </w:r>
      <w:r>
        <w:rPr>
          <w:bCs/>
          <w:color w:val="auto"/>
          <w:highlight w:val="none"/>
        </w:rPr>
        <w:t xml:space="preserve">that </w:t>
      </w:r>
      <w:r>
        <w:rPr>
          <w:rFonts w:hint="eastAsia"/>
          <w:bCs/>
          <w:color w:val="auto"/>
          <w:highlight w:val="none"/>
        </w:rPr>
        <w:t>could</w:t>
      </w:r>
      <w:r>
        <w:rPr>
          <w:bCs/>
          <w:color w:val="auto"/>
          <w:highlight w:val="none"/>
          <w:shd w:val="clear" w:color="auto" w:fill="FFFFFF"/>
        </w:rPr>
        <w:t xml:space="preserve"> be </w:t>
      </w:r>
      <w:r>
        <w:rPr>
          <w:rFonts w:hint="eastAsia"/>
          <w:bCs/>
          <w:color w:val="auto"/>
          <w:highlight w:val="none"/>
          <w:shd w:val="clear" w:color="auto" w:fill="FFFFFF"/>
        </w:rPr>
        <w:t>applied</w:t>
      </w:r>
      <w:r>
        <w:rPr>
          <w:bCs/>
          <w:color w:val="auto"/>
          <w:highlight w:val="none"/>
          <w:shd w:val="clear" w:color="auto" w:fill="FFFFFF"/>
        </w:rPr>
        <w:t xml:space="preserve"> in clinical practice, CT images obtained by various CT </w:t>
      </w:r>
      <w:r>
        <w:rPr>
          <w:bCs/>
          <w:color w:val="auto"/>
          <w:highlight w:val="none"/>
        </w:rPr>
        <w:t>manufacturers</w:t>
      </w:r>
      <w:r>
        <w:rPr>
          <w:bCs/>
          <w:color w:val="auto"/>
          <w:highlight w:val="none"/>
          <w:shd w:val="clear" w:color="auto" w:fill="FFFFFF"/>
        </w:rPr>
        <w:t xml:space="preserve"> and extracted from different liver conditions were included. </w:t>
      </w:r>
    </w:p>
    <w:p w14:paraId="0DFBCFEB">
      <w:pPr>
        <w:spacing w:line="360" w:lineRule="auto"/>
        <w:rPr>
          <w:b/>
          <w:bCs/>
          <w:color w:val="auto"/>
          <w:sz w:val="24"/>
          <w:szCs w:val="24"/>
          <w:highlight w:val="none"/>
        </w:rPr>
      </w:pPr>
      <w:r>
        <w:rPr>
          <w:b/>
          <w:bCs/>
          <w:color w:val="auto"/>
          <w:sz w:val="24"/>
          <w:szCs w:val="24"/>
          <w:highlight w:val="none"/>
        </w:rPr>
        <w:t xml:space="preserve"> </w:t>
      </w:r>
    </w:p>
    <w:p w14:paraId="1064312E">
      <w:pPr>
        <w:spacing w:line="360" w:lineRule="auto"/>
        <w:rPr>
          <w:b/>
          <w:bCs/>
          <w:color w:val="auto"/>
          <w:highlight w:val="none"/>
        </w:rPr>
      </w:pPr>
      <w:r>
        <w:rPr>
          <w:b/>
          <w:bCs/>
          <w:color w:val="auto"/>
          <w:highlight w:val="none"/>
        </w:rPr>
        <w:t xml:space="preserve">Table </w:t>
      </w:r>
      <w:r>
        <w:rPr>
          <w:rFonts w:hint="eastAsia"/>
          <w:b/>
          <w:bCs/>
          <w:color w:val="auto"/>
          <w:highlight w:val="none"/>
        </w:rPr>
        <w:t>S</w:t>
      </w:r>
      <w:r>
        <w:rPr>
          <w:rFonts w:hint="eastAsia"/>
          <w:b/>
          <w:bCs/>
          <w:color w:val="auto"/>
          <w:highlight w:val="none"/>
          <w:lang w:val="en-US" w:eastAsia="zh-CN"/>
        </w:rPr>
        <w:t>2</w:t>
      </w:r>
      <w:r>
        <w:rPr>
          <w:b/>
          <w:bCs/>
          <w:color w:val="auto"/>
          <w:highlight w:val="none"/>
        </w:rPr>
        <w:t>. Characteristics of the datasets used for the development of deep learning (DL) models in the segmentation of livers, Couinaud’s segments, hepatic veins, portal veins</w:t>
      </w:r>
      <w:r>
        <w:rPr>
          <w:rFonts w:hint="eastAsia"/>
          <w:b/>
          <w:bCs/>
          <w:color w:val="auto"/>
          <w:highlight w:val="none"/>
        </w:rPr>
        <w:t>,</w:t>
      </w:r>
      <w:r>
        <w:rPr>
          <w:b/>
          <w:bCs/>
          <w:color w:val="auto"/>
          <w:highlight w:val="none"/>
        </w:rPr>
        <w:t xml:space="preserve"> and hepatic lesions.</w:t>
      </w:r>
    </w:p>
    <w:tbl>
      <w:tblPr>
        <w:tblStyle w:val="9"/>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974"/>
        <w:gridCol w:w="1253"/>
        <w:gridCol w:w="1216"/>
        <w:gridCol w:w="1096"/>
        <w:gridCol w:w="1886"/>
      </w:tblGrid>
      <w:tr w14:paraId="4DD9686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nil"/>
              <w:bottom w:val="single" w:color="auto" w:sz="4" w:space="0"/>
              <w:right w:val="nil"/>
            </w:tcBorders>
          </w:tcPr>
          <w:p w14:paraId="6EBF7E23">
            <w:pPr>
              <w:spacing w:line="360" w:lineRule="auto"/>
              <w:rPr>
                <w:color w:val="auto"/>
                <w:sz w:val="18"/>
                <w:szCs w:val="18"/>
                <w:highlight w:val="none"/>
              </w:rPr>
            </w:pPr>
            <w:r>
              <w:rPr>
                <w:b/>
                <w:bCs/>
                <w:color w:val="auto"/>
                <w:highlight w:val="none"/>
              </w:rPr>
              <w:t>Parameters</w:t>
            </w:r>
          </w:p>
        </w:tc>
        <w:tc>
          <w:tcPr>
            <w:tcW w:w="974" w:type="dxa"/>
            <w:tcBorders>
              <w:top w:val="single" w:color="auto" w:sz="4" w:space="0"/>
              <w:left w:val="nil"/>
              <w:bottom w:val="single" w:color="auto" w:sz="4" w:space="0"/>
              <w:right w:val="nil"/>
            </w:tcBorders>
          </w:tcPr>
          <w:p w14:paraId="4356E90B">
            <w:pPr>
              <w:spacing w:line="360" w:lineRule="auto"/>
              <w:jc w:val="center"/>
              <w:rPr>
                <w:b/>
                <w:bCs/>
                <w:color w:val="auto"/>
                <w:sz w:val="18"/>
                <w:szCs w:val="18"/>
                <w:highlight w:val="none"/>
              </w:rPr>
            </w:pPr>
            <w:r>
              <w:rPr>
                <w:b/>
                <w:bCs/>
                <w:color w:val="auto"/>
                <w:sz w:val="18"/>
                <w:szCs w:val="18"/>
                <w:highlight w:val="none"/>
              </w:rPr>
              <w:t>Liver model</w:t>
            </w:r>
          </w:p>
        </w:tc>
        <w:tc>
          <w:tcPr>
            <w:tcW w:w="1253" w:type="dxa"/>
            <w:tcBorders>
              <w:top w:val="single" w:color="auto" w:sz="4" w:space="0"/>
              <w:left w:val="nil"/>
              <w:bottom w:val="single" w:color="auto" w:sz="4" w:space="0"/>
              <w:right w:val="nil"/>
            </w:tcBorders>
          </w:tcPr>
          <w:p w14:paraId="78372D39">
            <w:pPr>
              <w:spacing w:line="360" w:lineRule="auto"/>
              <w:jc w:val="center"/>
              <w:rPr>
                <w:b/>
                <w:bCs/>
                <w:color w:val="auto"/>
                <w:sz w:val="18"/>
                <w:szCs w:val="18"/>
                <w:highlight w:val="none"/>
              </w:rPr>
            </w:pPr>
            <w:r>
              <w:rPr>
                <w:b/>
                <w:bCs/>
                <w:color w:val="auto"/>
                <w:sz w:val="18"/>
                <w:szCs w:val="18"/>
                <w:highlight w:val="none"/>
              </w:rPr>
              <w:t>Couinaud's segments model</w:t>
            </w:r>
          </w:p>
        </w:tc>
        <w:tc>
          <w:tcPr>
            <w:tcW w:w="0" w:type="auto"/>
            <w:tcBorders>
              <w:top w:val="single" w:color="auto" w:sz="4" w:space="0"/>
              <w:left w:val="nil"/>
              <w:bottom w:val="single" w:color="auto" w:sz="4" w:space="0"/>
              <w:right w:val="nil"/>
            </w:tcBorders>
          </w:tcPr>
          <w:p w14:paraId="77CEE8ED">
            <w:pPr>
              <w:spacing w:line="360" w:lineRule="auto"/>
              <w:jc w:val="center"/>
              <w:rPr>
                <w:b/>
                <w:bCs/>
                <w:color w:val="auto"/>
                <w:sz w:val="18"/>
                <w:szCs w:val="18"/>
                <w:highlight w:val="none"/>
              </w:rPr>
            </w:pPr>
            <w:r>
              <w:rPr>
                <w:b/>
                <w:bCs/>
                <w:color w:val="auto"/>
                <w:sz w:val="18"/>
                <w:szCs w:val="18"/>
                <w:highlight w:val="none"/>
              </w:rPr>
              <w:t>Hepatic veins model</w:t>
            </w:r>
          </w:p>
        </w:tc>
        <w:tc>
          <w:tcPr>
            <w:tcW w:w="0" w:type="auto"/>
            <w:tcBorders>
              <w:top w:val="single" w:color="auto" w:sz="4" w:space="0"/>
              <w:left w:val="nil"/>
              <w:bottom w:val="single" w:color="auto" w:sz="4" w:space="0"/>
              <w:right w:val="nil"/>
            </w:tcBorders>
          </w:tcPr>
          <w:p w14:paraId="57CACACD">
            <w:pPr>
              <w:spacing w:line="360" w:lineRule="auto"/>
              <w:jc w:val="center"/>
              <w:rPr>
                <w:b/>
                <w:bCs/>
                <w:color w:val="auto"/>
                <w:sz w:val="18"/>
                <w:szCs w:val="18"/>
                <w:highlight w:val="none"/>
              </w:rPr>
            </w:pPr>
            <w:r>
              <w:rPr>
                <w:b/>
                <w:bCs/>
                <w:color w:val="auto"/>
                <w:sz w:val="18"/>
                <w:szCs w:val="18"/>
                <w:highlight w:val="none"/>
              </w:rPr>
              <w:t>Portal veins model</w:t>
            </w:r>
          </w:p>
        </w:tc>
        <w:tc>
          <w:tcPr>
            <w:tcW w:w="0" w:type="auto"/>
            <w:tcBorders>
              <w:top w:val="single" w:color="auto" w:sz="4" w:space="0"/>
              <w:left w:val="nil"/>
              <w:bottom w:val="single" w:color="auto" w:sz="4" w:space="0"/>
              <w:right w:val="nil"/>
            </w:tcBorders>
          </w:tcPr>
          <w:p w14:paraId="19D2FA4F">
            <w:pPr>
              <w:spacing w:line="360" w:lineRule="auto"/>
              <w:jc w:val="center"/>
              <w:rPr>
                <w:b/>
                <w:bCs/>
                <w:color w:val="auto"/>
                <w:sz w:val="18"/>
                <w:szCs w:val="18"/>
                <w:highlight w:val="none"/>
              </w:rPr>
            </w:pPr>
            <w:r>
              <w:rPr>
                <w:b/>
                <w:bCs/>
                <w:color w:val="auto"/>
                <w:sz w:val="18"/>
                <w:szCs w:val="18"/>
                <w:highlight w:val="none"/>
              </w:rPr>
              <w:t>Hepatic lesions model</w:t>
            </w:r>
          </w:p>
        </w:tc>
      </w:tr>
      <w:tr w14:paraId="66B1BA9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tcPr>
          <w:p w14:paraId="288686F1">
            <w:pPr>
              <w:spacing w:line="360" w:lineRule="auto"/>
              <w:rPr>
                <w:b/>
                <w:bCs/>
                <w:i/>
                <w:iCs/>
                <w:color w:val="auto"/>
                <w:sz w:val="18"/>
                <w:szCs w:val="18"/>
                <w:highlight w:val="none"/>
              </w:rPr>
            </w:pPr>
            <w:r>
              <w:rPr>
                <w:b/>
                <w:bCs/>
                <w:i/>
                <w:iCs/>
                <w:color w:val="auto"/>
                <w:sz w:val="18"/>
                <w:szCs w:val="18"/>
                <w:highlight w:val="none"/>
              </w:rPr>
              <w:t>Cohort (Patients)</w:t>
            </w:r>
          </w:p>
        </w:tc>
        <w:tc>
          <w:tcPr>
            <w:tcW w:w="974" w:type="dxa"/>
            <w:tcBorders>
              <w:top w:val="nil"/>
              <w:left w:val="nil"/>
              <w:bottom w:val="nil"/>
              <w:right w:val="nil"/>
            </w:tcBorders>
          </w:tcPr>
          <w:p w14:paraId="4BF39162">
            <w:pPr>
              <w:spacing w:line="360" w:lineRule="auto"/>
              <w:jc w:val="center"/>
              <w:rPr>
                <w:color w:val="auto"/>
                <w:sz w:val="18"/>
                <w:szCs w:val="18"/>
                <w:highlight w:val="none"/>
              </w:rPr>
            </w:pPr>
          </w:p>
        </w:tc>
        <w:tc>
          <w:tcPr>
            <w:tcW w:w="1253" w:type="dxa"/>
            <w:tcBorders>
              <w:top w:val="nil"/>
              <w:left w:val="nil"/>
              <w:bottom w:val="nil"/>
              <w:right w:val="nil"/>
            </w:tcBorders>
          </w:tcPr>
          <w:p w14:paraId="5A1D4187">
            <w:pPr>
              <w:spacing w:line="360" w:lineRule="auto"/>
              <w:jc w:val="center"/>
              <w:rPr>
                <w:color w:val="auto"/>
                <w:sz w:val="18"/>
                <w:szCs w:val="18"/>
                <w:highlight w:val="none"/>
              </w:rPr>
            </w:pPr>
          </w:p>
        </w:tc>
        <w:tc>
          <w:tcPr>
            <w:tcW w:w="0" w:type="auto"/>
            <w:tcBorders>
              <w:top w:val="nil"/>
              <w:left w:val="nil"/>
              <w:bottom w:val="nil"/>
              <w:right w:val="nil"/>
            </w:tcBorders>
          </w:tcPr>
          <w:p w14:paraId="2F67CB95">
            <w:pPr>
              <w:spacing w:line="360" w:lineRule="auto"/>
              <w:jc w:val="center"/>
              <w:rPr>
                <w:color w:val="auto"/>
                <w:sz w:val="18"/>
                <w:szCs w:val="18"/>
                <w:highlight w:val="none"/>
              </w:rPr>
            </w:pPr>
          </w:p>
        </w:tc>
        <w:tc>
          <w:tcPr>
            <w:tcW w:w="0" w:type="auto"/>
            <w:tcBorders>
              <w:top w:val="nil"/>
              <w:left w:val="nil"/>
              <w:bottom w:val="nil"/>
              <w:right w:val="nil"/>
            </w:tcBorders>
          </w:tcPr>
          <w:p w14:paraId="3BF9F06A">
            <w:pPr>
              <w:spacing w:line="360" w:lineRule="auto"/>
              <w:jc w:val="center"/>
              <w:rPr>
                <w:color w:val="auto"/>
                <w:sz w:val="18"/>
                <w:szCs w:val="18"/>
                <w:highlight w:val="none"/>
              </w:rPr>
            </w:pPr>
          </w:p>
        </w:tc>
        <w:tc>
          <w:tcPr>
            <w:tcW w:w="0" w:type="auto"/>
            <w:tcBorders>
              <w:top w:val="nil"/>
              <w:left w:val="nil"/>
              <w:bottom w:val="nil"/>
              <w:right w:val="nil"/>
            </w:tcBorders>
          </w:tcPr>
          <w:p w14:paraId="7E88F1D0">
            <w:pPr>
              <w:spacing w:line="360" w:lineRule="auto"/>
              <w:jc w:val="center"/>
              <w:rPr>
                <w:color w:val="auto"/>
                <w:sz w:val="18"/>
                <w:szCs w:val="18"/>
                <w:highlight w:val="none"/>
              </w:rPr>
            </w:pPr>
          </w:p>
        </w:tc>
      </w:tr>
      <w:tr w14:paraId="6918A7A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tcPr>
          <w:p w14:paraId="4B4F05D9">
            <w:pPr>
              <w:spacing w:line="360" w:lineRule="auto"/>
              <w:rPr>
                <w:color w:val="auto"/>
                <w:sz w:val="18"/>
                <w:szCs w:val="18"/>
                <w:highlight w:val="none"/>
              </w:rPr>
            </w:pPr>
            <w:r>
              <w:rPr>
                <w:color w:val="auto"/>
                <w:sz w:val="18"/>
                <w:szCs w:val="18"/>
                <w:highlight w:val="none"/>
              </w:rPr>
              <w:t xml:space="preserve">    Train</w:t>
            </w:r>
          </w:p>
        </w:tc>
        <w:tc>
          <w:tcPr>
            <w:tcW w:w="974" w:type="dxa"/>
            <w:tcBorders>
              <w:top w:val="nil"/>
              <w:left w:val="nil"/>
              <w:bottom w:val="nil"/>
              <w:right w:val="nil"/>
            </w:tcBorders>
          </w:tcPr>
          <w:p w14:paraId="31A02003">
            <w:pPr>
              <w:spacing w:line="360" w:lineRule="auto"/>
              <w:jc w:val="center"/>
              <w:rPr>
                <w:color w:val="auto"/>
                <w:sz w:val="18"/>
                <w:szCs w:val="18"/>
                <w:highlight w:val="none"/>
              </w:rPr>
            </w:pPr>
            <w:r>
              <w:rPr>
                <w:rFonts w:hint="eastAsia"/>
                <w:color w:val="auto"/>
                <w:sz w:val="18"/>
                <w:szCs w:val="18"/>
                <w:highlight w:val="none"/>
              </w:rPr>
              <w:t>246</w:t>
            </w:r>
          </w:p>
        </w:tc>
        <w:tc>
          <w:tcPr>
            <w:tcW w:w="1253" w:type="dxa"/>
            <w:tcBorders>
              <w:top w:val="nil"/>
              <w:left w:val="nil"/>
              <w:bottom w:val="nil"/>
              <w:right w:val="nil"/>
            </w:tcBorders>
          </w:tcPr>
          <w:p w14:paraId="66F8E62F">
            <w:pPr>
              <w:spacing w:line="360" w:lineRule="auto"/>
              <w:jc w:val="center"/>
              <w:rPr>
                <w:color w:val="auto"/>
                <w:sz w:val="18"/>
                <w:szCs w:val="18"/>
                <w:highlight w:val="none"/>
              </w:rPr>
            </w:pPr>
            <w:r>
              <w:rPr>
                <w:color w:val="auto"/>
                <w:sz w:val="18"/>
                <w:szCs w:val="18"/>
                <w:highlight w:val="none"/>
              </w:rPr>
              <w:t>1</w:t>
            </w:r>
            <w:r>
              <w:rPr>
                <w:rFonts w:hint="eastAsia"/>
                <w:color w:val="auto"/>
                <w:sz w:val="18"/>
                <w:szCs w:val="18"/>
                <w:highlight w:val="none"/>
              </w:rPr>
              <w:t>36</w:t>
            </w:r>
          </w:p>
        </w:tc>
        <w:tc>
          <w:tcPr>
            <w:tcW w:w="1216" w:type="dxa"/>
            <w:tcBorders>
              <w:top w:val="nil"/>
              <w:left w:val="nil"/>
              <w:bottom w:val="nil"/>
              <w:right w:val="nil"/>
            </w:tcBorders>
          </w:tcPr>
          <w:p w14:paraId="75A383C5">
            <w:pPr>
              <w:spacing w:line="360" w:lineRule="auto"/>
              <w:jc w:val="center"/>
              <w:rPr>
                <w:color w:val="auto"/>
                <w:sz w:val="18"/>
                <w:szCs w:val="18"/>
                <w:highlight w:val="none"/>
              </w:rPr>
            </w:pPr>
            <w:r>
              <w:rPr>
                <w:color w:val="auto"/>
                <w:sz w:val="18"/>
                <w:szCs w:val="18"/>
                <w:highlight w:val="none"/>
              </w:rPr>
              <w:t>1</w:t>
            </w:r>
            <w:r>
              <w:rPr>
                <w:rFonts w:hint="eastAsia"/>
                <w:color w:val="auto"/>
                <w:sz w:val="18"/>
                <w:szCs w:val="18"/>
                <w:highlight w:val="none"/>
              </w:rPr>
              <w:t>36</w:t>
            </w:r>
          </w:p>
        </w:tc>
        <w:tc>
          <w:tcPr>
            <w:tcW w:w="1096" w:type="dxa"/>
            <w:tcBorders>
              <w:top w:val="nil"/>
              <w:left w:val="nil"/>
              <w:bottom w:val="nil"/>
              <w:right w:val="nil"/>
            </w:tcBorders>
          </w:tcPr>
          <w:p w14:paraId="1D030F95">
            <w:pPr>
              <w:spacing w:line="360" w:lineRule="auto"/>
              <w:jc w:val="center"/>
              <w:rPr>
                <w:color w:val="auto"/>
                <w:sz w:val="18"/>
                <w:szCs w:val="18"/>
                <w:highlight w:val="none"/>
              </w:rPr>
            </w:pPr>
            <w:r>
              <w:rPr>
                <w:color w:val="auto"/>
                <w:sz w:val="18"/>
                <w:szCs w:val="18"/>
                <w:highlight w:val="none"/>
              </w:rPr>
              <w:t>1</w:t>
            </w:r>
            <w:r>
              <w:rPr>
                <w:rFonts w:hint="eastAsia"/>
                <w:color w:val="auto"/>
                <w:sz w:val="18"/>
                <w:szCs w:val="18"/>
                <w:highlight w:val="none"/>
              </w:rPr>
              <w:t>36</w:t>
            </w:r>
          </w:p>
        </w:tc>
        <w:tc>
          <w:tcPr>
            <w:tcW w:w="0" w:type="auto"/>
            <w:tcBorders>
              <w:top w:val="nil"/>
              <w:left w:val="nil"/>
              <w:bottom w:val="nil"/>
              <w:right w:val="nil"/>
            </w:tcBorders>
          </w:tcPr>
          <w:p w14:paraId="19799A14">
            <w:pPr>
              <w:spacing w:line="360" w:lineRule="auto"/>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394</w:t>
            </w:r>
          </w:p>
        </w:tc>
      </w:tr>
      <w:tr w14:paraId="694ED1C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0" w:type="auto"/>
            <w:tcBorders>
              <w:top w:val="nil"/>
              <w:left w:val="nil"/>
              <w:bottom w:val="nil"/>
              <w:right w:val="nil"/>
            </w:tcBorders>
          </w:tcPr>
          <w:p w14:paraId="5699778B">
            <w:pPr>
              <w:spacing w:line="360" w:lineRule="auto"/>
              <w:rPr>
                <w:rFonts w:hint="default" w:eastAsia="宋体"/>
                <w:color w:val="auto"/>
                <w:sz w:val="18"/>
                <w:szCs w:val="18"/>
                <w:highlight w:val="none"/>
                <w:lang w:val="en-US" w:eastAsia="zh-CN"/>
              </w:rPr>
            </w:pPr>
            <w:r>
              <w:rPr>
                <w:rFonts w:hint="eastAsia"/>
                <w:color w:val="auto"/>
                <w:sz w:val="18"/>
                <w:szCs w:val="18"/>
                <w:highlight w:val="none"/>
                <w:lang w:val="en-US" w:eastAsia="zh-CN"/>
              </w:rPr>
              <w:t xml:space="preserve">    Validation</w:t>
            </w:r>
          </w:p>
        </w:tc>
        <w:tc>
          <w:tcPr>
            <w:tcW w:w="974" w:type="dxa"/>
            <w:tcBorders>
              <w:top w:val="nil"/>
              <w:left w:val="nil"/>
              <w:bottom w:val="nil"/>
              <w:right w:val="nil"/>
            </w:tcBorders>
          </w:tcPr>
          <w:p w14:paraId="4348BD19">
            <w:pPr>
              <w:spacing w:line="360" w:lineRule="auto"/>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30</w:t>
            </w:r>
          </w:p>
        </w:tc>
        <w:tc>
          <w:tcPr>
            <w:tcW w:w="1253" w:type="dxa"/>
            <w:tcBorders>
              <w:top w:val="nil"/>
              <w:left w:val="nil"/>
              <w:bottom w:val="nil"/>
              <w:right w:val="nil"/>
            </w:tcBorders>
          </w:tcPr>
          <w:p w14:paraId="6232D257">
            <w:pPr>
              <w:spacing w:line="360" w:lineRule="auto"/>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17</w:t>
            </w:r>
          </w:p>
        </w:tc>
        <w:tc>
          <w:tcPr>
            <w:tcW w:w="1216" w:type="dxa"/>
            <w:tcBorders>
              <w:top w:val="nil"/>
              <w:left w:val="nil"/>
              <w:bottom w:val="nil"/>
              <w:right w:val="nil"/>
            </w:tcBorders>
          </w:tcPr>
          <w:p w14:paraId="3394A99F">
            <w:pPr>
              <w:spacing w:line="360" w:lineRule="auto"/>
              <w:jc w:val="center"/>
              <w:rPr>
                <w:color w:val="auto"/>
                <w:sz w:val="18"/>
                <w:szCs w:val="18"/>
                <w:highlight w:val="none"/>
              </w:rPr>
            </w:pPr>
            <w:r>
              <w:rPr>
                <w:rFonts w:hint="eastAsia"/>
                <w:color w:val="auto"/>
                <w:sz w:val="18"/>
                <w:szCs w:val="18"/>
                <w:highlight w:val="none"/>
                <w:lang w:val="en-US" w:eastAsia="zh-CN"/>
              </w:rPr>
              <w:t>17</w:t>
            </w:r>
          </w:p>
        </w:tc>
        <w:tc>
          <w:tcPr>
            <w:tcW w:w="1096" w:type="dxa"/>
            <w:tcBorders>
              <w:top w:val="nil"/>
              <w:left w:val="nil"/>
              <w:bottom w:val="nil"/>
              <w:right w:val="nil"/>
            </w:tcBorders>
          </w:tcPr>
          <w:p w14:paraId="5E15D9D6">
            <w:pPr>
              <w:spacing w:line="360" w:lineRule="auto"/>
              <w:jc w:val="center"/>
              <w:rPr>
                <w:color w:val="auto"/>
                <w:sz w:val="18"/>
                <w:szCs w:val="18"/>
                <w:highlight w:val="none"/>
              </w:rPr>
            </w:pPr>
            <w:r>
              <w:rPr>
                <w:rFonts w:hint="eastAsia"/>
                <w:color w:val="auto"/>
                <w:sz w:val="18"/>
                <w:szCs w:val="18"/>
                <w:highlight w:val="none"/>
                <w:lang w:val="en-US" w:eastAsia="zh-CN"/>
              </w:rPr>
              <w:t>17</w:t>
            </w:r>
          </w:p>
        </w:tc>
        <w:tc>
          <w:tcPr>
            <w:tcW w:w="0" w:type="auto"/>
            <w:tcBorders>
              <w:top w:val="nil"/>
              <w:left w:val="nil"/>
              <w:bottom w:val="nil"/>
              <w:right w:val="nil"/>
            </w:tcBorders>
          </w:tcPr>
          <w:p w14:paraId="0D9EE271">
            <w:pPr>
              <w:spacing w:line="360" w:lineRule="auto"/>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49</w:t>
            </w:r>
          </w:p>
        </w:tc>
      </w:tr>
      <w:tr w14:paraId="537BFB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0" w:type="auto"/>
            <w:tcBorders>
              <w:top w:val="nil"/>
              <w:left w:val="nil"/>
              <w:bottom w:val="nil"/>
              <w:right w:val="nil"/>
            </w:tcBorders>
          </w:tcPr>
          <w:p w14:paraId="71E4F9A6">
            <w:pPr>
              <w:spacing w:line="360" w:lineRule="auto"/>
              <w:rPr>
                <w:color w:val="auto"/>
                <w:sz w:val="18"/>
                <w:szCs w:val="18"/>
                <w:highlight w:val="none"/>
              </w:rPr>
            </w:pPr>
            <w:r>
              <w:rPr>
                <w:color w:val="auto"/>
                <w:sz w:val="18"/>
                <w:szCs w:val="18"/>
                <w:highlight w:val="none"/>
              </w:rPr>
              <w:t xml:space="preserve">    </w:t>
            </w:r>
            <w:r>
              <w:rPr>
                <w:rFonts w:hint="eastAsia"/>
                <w:color w:val="auto"/>
                <w:sz w:val="18"/>
                <w:szCs w:val="18"/>
                <w:highlight w:val="none"/>
              </w:rPr>
              <w:t>Internal testing</w:t>
            </w:r>
          </w:p>
        </w:tc>
        <w:tc>
          <w:tcPr>
            <w:tcW w:w="974" w:type="dxa"/>
            <w:tcBorders>
              <w:top w:val="nil"/>
              <w:left w:val="nil"/>
              <w:bottom w:val="nil"/>
              <w:right w:val="nil"/>
            </w:tcBorders>
          </w:tcPr>
          <w:p w14:paraId="784A4DC9">
            <w:pPr>
              <w:spacing w:line="360" w:lineRule="auto"/>
              <w:jc w:val="center"/>
              <w:rPr>
                <w:color w:val="auto"/>
                <w:sz w:val="18"/>
                <w:szCs w:val="18"/>
                <w:highlight w:val="none"/>
              </w:rPr>
            </w:pPr>
            <w:r>
              <w:rPr>
                <w:rFonts w:hint="eastAsia"/>
                <w:color w:val="auto"/>
                <w:sz w:val="18"/>
                <w:szCs w:val="18"/>
                <w:highlight w:val="none"/>
              </w:rPr>
              <w:t>31</w:t>
            </w:r>
          </w:p>
        </w:tc>
        <w:tc>
          <w:tcPr>
            <w:tcW w:w="1253" w:type="dxa"/>
            <w:tcBorders>
              <w:top w:val="nil"/>
              <w:left w:val="nil"/>
              <w:bottom w:val="nil"/>
              <w:right w:val="nil"/>
            </w:tcBorders>
          </w:tcPr>
          <w:p w14:paraId="55971B38">
            <w:pPr>
              <w:spacing w:line="360" w:lineRule="auto"/>
              <w:jc w:val="center"/>
              <w:rPr>
                <w:color w:val="auto"/>
                <w:sz w:val="18"/>
                <w:szCs w:val="18"/>
                <w:highlight w:val="none"/>
              </w:rPr>
            </w:pPr>
            <w:r>
              <w:rPr>
                <w:color w:val="auto"/>
                <w:sz w:val="18"/>
                <w:szCs w:val="18"/>
                <w:highlight w:val="none"/>
              </w:rPr>
              <w:t>1</w:t>
            </w:r>
            <w:r>
              <w:rPr>
                <w:rFonts w:hint="eastAsia"/>
                <w:color w:val="auto"/>
                <w:sz w:val="18"/>
                <w:szCs w:val="18"/>
                <w:highlight w:val="none"/>
              </w:rPr>
              <w:t>7</w:t>
            </w:r>
          </w:p>
        </w:tc>
        <w:tc>
          <w:tcPr>
            <w:tcW w:w="1216" w:type="dxa"/>
            <w:tcBorders>
              <w:top w:val="nil"/>
              <w:left w:val="nil"/>
              <w:bottom w:val="nil"/>
              <w:right w:val="nil"/>
            </w:tcBorders>
          </w:tcPr>
          <w:p w14:paraId="20FC0F48">
            <w:pPr>
              <w:spacing w:line="360" w:lineRule="auto"/>
              <w:jc w:val="center"/>
              <w:rPr>
                <w:color w:val="auto"/>
                <w:sz w:val="18"/>
                <w:szCs w:val="18"/>
                <w:highlight w:val="none"/>
              </w:rPr>
            </w:pPr>
            <w:r>
              <w:rPr>
                <w:color w:val="auto"/>
                <w:sz w:val="18"/>
                <w:szCs w:val="18"/>
                <w:highlight w:val="none"/>
              </w:rPr>
              <w:t>1</w:t>
            </w:r>
            <w:r>
              <w:rPr>
                <w:rFonts w:hint="eastAsia"/>
                <w:color w:val="auto"/>
                <w:sz w:val="18"/>
                <w:szCs w:val="18"/>
                <w:highlight w:val="none"/>
              </w:rPr>
              <w:t>7</w:t>
            </w:r>
          </w:p>
        </w:tc>
        <w:tc>
          <w:tcPr>
            <w:tcW w:w="1096" w:type="dxa"/>
            <w:tcBorders>
              <w:top w:val="nil"/>
              <w:left w:val="nil"/>
              <w:bottom w:val="nil"/>
              <w:right w:val="nil"/>
            </w:tcBorders>
          </w:tcPr>
          <w:p w14:paraId="00E31221">
            <w:pPr>
              <w:spacing w:line="360" w:lineRule="auto"/>
              <w:jc w:val="center"/>
              <w:rPr>
                <w:color w:val="auto"/>
                <w:sz w:val="18"/>
                <w:szCs w:val="18"/>
                <w:highlight w:val="none"/>
              </w:rPr>
            </w:pPr>
            <w:r>
              <w:rPr>
                <w:color w:val="auto"/>
                <w:sz w:val="18"/>
                <w:szCs w:val="18"/>
                <w:highlight w:val="none"/>
              </w:rPr>
              <w:t>1</w:t>
            </w:r>
            <w:r>
              <w:rPr>
                <w:rFonts w:hint="eastAsia"/>
                <w:color w:val="auto"/>
                <w:sz w:val="18"/>
                <w:szCs w:val="18"/>
                <w:highlight w:val="none"/>
              </w:rPr>
              <w:t>7</w:t>
            </w:r>
          </w:p>
        </w:tc>
        <w:tc>
          <w:tcPr>
            <w:tcW w:w="0" w:type="auto"/>
            <w:tcBorders>
              <w:top w:val="nil"/>
              <w:left w:val="nil"/>
              <w:bottom w:val="nil"/>
              <w:right w:val="nil"/>
            </w:tcBorders>
          </w:tcPr>
          <w:p w14:paraId="223B2EB8">
            <w:pPr>
              <w:spacing w:line="360" w:lineRule="auto"/>
              <w:jc w:val="center"/>
              <w:rPr>
                <w:color w:val="auto"/>
                <w:sz w:val="18"/>
                <w:szCs w:val="18"/>
                <w:highlight w:val="none"/>
              </w:rPr>
            </w:pPr>
            <w:r>
              <w:rPr>
                <w:rFonts w:hint="eastAsia"/>
                <w:color w:val="auto"/>
                <w:sz w:val="18"/>
                <w:szCs w:val="18"/>
                <w:highlight w:val="none"/>
              </w:rPr>
              <w:t>49</w:t>
            </w:r>
          </w:p>
        </w:tc>
      </w:tr>
      <w:tr w14:paraId="51E786A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0" w:type="auto"/>
            <w:tcBorders>
              <w:top w:val="nil"/>
              <w:left w:val="nil"/>
              <w:bottom w:val="single" w:color="auto" w:sz="4" w:space="0"/>
              <w:right w:val="nil"/>
            </w:tcBorders>
          </w:tcPr>
          <w:p w14:paraId="6448A71A">
            <w:pPr>
              <w:spacing w:line="360" w:lineRule="auto"/>
              <w:ind w:firstLine="360" w:firstLineChars="200"/>
              <w:rPr>
                <w:rFonts w:hint="default" w:eastAsia="宋体"/>
                <w:color w:val="auto"/>
                <w:sz w:val="18"/>
                <w:szCs w:val="18"/>
                <w:highlight w:val="none"/>
                <w:lang w:val="en-US" w:eastAsia="zh-CN"/>
              </w:rPr>
            </w:pPr>
            <w:r>
              <w:rPr>
                <w:rFonts w:hint="eastAsia"/>
                <w:color w:val="auto"/>
                <w:sz w:val="18"/>
                <w:szCs w:val="18"/>
                <w:highlight w:val="none"/>
                <w:lang w:val="en-US" w:eastAsia="zh-CN"/>
              </w:rPr>
              <w:t>Total</w:t>
            </w:r>
          </w:p>
        </w:tc>
        <w:tc>
          <w:tcPr>
            <w:tcW w:w="974" w:type="dxa"/>
            <w:tcBorders>
              <w:top w:val="nil"/>
              <w:left w:val="nil"/>
              <w:bottom w:val="single" w:color="auto" w:sz="4" w:space="0"/>
              <w:right w:val="nil"/>
            </w:tcBorders>
          </w:tcPr>
          <w:p w14:paraId="0E359886">
            <w:pPr>
              <w:spacing w:line="360" w:lineRule="auto"/>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307</w:t>
            </w:r>
          </w:p>
        </w:tc>
        <w:tc>
          <w:tcPr>
            <w:tcW w:w="1253" w:type="dxa"/>
            <w:tcBorders>
              <w:top w:val="nil"/>
              <w:left w:val="nil"/>
              <w:bottom w:val="single" w:color="auto" w:sz="4" w:space="0"/>
              <w:right w:val="nil"/>
            </w:tcBorders>
          </w:tcPr>
          <w:p w14:paraId="0B0168EF">
            <w:pPr>
              <w:spacing w:line="360" w:lineRule="auto"/>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170</w:t>
            </w:r>
          </w:p>
        </w:tc>
        <w:tc>
          <w:tcPr>
            <w:tcW w:w="1216" w:type="dxa"/>
            <w:tcBorders>
              <w:top w:val="nil"/>
              <w:left w:val="nil"/>
              <w:bottom w:val="single" w:color="auto" w:sz="4" w:space="0"/>
              <w:right w:val="nil"/>
            </w:tcBorders>
          </w:tcPr>
          <w:p w14:paraId="2BD56E3D">
            <w:pPr>
              <w:spacing w:line="360" w:lineRule="auto"/>
              <w:jc w:val="center"/>
              <w:rPr>
                <w:color w:val="auto"/>
                <w:sz w:val="18"/>
                <w:szCs w:val="18"/>
                <w:highlight w:val="none"/>
              </w:rPr>
            </w:pPr>
            <w:r>
              <w:rPr>
                <w:rFonts w:hint="eastAsia"/>
                <w:color w:val="auto"/>
                <w:sz w:val="18"/>
                <w:szCs w:val="18"/>
                <w:highlight w:val="none"/>
                <w:lang w:val="en-US" w:eastAsia="zh-CN"/>
              </w:rPr>
              <w:t>170</w:t>
            </w:r>
          </w:p>
        </w:tc>
        <w:tc>
          <w:tcPr>
            <w:tcW w:w="1096" w:type="dxa"/>
            <w:tcBorders>
              <w:top w:val="nil"/>
              <w:left w:val="nil"/>
              <w:bottom w:val="single" w:color="auto" w:sz="4" w:space="0"/>
              <w:right w:val="nil"/>
            </w:tcBorders>
          </w:tcPr>
          <w:p w14:paraId="55ACF6BD">
            <w:pPr>
              <w:spacing w:line="360" w:lineRule="auto"/>
              <w:jc w:val="center"/>
              <w:rPr>
                <w:color w:val="auto"/>
                <w:sz w:val="18"/>
                <w:szCs w:val="18"/>
                <w:highlight w:val="none"/>
              </w:rPr>
            </w:pPr>
            <w:r>
              <w:rPr>
                <w:rFonts w:hint="eastAsia"/>
                <w:color w:val="auto"/>
                <w:sz w:val="18"/>
                <w:szCs w:val="18"/>
                <w:highlight w:val="none"/>
                <w:lang w:val="en-US" w:eastAsia="zh-CN"/>
              </w:rPr>
              <w:t>170</w:t>
            </w:r>
          </w:p>
        </w:tc>
        <w:tc>
          <w:tcPr>
            <w:tcW w:w="0" w:type="auto"/>
            <w:tcBorders>
              <w:top w:val="nil"/>
              <w:left w:val="nil"/>
              <w:bottom w:val="single" w:color="auto" w:sz="4" w:space="0"/>
              <w:right w:val="nil"/>
            </w:tcBorders>
          </w:tcPr>
          <w:p w14:paraId="213DE566">
            <w:pPr>
              <w:spacing w:line="360" w:lineRule="auto"/>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492</w:t>
            </w:r>
          </w:p>
        </w:tc>
      </w:tr>
    </w:tbl>
    <w:p w14:paraId="523D3B15">
      <w:pPr>
        <w:spacing w:line="360" w:lineRule="auto"/>
        <w:rPr>
          <w:color w:val="auto"/>
          <w:highlight w:val="none"/>
        </w:rPr>
      </w:pPr>
      <w:r>
        <w:rPr>
          <w:color w:val="auto"/>
          <w:highlight w:val="none"/>
        </w:rPr>
        <w:t xml:space="preserve"> </w:t>
      </w:r>
    </w:p>
    <w:p w14:paraId="12107451">
      <w:pPr>
        <w:pStyle w:val="4"/>
        <w:rPr>
          <w:rFonts w:hint="eastAsia" w:ascii="微软雅黑" w:hAnsi="微软雅黑" w:eastAsia="微软雅黑"/>
          <w:b w:val="0"/>
          <w:bCs w:val="0"/>
          <w:color w:val="auto"/>
          <w:sz w:val="24"/>
          <w:szCs w:val="24"/>
          <w:highlight w:val="none"/>
        </w:rPr>
      </w:pPr>
      <w:bookmarkStart w:id="7" w:name="_Toc29113"/>
      <w:r>
        <w:rPr>
          <w:rFonts w:ascii="微软雅黑" w:hAnsi="微软雅黑" w:eastAsia="微软雅黑"/>
          <w:b w:val="0"/>
          <w:bCs w:val="0"/>
          <w:color w:val="auto"/>
          <w:sz w:val="24"/>
          <w:szCs w:val="24"/>
          <w:highlight w:val="none"/>
        </w:rPr>
        <w:t>Imaging Processing and Labeling for the Development of DL Models</w:t>
      </w:r>
      <w:bookmarkEnd w:id="7"/>
    </w:p>
    <w:p w14:paraId="1C4AF92E">
      <w:pPr>
        <w:spacing w:line="360" w:lineRule="auto"/>
        <w:ind w:firstLine="420" w:firstLineChars="200"/>
        <w:rPr>
          <w:bCs/>
          <w:color w:val="auto"/>
          <w:highlight w:val="none"/>
          <w:shd w:val="clear" w:color="auto" w:fill="FFFFFF"/>
        </w:rPr>
      </w:pPr>
      <w:r>
        <w:rPr>
          <w:bCs/>
          <w:color w:val="auto"/>
          <w:highlight w:val="none"/>
          <w:shd w:val="clear" w:color="auto" w:fill="FFFFFF"/>
        </w:rPr>
        <w:t xml:space="preserve">ITK Snap version 3.8.0 was used to </w:t>
      </w:r>
      <w:r>
        <w:rPr>
          <w:bCs/>
          <w:color w:val="auto"/>
          <w:highlight w:val="none"/>
        </w:rPr>
        <w:t>process</w:t>
      </w:r>
      <w:r>
        <w:rPr>
          <w:bCs/>
          <w:color w:val="auto"/>
          <w:highlight w:val="none"/>
          <w:shd w:val="clear" w:color="auto" w:fill="FFFFFF"/>
        </w:rPr>
        <w:t xml:space="preserve"> all images. Livers, eight Couinaud’s liver segments, major hepatic veins (including </w:t>
      </w:r>
      <w:r>
        <w:rPr>
          <w:bCs/>
          <w:color w:val="auto"/>
          <w:highlight w:val="none"/>
        </w:rPr>
        <w:t xml:space="preserve">the </w:t>
      </w:r>
      <w:r>
        <w:rPr>
          <w:bCs/>
          <w:color w:val="auto"/>
          <w:highlight w:val="none"/>
          <w:shd w:val="clear" w:color="auto" w:fill="FFFFFF"/>
        </w:rPr>
        <w:t xml:space="preserve">left hepatic vein, right hepatic vein, middle hepatic vein, superior right hepatic vein, inferior right hepatic vein and all primary and secondary branch ramifications), portal veins (including </w:t>
      </w:r>
      <w:r>
        <w:rPr>
          <w:bCs/>
          <w:color w:val="auto"/>
          <w:highlight w:val="none"/>
        </w:rPr>
        <w:t xml:space="preserve">the </w:t>
      </w:r>
      <w:r>
        <w:rPr>
          <w:bCs/>
          <w:color w:val="auto"/>
          <w:highlight w:val="none"/>
          <w:shd w:val="clear" w:color="auto" w:fill="FFFFFF"/>
        </w:rPr>
        <w:t>main trunk, left portal vein, right portal vein and all primary and secondary branch ramifications) and all intrahepatic lesions were annotated.</w:t>
      </w:r>
    </w:p>
    <w:p w14:paraId="34F593C3">
      <w:pPr>
        <w:spacing w:line="360" w:lineRule="auto"/>
        <w:ind w:firstLine="420" w:firstLineChars="200"/>
        <w:rPr>
          <w:b/>
          <w:bCs/>
          <w:color w:val="auto"/>
          <w:highlight w:val="none"/>
          <w:shd w:val="clear" w:color="auto" w:fill="FFFFFF"/>
        </w:rPr>
      </w:pPr>
      <w:r>
        <w:rPr>
          <w:bCs/>
          <w:color w:val="auto"/>
          <w:highlight w:val="none"/>
          <w:shd w:val="clear" w:color="auto" w:fill="FFFFFF"/>
        </w:rPr>
        <w:t xml:space="preserve">A hepatic radiologist (with 11 years of experience) annotated all of </w:t>
      </w:r>
      <w:r>
        <w:rPr>
          <w:bCs/>
          <w:color w:val="auto"/>
          <w:highlight w:val="none"/>
        </w:rPr>
        <w:t xml:space="preserve">the </w:t>
      </w:r>
      <w:r>
        <w:rPr>
          <w:bCs/>
          <w:color w:val="auto"/>
          <w:highlight w:val="none"/>
          <w:shd w:val="clear" w:color="auto" w:fill="FFFFFF"/>
        </w:rPr>
        <w:t>labels first, and another abdomen radiologist (with 23 years of experience) re-evaluated, adjusted if necessary and confirmed the final annotations. The final annotations were considered ground truth. All images were processed using this process</w:t>
      </w:r>
      <w:r>
        <w:rPr>
          <w:bCs/>
          <w:color w:val="auto"/>
          <w:highlight w:val="none"/>
        </w:rPr>
        <w:t>,</w:t>
      </w:r>
      <w:r>
        <w:rPr>
          <w:bCs/>
          <w:color w:val="auto"/>
          <w:highlight w:val="none"/>
          <w:shd w:val="clear" w:color="auto" w:fill="FFFFFF"/>
        </w:rPr>
        <w:t xml:space="preserve"> including images from </w:t>
      </w:r>
      <w:r>
        <w:rPr>
          <w:bCs/>
          <w:color w:val="auto"/>
          <w:highlight w:val="none"/>
        </w:rPr>
        <w:t xml:space="preserve">the </w:t>
      </w:r>
      <w:r>
        <w:rPr>
          <w:bCs/>
          <w:color w:val="auto"/>
          <w:highlight w:val="none"/>
          <w:shd w:val="clear" w:color="auto" w:fill="FFFFFF"/>
        </w:rPr>
        <w:t xml:space="preserve">training dataset and </w:t>
      </w:r>
      <w:r>
        <w:rPr>
          <w:bCs/>
          <w:color w:val="auto"/>
          <w:highlight w:val="none"/>
        </w:rPr>
        <w:t xml:space="preserve">the </w:t>
      </w:r>
      <w:r>
        <w:rPr>
          <w:bCs/>
          <w:color w:val="auto"/>
          <w:highlight w:val="none"/>
          <w:shd w:val="clear" w:color="auto" w:fill="FFFFFF"/>
        </w:rPr>
        <w:t>external validation dataset.</w:t>
      </w:r>
      <w:r>
        <w:rPr>
          <w:b/>
          <w:bCs/>
          <w:color w:val="auto"/>
          <w:highlight w:val="none"/>
          <w:shd w:val="clear" w:color="auto" w:fill="FFFFFF"/>
        </w:rPr>
        <w:t xml:space="preserve"> </w:t>
      </w:r>
    </w:p>
    <w:p w14:paraId="4C326573">
      <w:pPr>
        <w:pStyle w:val="4"/>
        <w:rPr>
          <w:rFonts w:hint="eastAsia" w:ascii="微软雅黑" w:hAnsi="微软雅黑" w:eastAsia="微软雅黑"/>
          <w:b w:val="0"/>
          <w:bCs w:val="0"/>
          <w:color w:val="auto"/>
          <w:sz w:val="24"/>
          <w:szCs w:val="24"/>
          <w:highlight w:val="none"/>
        </w:rPr>
      </w:pPr>
      <w:bookmarkStart w:id="8" w:name="_Toc15711"/>
      <w:r>
        <w:rPr>
          <w:rFonts w:hint="eastAsia" w:ascii="微软雅黑" w:hAnsi="微软雅黑" w:eastAsia="微软雅黑"/>
          <w:b w:val="0"/>
          <w:bCs w:val="0"/>
          <w:color w:val="auto"/>
          <w:sz w:val="24"/>
          <w:szCs w:val="24"/>
          <w:highlight w:val="none"/>
          <w:lang w:eastAsia="zh-CN"/>
        </w:rPr>
        <w:t>DL-FLRVS</w:t>
      </w:r>
      <w:r>
        <w:rPr>
          <w:rFonts w:ascii="微软雅黑" w:hAnsi="微软雅黑" w:eastAsia="微软雅黑"/>
          <w:b w:val="0"/>
          <w:bCs w:val="0"/>
          <w:color w:val="auto"/>
          <w:sz w:val="24"/>
          <w:szCs w:val="24"/>
          <w:highlight w:val="none"/>
        </w:rPr>
        <w:t xml:space="preserve"> Development</w:t>
      </w:r>
      <w:bookmarkEnd w:id="8"/>
    </w:p>
    <w:p w14:paraId="446AD3CE">
      <w:pPr>
        <w:spacing w:line="360" w:lineRule="auto"/>
        <w:ind w:firstLine="210" w:firstLineChars="100"/>
        <w:rPr>
          <w:color w:val="auto"/>
          <w:highlight w:val="none"/>
        </w:rPr>
      </w:pPr>
      <w:r>
        <w:rPr>
          <w:rFonts w:hint="eastAsia"/>
          <w:color w:val="auto"/>
          <w:highlight w:val="none"/>
        </w:rPr>
        <w:t>A DL-based volumetry system (</w:t>
      </w:r>
      <w:r>
        <w:rPr>
          <w:rFonts w:hint="eastAsia"/>
          <w:color w:val="auto"/>
          <w:highlight w:val="none"/>
          <w:lang w:eastAsia="zh-CN"/>
        </w:rPr>
        <w:t>DL-FLRVS</w:t>
      </w:r>
      <w:r>
        <w:rPr>
          <w:rFonts w:hint="eastAsia"/>
          <w:color w:val="auto"/>
          <w:highlight w:val="none"/>
        </w:rPr>
        <w:t>) containing five multi-level segmentation models for preoperative FLR assessment and prediction of candidates for major hepatectomy based on CT images. These five segmentation models aim for the automatic segmentation of whole liver, Couinaud</w:t>
      </w:r>
      <w:r>
        <w:rPr>
          <w:color w:val="auto"/>
          <w:highlight w:val="none"/>
        </w:rPr>
        <w:t>’</w:t>
      </w:r>
      <w:r>
        <w:rPr>
          <w:rFonts w:hint="eastAsia"/>
          <w:color w:val="auto"/>
          <w:highlight w:val="none"/>
        </w:rPr>
        <w:t xml:space="preserve">s liver segments, hepatic veins, portal veins, and hepatic lesions. </w:t>
      </w:r>
      <w:r>
        <w:rPr>
          <w:color w:val="auto"/>
          <w:highlight w:val="none"/>
        </w:rPr>
        <w:t>T</w:t>
      </w:r>
      <w:r>
        <w:rPr>
          <w:rFonts w:hint="eastAsia"/>
          <w:color w:val="auto"/>
          <w:highlight w:val="none"/>
        </w:rPr>
        <w:t>hree-dimensional</w:t>
      </w:r>
      <w:r>
        <w:rPr>
          <w:color w:val="auto"/>
          <w:highlight w:val="none"/>
        </w:rPr>
        <w:t xml:space="preserve"> U-Net network described by Çiçek Ö et al. (4) was used for all segmentation tasks. The inputs of the networks were 3D contrast-enhanced CT images with manual annotations, and the same shape images with predicted annotations</w:t>
      </w:r>
      <w:r>
        <w:rPr>
          <w:rFonts w:hint="eastAsia"/>
          <w:color w:val="auto"/>
          <w:highlight w:val="none"/>
        </w:rPr>
        <w:t xml:space="preserve"> and volumetric results</w:t>
      </w:r>
      <w:r>
        <w:rPr>
          <w:color w:val="auto"/>
          <w:highlight w:val="none"/>
        </w:rPr>
        <w:t xml:space="preserve"> were produced and output.</w:t>
      </w:r>
    </w:p>
    <w:p w14:paraId="514C564F">
      <w:pPr>
        <w:spacing w:line="360" w:lineRule="auto"/>
        <w:ind w:firstLine="210" w:firstLineChars="100"/>
        <w:rPr>
          <w:color w:val="auto"/>
          <w:highlight w:val="none"/>
        </w:rPr>
      </w:pPr>
      <w:r>
        <w:rPr>
          <w:color w:val="auto"/>
          <w:highlight w:val="none"/>
        </w:rPr>
        <w:t>Four layers of downsampling were included in the whole network, with two 3 × 3 × 3 convolutions, max pooling and bath normalization in each layer. Four layers of upsampling with two inputs in the upsampling process were included in the whole network. One input is the output from the same layer of downsampling, and the other is from the next layer. These two inputs were spliced together to ensure that the restored feature map incorporates features of different scales.</w:t>
      </w:r>
    </w:p>
    <w:p w14:paraId="7897F1AF">
      <w:pPr>
        <w:spacing w:line="360" w:lineRule="auto"/>
        <w:ind w:firstLine="210" w:firstLineChars="100"/>
        <w:rPr>
          <w:color w:val="auto"/>
          <w:highlight w:val="none"/>
        </w:rPr>
      </w:pPr>
      <w:r>
        <w:rPr>
          <w:color w:val="auto"/>
          <w:highlight w:val="none"/>
        </w:rPr>
        <w:t>For the development dataset, we use an 8:1:1 ratio of training, validation and internal test datasets. The validation dataset was used to check the prediction accuracy of our models. For the loss function, we used the Dice loss function. We stopped our training immediately when the validation accuracy started to decrease on the validation dataset to prevent overfitting.</w:t>
      </w:r>
    </w:p>
    <w:p w14:paraId="72BE18A1">
      <w:pPr>
        <w:spacing w:line="360" w:lineRule="auto"/>
        <w:ind w:firstLine="210" w:firstLineChars="100"/>
        <w:rPr>
          <w:color w:val="auto"/>
          <w:highlight w:val="none"/>
        </w:rPr>
      </w:pPr>
      <w:r>
        <w:rPr>
          <w:color w:val="auto"/>
          <w:highlight w:val="none"/>
        </w:rPr>
        <w:t>We set an image resolution of 128×192×256, a window level of 30 HU and a window width of 300 HU for all the images. Because hepatic vein branches in hepatic tumors and cirrhosis patients are small, have blurred blood vessel boundaries and are difficult to distinguish, selecting the threshold range helped reduce erroneous labeling effectively. Data normalization was performed. Image amplification methods were used, including affine transformation, translation and random noise. Because small body twists are commonly observed in abdomen images and have the potential to increase erroneous labeling, we used random angular rotation to simulate small body twists. The ADAM gradient descent optimization algorithm was used during model training, with initial learning rates of 10</w:t>
      </w:r>
      <w:r>
        <w:rPr>
          <w:color w:val="auto"/>
          <w:highlight w:val="none"/>
          <w:vertAlign w:val="superscript"/>
        </w:rPr>
        <w:t>--4</w:t>
      </w:r>
      <w:r>
        <w:rPr>
          <w:color w:val="auto"/>
          <w:highlight w:val="none"/>
        </w:rPr>
        <w:t xml:space="preserve"> and 400 epochs and a batch size of 2. Python was used as the programming language. Software, including PyTorch 0.4.1, Python 3.6, SimpleITK, Numpy and OpenCV, and hardware of an NVIDIA Tesla P100 16G GPU were used for model training. </w:t>
      </w:r>
    </w:p>
    <w:p w14:paraId="01C3DCE4">
      <w:pPr>
        <w:pStyle w:val="3"/>
        <w:rPr>
          <w:rFonts w:hint="eastAsia" w:ascii="微软雅黑" w:hAnsi="微软雅黑" w:eastAsia="微软雅黑"/>
          <w:color w:val="auto"/>
          <w:highlight w:val="none"/>
        </w:rPr>
      </w:pPr>
      <w:bookmarkStart w:id="9" w:name="_Toc6189"/>
      <w:r>
        <w:rPr>
          <w:rFonts w:ascii="微软雅黑" w:hAnsi="微软雅黑" w:eastAsia="微软雅黑"/>
          <w:color w:val="auto"/>
          <w:highlight w:val="none"/>
        </w:rPr>
        <w:t>Model evaluation</w:t>
      </w:r>
      <w:bookmarkEnd w:id="9"/>
    </w:p>
    <w:p w14:paraId="51FDC8CE">
      <w:pPr>
        <w:spacing w:line="360" w:lineRule="auto"/>
        <w:rPr>
          <w:color w:val="auto"/>
          <w:highlight w:val="none"/>
        </w:rPr>
      </w:pPr>
      <w:r>
        <w:rPr>
          <w:color w:val="auto"/>
          <w:highlight w:val="none"/>
        </w:rPr>
        <w:t xml:space="preserve">The Dice similarity coefficient (DSC), which is </w:t>
      </w:r>
      <w:bookmarkStart w:id="10" w:name="OLE_LINK1"/>
      <w:r>
        <w:rPr>
          <w:color w:val="auto"/>
          <w:highlight w:val="none"/>
        </w:rPr>
        <w:t>calculated as the voxel overlap between the prediction masks (P) and the ground truth (G), and volumetric similarity</w:t>
      </w:r>
      <w:bookmarkEnd w:id="10"/>
      <w:r>
        <w:rPr>
          <w:color w:val="auto"/>
          <w:highlight w:val="none"/>
        </w:rPr>
        <w:t xml:space="preserve"> (VS), which is used to measure the volumetric difference between the prediction masks and ground truth (i.e., VP and VG), were applied to evaluate the segmentation performance.</w:t>
      </w:r>
    </w:p>
    <w:p w14:paraId="100D669A">
      <w:pPr>
        <w:spacing w:line="360" w:lineRule="auto"/>
        <w:jc w:val="center"/>
        <w:rPr>
          <w:color w:val="auto"/>
          <w:highlight w:val="none"/>
        </w:rPr>
      </w:pPr>
      <w:r>
        <w:rPr>
          <w:color w:val="auto"/>
          <w:highlight w:val="none"/>
        </w:rPr>
        <w:drawing>
          <wp:inline distT="0" distB="0" distL="0" distR="0">
            <wp:extent cx="1115060" cy="417830"/>
            <wp:effectExtent l="0" t="0" r="8890" b="127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115060" cy="417830"/>
                    </a:xfrm>
                    <a:prstGeom prst="rect">
                      <a:avLst/>
                    </a:prstGeom>
                    <a:noFill/>
                    <a:ln>
                      <a:noFill/>
                    </a:ln>
                  </pic:spPr>
                </pic:pic>
              </a:graphicData>
            </a:graphic>
          </wp:inline>
        </w:drawing>
      </w:r>
    </w:p>
    <w:p w14:paraId="6D25CB4E">
      <w:pPr>
        <w:spacing w:line="360" w:lineRule="auto"/>
        <w:jc w:val="center"/>
        <w:rPr>
          <w:color w:val="auto"/>
          <w:highlight w:val="none"/>
        </w:rPr>
      </w:pPr>
      <w:r>
        <w:rPr>
          <w:color w:val="auto"/>
          <w:highlight w:val="none"/>
        </w:rPr>
        <w:drawing>
          <wp:inline distT="0" distB="0" distL="0" distR="0">
            <wp:extent cx="1115060" cy="427990"/>
            <wp:effectExtent l="0" t="0" r="8890" b="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115060" cy="427990"/>
                    </a:xfrm>
                    <a:prstGeom prst="rect">
                      <a:avLst/>
                    </a:prstGeom>
                    <a:noFill/>
                    <a:ln>
                      <a:noFill/>
                    </a:ln>
                  </pic:spPr>
                </pic:pic>
              </a:graphicData>
            </a:graphic>
          </wp:inline>
        </w:drawing>
      </w:r>
    </w:p>
    <w:p w14:paraId="5DF5535D">
      <w:pPr>
        <w:pStyle w:val="3"/>
        <w:rPr>
          <w:rFonts w:hint="eastAsia" w:ascii="微软雅黑" w:hAnsi="微软雅黑" w:eastAsia="微软雅黑"/>
          <w:color w:val="auto"/>
          <w:highlight w:val="none"/>
        </w:rPr>
      </w:pPr>
      <w:bookmarkStart w:id="11" w:name="_Toc5423"/>
      <w:r>
        <w:rPr>
          <w:rFonts w:ascii="微软雅黑" w:hAnsi="微软雅黑" w:eastAsia="微软雅黑"/>
          <w:color w:val="auto"/>
          <w:highlight w:val="none"/>
        </w:rPr>
        <w:t>Results</w:t>
      </w:r>
      <w:bookmarkEnd w:id="11"/>
    </w:p>
    <w:p w14:paraId="278C0382">
      <w:pPr>
        <w:spacing w:line="360" w:lineRule="auto"/>
        <w:rPr>
          <w:b/>
          <w:bCs/>
          <w:i/>
          <w:iCs/>
          <w:color w:val="auto"/>
          <w:highlight w:val="none"/>
        </w:rPr>
      </w:pPr>
      <w:r>
        <w:rPr>
          <w:b/>
          <w:bCs/>
          <w:i/>
          <w:iCs/>
          <w:color w:val="auto"/>
          <w:highlight w:val="none"/>
        </w:rPr>
        <w:t>Segmentation Results</w:t>
      </w:r>
    </w:p>
    <w:p w14:paraId="416F5B35">
      <w:pPr>
        <w:spacing w:line="360" w:lineRule="auto"/>
        <w:rPr>
          <w:rFonts w:eastAsia="等线" w:cs="等线"/>
          <w:color w:val="auto"/>
          <w:highlight w:val="none"/>
        </w:rPr>
      </w:pPr>
      <w:r>
        <w:rPr>
          <w:rFonts w:eastAsia="等线" w:cs="等线"/>
          <w:color w:val="auto"/>
          <w:highlight w:val="none"/>
        </w:rPr>
        <w:t>The results indicated that our models were capable of accurately segmenting whole livers, eight Couinaud’s liver segments, hepatic veins, portal veins</w:t>
      </w:r>
      <w:r>
        <w:rPr>
          <w:rFonts w:hint="eastAsia" w:eastAsia="等线" w:cs="等线"/>
          <w:color w:val="auto"/>
          <w:highlight w:val="none"/>
        </w:rPr>
        <w:t>,</w:t>
      </w:r>
      <w:r>
        <w:rPr>
          <w:rFonts w:eastAsia="等线" w:cs="等线"/>
          <w:color w:val="auto"/>
          <w:highlight w:val="none"/>
        </w:rPr>
        <w:t xml:space="preserve"> and hepatic lesions under various liver conditions. The automated segmentation results and the differences between the manual and automated segmentation results in challenging cases are </w:t>
      </w:r>
      <w:r>
        <w:rPr>
          <w:rFonts w:eastAsia="等线" w:cs="等线"/>
          <w:color w:val="auto"/>
          <w:highlight w:val="none"/>
        </w:rPr>
        <w:t xml:space="preserve">demonstrated in </w:t>
      </w:r>
      <w:r>
        <w:rPr>
          <w:rFonts w:eastAsia="等线" w:cs="等线"/>
          <w:b/>
          <w:bCs/>
          <w:color w:val="auto"/>
          <w:highlight w:val="none"/>
        </w:rPr>
        <w:t xml:space="preserve">Figure </w:t>
      </w:r>
      <w:r>
        <w:rPr>
          <w:rFonts w:hint="eastAsia" w:eastAsia="等线"/>
          <w:b/>
          <w:bCs/>
          <w:color w:val="auto"/>
          <w:highlight w:val="none"/>
        </w:rPr>
        <w:t>S</w:t>
      </w:r>
      <w:r>
        <w:rPr>
          <w:rFonts w:hint="eastAsia" w:eastAsia="等线" w:cs="等线"/>
          <w:b/>
          <w:bCs/>
          <w:color w:val="auto"/>
          <w:highlight w:val="none"/>
          <w:lang w:val="en-US" w:eastAsia="zh-CN"/>
        </w:rPr>
        <w:t>1</w:t>
      </w:r>
      <w:r>
        <w:rPr>
          <w:rFonts w:eastAsia="等线" w:cs="等线"/>
          <w:color w:val="auto"/>
          <w:highlight w:val="none"/>
        </w:rPr>
        <w:t>.</w:t>
      </w:r>
    </w:p>
    <w:p w14:paraId="272899BA">
      <w:pPr>
        <w:spacing w:line="360" w:lineRule="auto"/>
        <w:ind w:firstLine="210" w:firstLineChars="100"/>
        <w:rPr>
          <w:rFonts w:eastAsia="等线" w:cs="等线"/>
          <w:color w:val="auto"/>
          <w:highlight w:val="none"/>
        </w:rPr>
      </w:pPr>
    </w:p>
    <w:p w14:paraId="6834C168">
      <w:pPr>
        <w:spacing w:line="360" w:lineRule="auto"/>
        <w:ind w:firstLine="210" w:firstLineChars="100"/>
        <w:rPr>
          <w:rFonts w:eastAsia="等线" w:cs="等线"/>
          <w:color w:val="auto"/>
          <w:highlight w:val="none"/>
        </w:rPr>
      </w:pPr>
    </w:p>
    <w:p w14:paraId="7D884DAC">
      <w:pPr>
        <w:spacing w:line="360" w:lineRule="auto"/>
        <w:ind w:firstLine="210" w:firstLineChars="100"/>
        <w:rPr>
          <w:rFonts w:eastAsia="等线" w:cs="等线"/>
          <w:color w:val="auto"/>
          <w:highlight w:val="none"/>
        </w:rPr>
      </w:pPr>
    </w:p>
    <w:p w14:paraId="707E4769">
      <w:pPr>
        <w:spacing w:line="360" w:lineRule="auto"/>
        <w:ind w:firstLine="210" w:firstLineChars="100"/>
        <w:rPr>
          <w:rFonts w:eastAsia="等线" w:cs="等线"/>
          <w:color w:val="auto"/>
          <w:highlight w:val="none"/>
        </w:rPr>
      </w:pPr>
    </w:p>
    <w:p w14:paraId="5FC9EFED">
      <w:pPr>
        <w:spacing w:line="360" w:lineRule="auto"/>
        <w:ind w:firstLine="210" w:firstLineChars="100"/>
        <w:rPr>
          <w:rFonts w:hint="eastAsia" w:ascii="等线" w:hAnsi="等线" w:eastAsia="等线"/>
          <w:color w:val="auto"/>
          <w:highlight w:val="none"/>
          <w14:ligatures w14:val="none"/>
        </w:rPr>
      </w:pPr>
      <w:r>
        <w:rPr>
          <w:rFonts w:hint="eastAsia" w:ascii="等线" w:hAnsi="等线" w:eastAsia="等线"/>
          <w:color w:val="auto"/>
          <w:highlight w:val="none"/>
          <w14:ligatures w14:val="none"/>
        </w:rPr>
        <w:drawing>
          <wp:inline distT="0" distB="0" distL="0" distR="0">
            <wp:extent cx="4813300" cy="2813685"/>
            <wp:effectExtent l="0" t="0" r="0" b="5715"/>
            <wp:docPr id="10612622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62285"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13300" cy="2813685"/>
                    </a:xfrm>
                    <a:prstGeom prst="rect">
                      <a:avLst/>
                    </a:prstGeom>
                  </pic:spPr>
                </pic:pic>
              </a:graphicData>
            </a:graphic>
          </wp:inline>
        </w:drawing>
      </w:r>
    </w:p>
    <w:p w14:paraId="12E69104">
      <w:pPr>
        <w:spacing w:line="360" w:lineRule="auto"/>
        <w:rPr>
          <w:bCs/>
          <w:color w:val="auto"/>
          <w:sz w:val="18"/>
          <w:szCs w:val="18"/>
          <w:highlight w:val="none"/>
          <w:shd w:val="clear" w:color="auto" w:fill="FFFFFF"/>
        </w:rPr>
      </w:pPr>
      <w:r>
        <w:rPr>
          <w:b/>
          <w:color w:val="auto"/>
          <w:sz w:val="18"/>
          <w:szCs w:val="18"/>
          <w:highlight w:val="none"/>
          <w:shd w:val="clear" w:color="auto" w:fill="FFFFFF"/>
        </w:rPr>
        <w:t xml:space="preserve">Figure </w:t>
      </w:r>
      <w:r>
        <w:rPr>
          <w:rFonts w:hint="eastAsia"/>
          <w:b/>
          <w:color w:val="auto"/>
          <w:sz w:val="18"/>
          <w:szCs w:val="18"/>
          <w:highlight w:val="none"/>
          <w:shd w:val="clear" w:color="auto" w:fill="FFFFFF"/>
        </w:rPr>
        <w:t>S</w:t>
      </w:r>
      <w:r>
        <w:rPr>
          <w:rFonts w:hint="eastAsia"/>
          <w:b/>
          <w:color w:val="auto"/>
          <w:sz w:val="18"/>
          <w:szCs w:val="18"/>
          <w:highlight w:val="none"/>
          <w:shd w:val="clear" w:color="auto" w:fill="FFFFFF"/>
          <w:lang w:val="en-US" w:eastAsia="zh-CN"/>
        </w:rPr>
        <w:t>1</w:t>
      </w:r>
      <w:r>
        <w:rPr>
          <w:b/>
          <w:color w:val="auto"/>
          <w:sz w:val="18"/>
          <w:szCs w:val="18"/>
          <w:highlight w:val="none"/>
          <w:shd w:val="clear" w:color="auto" w:fill="FFFFFF"/>
        </w:rPr>
        <w:t xml:space="preserve">. Manual and automated segmentation results in challenging cases (cases with severe cirrhosis) in </w:t>
      </w:r>
      <w:r>
        <w:rPr>
          <w:rFonts w:hint="eastAsia"/>
          <w:b/>
          <w:color w:val="auto"/>
          <w:sz w:val="18"/>
          <w:szCs w:val="18"/>
          <w:highlight w:val="none"/>
          <w:shd w:val="clear" w:color="auto" w:fill="FFFFFF"/>
        </w:rPr>
        <w:t>internal test dataset</w:t>
      </w:r>
      <w:r>
        <w:rPr>
          <w:b/>
          <w:color w:val="auto"/>
          <w:sz w:val="18"/>
          <w:szCs w:val="18"/>
          <w:highlight w:val="none"/>
          <w:shd w:val="clear" w:color="auto" w:fill="FFFFFF"/>
        </w:rPr>
        <w:t>.</w:t>
      </w:r>
      <w:r>
        <w:rPr>
          <w:b/>
          <w:color w:val="auto"/>
          <w:sz w:val="18"/>
          <w:szCs w:val="18"/>
          <w:highlight w:val="none"/>
          <w:shd w:val="clear" w:color="auto" w:fill="FFFFFF"/>
        </w:rPr>
        <w:t xml:space="preserve"> </w:t>
      </w:r>
      <w:r>
        <w:rPr>
          <w:bCs/>
          <w:color w:val="auto"/>
          <w:sz w:val="18"/>
          <w:szCs w:val="18"/>
          <w:highlight w:val="none"/>
          <w:shd w:val="clear" w:color="auto" w:fill="FFFFFF"/>
        </w:rPr>
        <w:t xml:space="preserve">The automatic segmentation results </w:t>
      </w:r>
      <w:r>
        <w:rPr>
          <w:bCs/>
          <w:color w:val="auto"/>
          <w:sz w:val="18"/>
          <w:szCs w:val="18"/>
          <w:highlight w:val="none"/>
        </w:rPr>
        <w:t>for the</w:t>
      </w:r>
      <w:r>
        <w:rPr>
          <w:bCs/>
          <w:color w:val="auto"/>
          <w:sz w:val="18"/>
          <w:szCs w:val="18"/>
          <w:highlight w:val="none"/>
          <w:shd w:val="clear" w:color="auto" w:fill="FFFFFF"/>
        </w:rPr>
        <w:t xml:space="preserve"> liver, Couinaud’s liver segments</w:t>
      </w:r>
      <w:r>
        <w:rPr>
          <w:rFonts w:hint="eastAsia"/>
          <w:bCs/>
          <w:color w:val="auto"/>
          <w:sz w:val="18"/>
          <w:szCs w:val="18"/>
          <w:highlight w:val="none"/>
          <w:shd w:val="clear" w:color="auto" w:fill="FFFFFF"/>
        </w:rPr>
        <w:t>,</w:t>
      </w:r>
      <w:r>
        <w:rPr>
          <w:bCs/>
          <w:color w:val="auto"/>
          <w:sz w:val="18"/>
          <w:szCs w:val="18"/>
          <w:highlight w:val="none"/>
          <w:shd w:val="clear" w:color="auto" w:fill="FFFFFF"/>
        </w:rPr>
        <w:t xml:space="preserve"> and hepatic lesions were comparable to manual segmentation, </w:t>
      </w:r>
      <w:r>
        <w:rPr>
          <w:bCs/>
          <w:color w:val="auto"/>
          <w:sz w:val="18"/>
          <w:szCs w:val="18"/>
          <w:highlight w:val="none"/>
        </w:rPr>
        <w:t>whereas</w:t>
      </w:r>
      <w:r>
        <w:rPr>
          <w:bCs/>
          <w:color w:val="auto"/>
          <w:sz w:val="18"/>
          <w:szCs w:val="18"/>
          <w:highlight w:val="none"/>
          <w:shd w:val="clear" w:color="auto" w:fill="FFFFFF"/>
        </w:rPr>
        <w:t xml:space="preserve"> the automatic segmentation results </w:t>
      </w:r>
      <w:r>
        <w:rPr>
          <w:bCs/>
          <w:color w:val="auto"/>
          <w:sz w:val="18"/>
          <w:szCs w:val="18"/>
          <w:highlight w:val="none"/>
        </w:rPr>
        <w:t>for the</w:t>
      </w:r>
      <w:r>
        <w:rPr>
          <w:bCs/>
          <w:color w:val="auto"/>
          <w:sz w:val="18"/>
          <w:szCs w:val="18"/>
          <w:highlight w:val="none"/>
          <w:shd w:val="clear" w:color="auto" w:fill="FFFFFF"/>
        </w:rPr>
        <w:t xml:space="preserve"> hepatic veins and portal veins were not </w:t>
      </w:r>
      <w:r>
        <w:rPr>
          <w:bCs/>
          <w:color w:val="auto"/>
          <w:sz w:val="18"/>
          <w:szCs w:val="18"/>
          <w:highlight w:val="none"/>
        </w:rPr>
        <w:t>satisfactory</w:t>
      </w:r>
      <w:r>
        <w:rPr>
          <w:bCs/>
          <w:color w:val="auto"/>
          <w:sz w:val="18"/>
          <w:szCs w:val="18"/>
          <w:highlight w:val="none"/>
          <w:shd w:val="clear" w:color="auto" w:fill="FFFFFF"/>
        </w:rPr>
        <w:t>.</w:t>
      </w:r>
    </w:p>
    <w:p w14:paraId="5BB488EC">
      <w:pPr>
        <w:spacing w:line="360" w:lineRule="auto"/>
        <w:rPr>
          <w:rFonts w:hint="eastAsia"/>
          <w:bCs/>
          <w:color w:val="auto"/>
          <w:sz w:val="18"/>
          <w:szCs w:val="18"/>
          <w:highlight w:val="none"/>
          <w:shd w:val="clear" w:color="auto" w:fill="FFFFFF"/>
        </w:rPr>
      </w:pPr>
    </w:p>
    <w:p w14:paraId="21B82250">
      <w:pPr>
        <w:spacing w:line="360" w:lineRule="auto"/>
        <w:ind w:firstLine="210" w:firstLineChars="100"/>
        <w:rPr>
          <w:rFonts w:hint="eastAsia" w:ascii="等线" w:hAnsi="等线" w:eastAsia="等线"/>
          <w:color w:val="auto"/>
          <w:highlight w:val="none"/>
        </w:rPr>
      </w:pPr>
      <w:r>
        <w:rPr>
          <w:rFonts w:eastAsia="等线" w:cs="等线"/>
          <w:color w:val="auto"/>
          <w:highlight w:val="none"/>
        </w:rPr>
        <w:t xml:space="preserve">Both cases were patients with hepatic cirrhosis, among which one had a </w:t>
      </w:r>
      <w:r>
        <w:rPr>
          <w:rFonts w:hint="eastAsia" w:eastAsia="等线" w:cs="等线"/>
          <w:color w:val="auto"/>
          <w:highlight w:val="none"/>
        </w:rPr>
        <w:t>heterogeneous density</w:t>
      </w:r>
      <w:r>
        <w:rPr>
          <w:rFonts w:eastAsia="等线" w:cs="等线"/>
          <w:color w:val="auto"/>
          <w:highlight w:val="none"/>
        </w:rPr>
        <w:t xml:space="preserve"> hepatic lesion in the right hemi-liver. </w:t>
      </w:r>
      <w:bookmarkStart w:id="13" w:name="_GoBack"/>
      <w:bookmarkEnd w:id="13"/>
      <w:r>
        <w:rPr>
          <w:rFonts w:eastAsia="等线" w:cs="等线"/>
          <w:color w:val="auto"/>
          <w:highlight w:val="none"/>
        </w:rPr>
        <w:t>Our model obtained comparable results in the segmentation of the entire liver and eight Couinaud’s liver segments. Because severely distorted liver tissue caused by hepatic cirrhosis and vascular infiltration caused by hepatic tumors lead to small and blurred intrahepatic vessels, the automated segmentation results were only capable of precisely segmenting hepatic veins and portal veins up to the second branch ramifications. Additionally, liver tumors have ambiguous boundaries because of their invasive properties, which increased the difficulty in segmenting hepatic lesions.</w:t>
      </w:r>
    </w:p>
    <w:p w14:paraId="678CC5CB">
      <w:pPr>
        <w:spacing w:line="360" w:lineRule="auto"/>
        <w:rPr>
          <w:b/>
          <w:color w:val="auto"/>
          <w:sz w:val="18"/>
          <w:szCs w:val="18"/>
          <w:highlight w:val="none"/>
          <w:shd w:val="clear" w:color="auto" w:fill="FFFFFF"/>
        </w:rPr>
      </w:pPr>
      <w:r>
        <w:rPr>
          <w:b/>
          <w:color w:val="auto"/>
          <w:sz w:val="18"/>
          <w:szCs w:val="18"/>
          <w:highlight w:val="none"/>
          <w:shd w:val="clear" w:color="auto" w:fill="FFFFFF"/>
        </w:rPr>
        <w:t xml:space="preserve"> </w:t>
      </w:r>
    </w:p>
    <w:p w14:paraId="1E8CFB74">
      <w:pPr>
        <w:spacing w:line="360" w:lineRule="auto"/>
        <w:rPr>
          <w:b/>
          <w:bCs/>
          <w:i/>
          <w:iCs/>
          <w:color w:val="auto"/>
          <w:highlight w:val="none"/>
        </w:rPr>
      </w:pPr>
      <w:r>
        <w:rPr>
          <w:b/>
          <w:bCs/>
          <w:i/>
          <w:iCs/>
          <w:color w:val="auto"/>
          <w:highlight w:val="none"/>
        </w:rPr>
        <w:t>Segmentation Accuracy</w:t>
      </w:r>
      <w:r>
        <w:rPr>
          <w:rFonts w:hint="eastAsia"/>
          <w:b/>
          <w:bCs/>
          <w:i/>
          <w:iCs/>
          <w:color w:val="auto"/>
          <w:highlight w:val="none"/>
        </w:rPr>
        <w:t xml:space="preserve"> in internal test dataset</w:t>
      </w:r>
    </w:p>
    <w:p w14:paraId="21974A8A">
      <w:pPr>
        <w:spacing w:line="360" w:lineRule="auto"/>
        <w:ind w:firstLine="210" w:firstLineChars="100"/>
        <w:rPr>
          <w:rFonts w:eastAsia="等线" w:cs="等线"/>
          <w:color w:val="auto"/>
          <w:highlight w:val="none"/>
        </w:rPr>
      </w:pPr>
      <w:r>
        <w:rPr>
          <w:rFonts w:eastAsia="等线" w:cs="等线"/>
          <w:color w:val="auto"/>
          <w:highlight w:val="none"/>
        </w:rPr>
        <w:t xml:space="preserve">The average DSC values for the segmentation of each target anatomical structure ranged from 0.66 ± 0.08 (95% CI: 0.65, 0.68) to 0.98 ± 0.01 (95% CI: 0.98, 0.99), and the average VS values ranged from 0.74 ± 0.08 (95% CI: 0.73, 0.76) to 1.00 ± 0.01 (95% CI: 0.99, 1.00) in </w:t>
      </w:r>
      <w:r>
        <w:rPr>
          <w:rFonts w:hint="eastAsia" w:eastAsia="等线" w:cs="等线"/>
          <w:color w:val="auto"/>
          <w:highlight w:val="none"/>
        </w:rPr>
        <w:t xml:space="preserve">internal </w:t>
      </w:r>
      <w:r>
        <w:rPr>
          <w:rFonts w:eastAsia="等线" w:cs="等线"/>
          <w:color w:val="auto"/>
          <w:highlight w:val="none"/>
        </w:rPr>
        <w:t>test dataset</w:t>
      </w:r>
      <w:r>
        <w:rPr>
          <w:rFonts w:hint="eastAsia" w:eastAsia="等线" w:cs="等线"/>
          <w:color w:val="auto"/>
          <w:highlight w:val="none"/>
        </w:rPr>
        <w:t xml:space="preserve"> </w:t>
      </w:r>
      <w:r>
        <w:rPr>
          <w:rFonts w:eastAsia="等线" w:cs="等线"/>
          <w:color w:val="auto"/>
          <w:highlight w:val="none"/>
        </w:rPr>
        <w:t xml:space="preserve">(Table </w:t>
      </w:r>
      <w:r>
        <w:rPr>
          <w:rFonts w:hint="eastAsia" w:eastAsia="等线"/>
          <w:color w:val="auto"/>
          <w:highlight w:val="none"/>
        </w:rPr>
        <w:t>S</w:t>
      </w:r>
      <w:r>
        <w:rPr>
          <w:rFonts w:hint="eastAsia" w:eastAsia="等线" w:cs="等线"/>
          <w:color w:val="auto"/>
          <w:highlight w:val="none"/>
          <w:lang w:val="en-US" w:eastAsia="zh-CN"/>
        </w:rPr>
        <w:t>3</w:t>
      </w:r>
      <w:r>
        <w:rPr>
          <w:rFonts w:eastAsia="等线" w:cs="等线"/>
          <w:color w:val="auto"/>
          <w:highlight w:val="none"/>
        </w:rPr>
        <w:t>)</w:t>
      </w:r>
      <w:r>
        <w:rPr>
          <w:rFonts w:eastAsia="等线" w:cs="等线"/>
          <w:color w:val="auto"/>
          <w:highlight w:val="none"/>
        </w:rPr>
        <w:t>.</w:t>
      </w:r>
    </w:p>
    <w:p w14:paraId="441348DB">
      <w:pPr>
        <w:spacing w:line="360" w:lineRule="auto"/>
        <w:ind w:firstLine="210" w:firstLineChars="100"/>
        <w:rPr>
          <w:rFonts w:eastAsia="等线" w:cs="等线"/>
          <w:color w:val="auto"/>
          <w:highlight w:val="none"/>
        </w:rPr>
      </w:pPr>
      <w:r>
        <w:rPr>
          <w:rFonts w:eastAsia="等线" w:cs="等线"/>
          <w:color w:val="auto"/>
          <w:highlight w:val="none"/>
        </w:rPr>
        <w:t>On the basis of the DSC results, the differences in the segmentation of livers, Couinaud’s liver segments and hepatic veins between the different subgroups were statistically significant (P &lt; 0.001), but no significant differences were found between the subgroups in portal vein segmentation (P = 0.689). On the basis of the results of VS, the differences in the segmentation of the liver and Couinaud’s liver segments between the different subgroups were statistically significant (P &lt; 0.001), but no significant differences were found between the subgroups in the segmentation of the hepatic veins or portal veins (P = 0.749 for the hepatic veins, P = 0.932 for the portal veins).</w:t>
      </w:r>
    </w:p>
    <w:p w14:paraId="32DEC04B">
      <w:pPr>
        <w:spacing w:line="360" w:lineRule="auto"/>
        <w:rPr>
          <w:b/>
          <w:bCs/>
          <w:color w:val="auto"/>
          <w:highlight w:val="none"/>
        </w:rPr>
      </w:pPr>
      <w:r>
        <w:rPr>
          <w:b/>
          <w:bCs/>
          <w:color w:val="auto"/>
          <w:highlight w:val="none"/>
        </w:rPr>
        <w:t xml:space="preserve"> </w:t>
      </w:r>
    </w:p>
    <w:p w14:paraId="2683C2B5">
      <w:pPr>
        <w:spacing w:line="360" w:lineRule="auto"/>
        <w:rPr>
          <w:b/>
          <w:bCs/>
          <w:color w:val="auto"/>
          <w:highlight w:val="none"/>
        </w:rPr>
      </w:pPr>
      <w:r>
        <w:rPr>
          <w:b/>
          <w:bCs/>
          <w:color w:val="auto"/>
          <w:highlight w:val="none"/>
        </w:rPr>
        <w:t xml:space="preserve">Table </w:t>
      </w:r>
      <w:r>
        <w:rPr>
          <w:rFonts w:hint="eastAsia"/>
          <w:b/>
          <w:bCs/>
          <w:color w:val="auto"/>
          <w:highlight w:val="none"/>
        </w:rPr>
        <w:t>S</w:t>
      </w:r>
      <w:r>
        <w:rPr>
          <w:rFonts w:hint="eastAsia"/>
          <w:b/>
          <w:bCs/>
          <w:color w:val="auto"/>
          <w:highlight w:val="none"/>
          <w:lang w:val="en-US" w:eastAsia="zh-CN"/>
        </w:rPr>
        <w:t>3</w:t>
      </w:r>
      <w:r>
        <w:rPr>
          <w:b/>
          <w:bCs/>
          <w:color w:val="auto"/>
          <w:highlight w:val="none"/>
        </w:rPr>
        <w:t>: Performance of the DL models in the segmentation of liver, Couinaud’s liver segments (CSs), hepatic veins (HVs)</w:t>
      </w:r>
      <w:r>
        <w:rPr>
          <w:rFonts w:hint="eastAsia"/>
          <w:b/>
          <w:bCs/>
          <w:color w:val="auto"/>
          <w:highlight w:val="none"/>
        </w:rPr>
        <w:t xml:space="preserve">, </w:t>
      </w:r>
      <w:r>
        <w:rPr>
          <w:b/>
          <w:bCs/>
          <w:color w:val="auto"/>
          <w:highlight w:val="none"/>
        </w:rPr>
        <w:t>portal veins (PVs)</w:t>
      </w:r>
      <w:r>
        <w:rPr>
          <w:rFonts w:hint="eastAsia"/>
          <w:b/>
          <w:bCs/>
          <w:color w:val="auto"/>
          <w:highlight w:val="none"/>
        </w:rPr>
        <w:t>, and</w:t>
      </w:r>
      <w:r>
        <w:rPr>
          <w:b/>
          <w:bCs/>
          <w:color w:val="auto"/>
          <w:highlight w:val="none"/>
        </w:rPr>
        <w:t xml:space="preserve"> hepatic lesions (HLs) in </w:t>
      </w:r>
      <w:r>
        <w:rPr>
          <w:rFonts w:hint="eastAsia"/>
          <w:b/>
          <w:bCs/>
          <w:color w:val="auto"/>
          <w:highlight w:val="none"/>
        </w:rPr>
        <w:t>internal test dataset</w:t>
      </w:r>
      <w:r>
        <w:rPr>
          <w:b/>
          <w:bCs/>
          <w:color w:val="auto"/>
          <w:highlight w:val="none"/>
        </w:rPr>
        <w:t>.</w:t>
      </w:r>
    </w:p>
    <w:tbl>
      <w:tblPr>
        <w:tblStyle w:val="9"/>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1341"/>
        <w:gridCol w:w="1546"/>
        <w:gridCol w:w="1340"/>
        <w:gridCol w:w="1341"/>
        <w:gridCol w:w="1744"/>
      </w:tblGrid>
      <w:tr w14:paraId="0278E12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nil"/>
              <w:bottom w:val="single" w:color="auto" w:sz="4" w:space="0"/>
              <w:right w:val="nil"/>
            </w:tcBorders>
          </w:tcPr>
          <w:p w14:paraId="27D15BD8">
            <w:pPr>
              <w:spacing w:line="360" w:lineRule="auto"/>
              <w:rPr>
                <w:color w:val="auto"/>
                <w:sz w:val="18"/>
                <w:szCs w:val="18"/>
                <w:highlight w:val="none"/>
              </w:rPr>
            </w:pPr>
            <w:r>
              <w:rPr>
                <w:b/>
                <w:bCs/>
                <w:color w:val="auto"/>
                <w:sz w:val="18"/>
                <w:szCs w:val="18"/>
                <w:highlight w:val="none"/>
              </w:rPr>
              <w:t>Performance</w:t>
            </w:r>
          </w:p>
        </w:tc>
        <w:tc>
          <w:tcPr>
            <w:tcW w:w="0" w:type="auto"/>
            <w:tcBorders>
              <w:top w:val="single" w:color="auto" w:sz="4" w:space="0"/>
              <w:left w:val="nil"/>
              <w:bottom w:val="single" w:color="auto" w:sz="4" w:space="0"/>
              <w:right w:val="nil"/>
            </w:tcBorders>
          </w:tcPr>
          <w:p w14:paraId="25BD28E4">
            <w:pPr>
              <w:spacing w:line="360" w:lineRule="auto"/>
              <w:jc w:val="center"/>
              <w:rPr>
                <w:b/>
                <w:bCs/>
                <w:color w:val="auto"/>
                <w:sz w:val="18"/>
                <w:szCs w:val="18"/>
                <w:highlight w:val="none"/>
              </w:rPr>
            </w:pPr>
            <w:r>
              <w:rPr>
                <w:b/>
                <w:bCs/>
                <w:color w:val="auto"/>
                <w:sz w:val="18"/>
                <w:szCs w:val="18"/>
                <w:highlight w:val="none"/>
              </w:rPr>
              <w:t xml:space="preserve">Segmentation </w:t>
            </w:r>
            <w:r>
              <w:rPr>
                <w:b/>
                <w:bCs/>
                <w:color w:val="auto"/>
                <w:sz w:val="18"/>
                <w:szCs w:val="18"/>
                <w:highlight w:val="none"/>
              </w:rPr>
              <w:br w:type="textWrapping"/>
            </w:r>
            <w:r>
              <w:rPr>
                <w:b/>
                <w:bCs/>
                <w:color w:val="auto"/>
                <w:sz w:val="18"/>
                <w:szCs w:val="18"/>
                <w:highlight w:val="none"/>
              </w:rPr>
              <w:t>for livers</w:t>
            </w:r>
          </w:p>
        </w:tc>
        <w:tc>
          <w:tcPr>
            <w:tcW w:w="0" w:type="auto"/>
            <w:tcBorders>
              <w:top w:val="single" w:color="auto" w:sz="4" w:space="0"/>
              <w:left w:val="nil"/>
              <w:bottom w:val="single" w:color="auto" w:sz="4" w:space="0"/>
              <w:right w:val="nil"/>
            </w:tcBorders>
          </w:tcPr>
          <w:p w14:paraId="64D667E0">
            <w:pPr>
              <w:spacing w:line="360" w:lineRule="auto"/>
              <w:jc w:val="center"/>
              <w:rPr>
                <w:b/>
                <w:bCs/>
                <w:color w:val="auto"/>
                <w:sz w:val="18"/>
                <w:szCs w:val="18"/>
                <w:highlight w:val="none"/>
              </w:rPr>
            </w:pPr>
            <w:r>
              <w:rPr>
                <w:b/>
                <w:bCs/>
                <w:color w:val="auto"/>
                <w:sz w:val="18"/>
                <w:szCs w:val="18"/>
                <w:highlight w:val="none"/>
              </w:rPr>
              <w:t xml:space="preserve">Segmentation </w:t>
            </w:r>
            <w:r>
              <w:rPr>
                <w:b/>
                <w:bCs/>
                <w:color w:val="auto"/>
                <w:sz w:val="18"/>
                <w:szCs w:val="18"/>
                <w:highlight w:val="none"/>
              </w:rPr>
              <w:br w:type="textWrapping"/>
            </w:r>
            <w:r>
              <w:rPr>
                <w:b/>
                <w:bCs/>
                <w:color w:val="auto"/>
                <w:sz w:val="18"/>
                <w:szCs w:val="18"/>
                <w:highlight w:val="none"/>
              </w:rPr>
              <w:t>for CS</w:t>
            </w:r>
          </w:p>
        </w:tc>
        <w:tc>
          <w:tcPr>
            <w:tcW w:w="0" w:type="auto"/>
            <w:tcBorders>
              <w:top w:val="single" w:color="auto" w:sz="4" w:space="0"/>
              <w:left w:val="nil"/>
              <w:bottom w:val="single" w:color="auto" w:sz="4" w:space="0"/>
              <w:right w:val="nil"/>
            </w:tcBorders>
          </w:tcPr>
          <w:p w14:paraId="105BED4C">
            <w:pPr>
              <w:spacing w:line="360" w:lineRule="auto"/>
              <w:jc w:val="center"/>
              <w:rPr>
                <w:b/>
                <w:bCs/>
                <w:color w:val="auto"/>
                <w:sz w:val="18"/>
                <w:szCs w:val="18"/>
                <w:highlight w:val="none"/>
              </w:rPr>
            </w:pPr>
            <w:r>
              <w:rPr>
                <w:b/>
                <w:bCs/>
                <w:color w:val="auto"/>
                <w:sz w:val="18"/>
                <w:szCs w:val="18"/>
                <w:highlight w:val="none"/>
              </w:rPr>
              <w:t xml:space="preserve">Segmentation </w:t>
            </w:r>
            <w:r>
              <w:rPr>
                <w:b/>
                <w:bCs/>
                <w:color w:val="auto"/>
                <w:sz w:val="18"/>
                <w:szCs w:val="18"/>
                <w:highlight w:val="none"/>
              </w:rPr>
              <w:br w:type="textWrapping"/>
            </w:r>
            <w:r>
              <w:rPr>
                <w:b/>
                <w:bCs/>
                <w:color w:val="auto"/>
                <w:sz w:val="18"/>
                <w:szCs w:val="18"/>
                <w:highlight w:val="none"/>
              </w:rPr>
              <w:t>for HV</w:t>
            </w:r>
          </w:p>
        </w:tc>
        <w:tc>
          <w:tcPr>
            <w:tcW w:w="0" w:type="auto"/>
            <w:tcBorders>
              <w:top w:val="single" w:color="auto" w:sz="4" w:space="0"/>
              <w:left w:val="nil"/>
              <w:bottom w:val="single" w:color="auto" w:sz="4" w:space="0"/>
              <w:right w:val="nil"/>
            </w:tcBorders>
          </w:tcPr>
          <w:p w14:paraId="31AB25D2">
            <w:pPr>
              <w:spacing w:line="360" w:lineRule="auto"/>
              <w:jc w:val="center"/>
              <w:rPr>
                <w:b/>
                <w:bCs/>
                <w:color w:val="auto"/>
                <w:sz w:val="18"/>
                <w:szCs w:val="18"/>
                <w:highlight w:val="none"/>
              </w:rPr>
            </w:pPr>
            <w:r>
              <w:rPr>
                <w:b/>
                <w:bCs/>
                <w:color w:val="auto"/>
                <w:sz w:val="18"/>
                <w:szCs w:val="18"/>
                <w:highlight w:val="none"/>
              </w:rPr>
              <w:t xml:space="preserve">Segmentation </w:t>
            </w:r>
            <w:r>
              <w:rPr>
                <w:b/>
                <w:bCs/>
                <w:color w:val="auto"/>
                <w:sz w:val="18"/>
                <w:szCs w:val="18"/>
                <w:highlight w:val="none"/>
              </w:rPr>
              <w:br w:type="textWrapping"/>
            </w:r>
            <w:r>
              <w:rPr>
                <w:b/>
                <w:bCs/>
                <w:color w:val="auto"/>
                <w:sz w:val="18"/>
                <w:szCs w:val="18"/>
                <w:highlight w:val="none"/>
              </w:rPr>
              <w:t>for PV</w:t>
            </w:r>
          </w:p>
        </w:tc>
        <w:tc>
          <w:tcPr>
            <w:tcW w:w="0" w:type="auto"/>
            <w:tcBorders>
              <w:top w:val="single" w:color="auto" w:sz="4" w:space="0"/>
              <w:left w:val="nil"/>
              <w:bottom w:val="single" w:color="auto" w:sz="4" w:space="0"/>
              <w:right w:val="nil"/>
            </w:tcBorders>
          </w:tcPr>
          <w:p w14:paraId="0DD6BF63">
            <w:pPr>
              <w:spacing w:line="360" w:lineRule="auto"/>
              <w:jc w:val="center"/>
              <w:rPr>
                <w:b/>
                <w:bCs/>
                <w:color w:val="auto"/>
                <w:sz w:val="18"/>
                <w:szCs w:val="18"/>
                <w:highlight w:val="none"/>
              </w:rPr>
            </w:pPr>
            <w:r>
              <w:rPr>
                <w:b/>
                <w:bCs/>
                <w:color w:val="auto"/>
                <w:sz w:val="18"/>
                <w:szCs w:val="18"/>
                <w:highlight w:val="none"/>
              </w:rPr>
              <w:t>Segmentation for HL</w:t>
            </w:r>
          </w:p>
        </w:tc>
      </w:tr>
      <w:tr w14:paraId="63968FF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tcPr>
          <w:p w14:paraId="72617040">
            <w:pPr>
              <w:spacing w:line="360" w:lineRule="auto"/>
              <w:jc w:val="center"/>
              <w:rPr>
                <w:b/>
                <w:bCs/>
                <w:color w:val="auto"/>
                <w:sz w:val="18"/>
                <w:szCs w:val="18"/>
                <w:highlight w:val="none"/>
              </w:rPr>
            </w:pPr>
            <w:r>
              <w:rPr>
                <w:b/>
                <w:bCs/>
                <w:color w:val="auto"/>
                <w:sz w:val="18"/>
                <w:szCs w:val="18"/>
                <w:highlight w:val="none"/>
              </w:rPr>
              <w:t>DSC</w:t>
            </w:r>
          </w:p>
        </w:tc>
        <w:tc>
          <w:tcPr>
            <w:tcW w:w="0" w:type="auto"/>
            <w:tcBorders>
              <w:top w:val="nil"/>
              <w:left w:val="nil"/>
              <w:bottom w:val="nil"/>
              <w:right w:val="nil"/>
            </w:tcBorders>
          </w:tcPr>
          <w:p w14:paraId="1F1C291C">
            <w:pPr>
              <w:spacing w:line="360" w:lineRule="auto"/>
              <w:jc w:val="center"/>
              <w:rPr>
                <w:color w:val="auto"/>
                <w:sz w:val="18"/>
                <w:szCs w:val="18"/>
                <w:highlight w:val="none"/>
              </w:rPr>
            </w:pPr>
            <w:r>
              <w:rPr>
                <w:color w:val="auto"/>
                <w:sz w:val="18"/>
                <w:szCs w:val="18"/>
                <w:highlight w:val="none"/>
              </w:rPr>
              <w:t>0.98 ± 0.01</w:t>
            </w:r>
            <w:r>
              <w:rPr>
                <w:color w:val="auto"/>
                <w:sz w:val="18"/>
                <w:szCs w:val="18"/>
                <w:highlight w:val="none"/>
              </w:rPr>
              <w:br w:type="textWrapping"/>
            </w:r>
            <w:r>
              <w:rPr>
                <w:color w:val="auto"/>
                <w:sz w:val="18"/>
                <w:szCs w:val="18"/>
                <w:highlight w:val="none"/>
              </w:rPr>
              <w:t>(0.98, 0.99)</w:t>
            </w:r>
          </w:p>
        </w:tc>
        <w:tc>
          <w:tcPr>
            <w:tcW w:w="1547" w:type="dxa"/>
            <w:tcBorders>
              <w:top w:val="nil"/>
              <w:left w:val="nil"/>
              <w:bottom w:val="nil"/>
              <w:right w:val="nil"/>
            </w:tcBorders>
          </w:tcPr>
          <w:p w14:paraId="1661EA45">
            <w:pPr>
              <w:spacing w:line="360" w:lineRule="auto"/>
              <w:jc w:val="center"/>
              <w:rPr>
                <w:color w:val="auto"/>
                <w:sz w:val="18"/>
                <w:szCs w:val="18"/>
                <w:highlight w:val="none"/>
              </w:rPr>
            </w:pPr>
            <w:r>
              <w:rPr>
                <w:color w:val="auto"/>
                <w:sz w:val="18"/>
                <w:szCs w:val="18"/>
                <w:highlight w:val="none"/>
              </w:rPr>
              <w:t>0.93 ± 0.01</w:t>
            </w:r>
            <w:r>
              <w:rPr>
                <w:color w:val="auto"/>
                <w:sz w:val="18"/>
                <w:szCs w:val="18"/>
                <w:highlight w:val="none"/>
              </w:rPr>
              <w:br w:type="textWrapping"/>
            </w:r>
            <w:r>
              <w:rPr>
                <w:color w:val="auto"/>
                <w:sz w:val="18"/>
                <w:szCs w:val="18"/>
                <w:highlight w:val="none"/>
              </w:rPr>
              <w:t>(0.92, 0.94)</w:t>
            </w:r>
          </w:p>
        </w:tc>
        <w:tc>
          <w:tcPr>
            <w:tcW w:w="1340" w:type="dxa"/>
            <w:tcBorders>
              <w:top w:val="nil"/>
              <w:left w:val="nil"/>
              <w:bottom w:val="nil"/>
              <w:right w:val="nil"/>
            </w:tcBorders>
          </w:tcPr>
          <w:p w14:paraId="45651D67">
            <w:pPr>
              <w:spacing w:line="360" w:lineRule="auto"/>
              <w:jc w:val="center"/>
              <w:rPr>
                <w:color w:val="auto"/>
                <w:sz w:val="18"/>
                <w:szCs w:val="18"/>
                <w:highlight w:val="none"/>
              </w:rPr>
            </w:pPr>
            <w:r>
              <w:rPr>
                <w:color w:val="auto"/>
                <w:sz w:val="18"/>
                <w:szCs w:val="18"/>
                <w:highlight w:val="none"/>
              </w:rPr>
              <w:t>0.66 ± 0.08</w:t>
            </w:r>
            <w:r>
              <w:rPr>
                <w:color w:val="auto"/>
                <w:sz w:val="18"/>
                <w:szCs w:val="18"/>
                <w:highlight w:val="none"/>
              </w:rPr>
              <w:br w:type="textWrapping"/>
            </w:r>
            <w:r>
              <w:rPr>
                <w:color w:val="auto"/>
                <w:sz w:val="18"/>
                <w:szCs w:val="18"/>
                <w:highlight w:val="none"/>
              </w:rPr>
              <w:t>(0.65, 0.68)</w:t>
            </w:r>
          </w:p>
        </w:tc>
        <w:tc>
          <w:tcPr>
            <w:tcW w:w="0" w:type="auto"/>
            <w:tcBorders>
              <w:top w:val="nil"/>
              <w:left w:val="nil"/>
              <w:bottom w:val="nil"/>
              <w:right w:val="nil"/>
            </w:tcBorders>
          </w:tcPr>
          <w:p w14:paraId="5325C512">
            <w:pPr>
              <w:spacing w:line="360" w:lineRule="auto"/>
              <w:jc w:val="center"/>
              <w:rPr>
                <w:color w:val="auto"/>
                <w:sz w:val="18"/>
                <w:szCs w:val="18"/>
                <w:highlight w:val="none"/>
              </w:rPr>
            </w:pPr>
            <w:r>
              <w:rPr>
                <w:color w:val="auto"/>
                <w:sz w:val="18"/>
                <w:szCs w:val="18"/>
                <w:highlight w:val="none"/>
              </w:rPr>
              <w:t>0.67 ± 0.07</w:t>
            </w:r>
            <w:r>
              <w:rPr>
                <w:color w:val="auto"/>
                <w:sz w:val="18"/>
                <w:szCs w:val="18"/>
                <w:highlight w:val="none"/>
              </w:rPr>
              <w:br w:type="textWrapping"/>
            </w:r>
            <w:r>
              <w:rPr>
                <w:color w:val="auto"/>
                <w:sz w:val="18"/>
                <w:szCs w:val="18"/>
                <w:highlight w:val="none"/>
              </w:rPr>
              <w:t>(0.66, 0.69)</w:t>
            </w:r>
          </w:p>
        </w:tc>
        <w:tc>
          <w:tcPr>
            <w:tcW w:w="0" w:type="auto"/>
            <w:tcBorders>
              <w:top w:val="nil"/>
              <w:left w:val="nil"/>
              <w:bottom w:val="nil"/>
              <w:right w:val="nil"/>
            </w:tcBorders>
          </w:tcPr>
          <w:p w14:paraId="6B061668">
            <w:pPr>
              <w:spacing w:line="360" w:lineRule="auto"/>
              <w:jc w:val="center"/>
              <w:rPr>
                <w:color w:val="auto"/>
                <w:sz w:val="18"/>
                <w:szCs w:val="18"/>
                <w:highlight w:val="none"/>
              </w:rPr>
            </w:pPr>
            <w:r>
              <w:rPr>
                <w:color w:val="auto"/>
                <w:sz w:val="18"/>
                <w:szCs w:val="18"/>
                <w:highlight w:val="none"/>
              </w:rPr>
              <w:t>0.74 ± 0.17</w:t>
            </w:r>
            <w:r>
              <w:rPr>
                <w:color w:val="auto"/>
                <w:sz w:val="18"/>
                <w:szCs w:val="18"/>
                <w:highlight w:val="none"/>
              </w:rPr>
              <w:br w:type="textWrapping"/>
            </w:r>
            <w:r>
              <w:rPr>
                <w:color w:val="auto"/>
                <w:sz w:val="18"/>
                <w:szCs w:val="18"/>
                <w:highlight w:val="none"/>
              </w:rPr>
              <w:t>(0.67, 0.80)</w:t>
            </w:r>
          </w:p>
        </w:tc>
      </w:tr>
      <w:tr w14:paraId="59482F5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4" w:space="0"/>
              <w:right w:val="nil"/>
            </w:tcBorders>
          </w:tcPr>
          <w:p w14:paraId="221CC348">
            <w:pPr>
              <w:spacing w:line="360" w:lineRule="auto"/>
              <w:jc w:val="center"/>
              <w:rPr>
                <w:b/>
                <w:bCs/>
                <w:color w:val="auto"/>
                <w:sz w:val="18"/>
                <w:szCs w:val="18"/>
                <w:highlight w:val="none"/>
              </w:rPr>
            </w:pPr>
            <w:r>
              <w:rPr>
                <w:b/>
                <w:bCs/>
                <w:color w:val="auto"/>
                <w:sz w:val="18"/>
                <w:szCs w:val="18"/>
                <w:highlight w:val="none"/>
              </w:rPr>
              <w:t>VS</w:t>
            </w:r>
          </w:p>
        </w:tc>
        <w:tc>
          <w:tcPr>
            <w:tcW w:w="0" w:type="auto"/>
            <w:tcBorders>
              <w:top w:val="nil"/>
              <w:left w:val="nil"/>
              <w:bottom w:val="single" w:color="auto" w:sz="4" w:space="0"/>
              <w:right w:val="nil"/>
            </w:tcBorders>
          </w:tcPr>
          <w:p w14:paraId="447C5382">
            <w:pPr>
              <w:spacing w:line="360" w:lineRule="auto"/>
              <w:jc w:val="center"/>
              <w:rPr>
                <w:color w:val="auto"/>
                <w:sz w:val="18"/>
                <w:szCs w:val="18"/>
                <w:highlight w:val="none"/>
              </w:rPr>
            </w:pPr>
            <w:r>
              <w:rPr>
                <w:color w:val="auto"/>
                <w:sz w:val="18"/>
                <w:szCs w:val="18"/>
                <w:highlight w:val="none"/>
              </w:rPr>
              <w:t>1.00 ± 0.01</w:t>
            </w:r>
            <w:r>
              <w:rPr>
                <w:color w:val="auto"/>
                <w:sz w:val="18"/>
                <w:szCs w:val="18"/>
                <w:highlight w:val="none"/>
              </w:rPr>
              <w:br w:type="textWrapping"/>
            </w:r>
            <w:r>
              <w:rPr>
                <w:color w:val="auto"/>
                <w:sz w:val="18"/>
                <w:szCs w:val="18"/>
                <w:highlight w:val="none"/>
              </w:rPr>
              <w:t>(0.99, 1.00)</w:t>
            </w:r>
          </w:p>
        </w:tc>
        <w:tc>
          <w:tcPr>
            <w:tcW w:w="1547" w:type="dxa"/>
            <w:tcBorders>
              <w:top w:val="nil"/>
              <w:left w:val="nil"/>
              <w:bottom w:val="single" w:color="auto" w:sz="4" w:space="0"/>
              <w:right w:val="nil"/>
            </w:tcBorders>
          </w:tcPr>
          <w:p w14:paraId="709C7E76">
            <w:pPr>
              <w:spacing w:line="360" w:lineRule="auto"/>
              <w:jc w:val="center"/>
              <w:rPr>
                <w:color w:val="auto"/>
                <w:sz w:val="18"/>
                <w:szCs w:val="18"/>
                <w:highlight w:val="none"/>
              </w:rPr>
            </w:pPr>
            <w:r>
              <w:rPr>
                <w:color w:val="auto"/>
                <w:sz w:val="18"/>
                <w:szCs w:val="18"/>
                <w:highlight w:val="none"/>
              </w:rPr>
              <w:t>0.96 ± 0.08</w:t>
            </w:r>
            <w:r>
              <w:rPr>
                <w:color w:val="auto"/>
                <w:sz w:val="18"/>
                <w:szCs w:val="18"/>
                <w:highlight w:val="none"/>
              </w:rPr>
              <w:br w:type="textWrapping"/>
            </w:r>
            <w:r>
              <w:rPr>
                <w:color w:val="auto"/>
                <w:sz w:val="18"/>
                <w:szCs w:val="18"/>
                <w:highlight w:val="none"/>
              </w:rPr>
              <w:t>(0.95, 0.96)</w:t>
            </w:r>
          </w:p>
        </w:tc>
        <w:tc>
          <w:tcPr>
            <w:tcW w:w="1340" w:type="dxa"/>
            <w:tcBorders>
              <w:top w:val="nil"/>
              <w:left w:val="nil"/>
              <w:bottom w:val="single" w:color="auto" w:sz="4" w:space="0"/>
              <w:right w:val="nil"/>
            </w:tcBorders>
          </w:tcPr>
          <w:p w14:paraId="3EAC65B6">
            <w:pPr>
              <w:spacing w:line="360" w:lineRule="auto"/>
              <w:jc w:val="center"/>
              <w:rPr>
                <w:color w:val="auto"/>
                <w:sz w:val="18"/>
                <w:szCs w:val="18"/>
                <w:highlight w:val="none"/>
              </w:rPr>
            </w:pPr>
            <w:r>
              <w:rPr>
                <w:color w:val="auto"/>
                <w:sz w:val="18"/>
                <w:szCs w:val="18"/>
                <w:highlight w:val="none"/>
              </w:rPr>
              <w:t>0.80 ± 0.01</w:t>
            </w:r>
            <w:r>
              <w:rPr>
                <w:color w:val="auto"/>
                <w:sz w:val="18"/>
                <w:szCs w:val="18"/>
                <w:highlight w:val="none"/>
              </w:rPr>
              <w:br w:type="textWrapping"/>
            </w:r>
            <w:r>
              <w:rPr>
                <w:color w:val="auto"/>
                <w:sz w:val="18"/>
                <w:szCs w:val="18"/>
                <w:highlight w:val="none"/>
              </w:rPr>
              <w:t>(0.79, 0.84)</w:t>
            </w:r>
          </w:p>
        </w:tc>
        <w:tc>
          <w:tcPr>
            <w:tcW w:w="0" w:type="auto"/>
            <w:tcBorders>
              <w:top w:val="nil"/>
              <w:left w:val="nil"/>
              <w:bottom w:val="single" w:color="auto" w:sz="4" w:space="0"/>
              <w:right w:val="nil"/>
            </w:tcBorders>
          </w:tcPr>
          <w:p w14:paraId="76C6BFDF">
            <w:pPr>
              <w:spacing w:line="360" w:lineRule="auto"/>
              <w:jc w:val="center"/>
              <w:rPr>
                <w:color w:val="auto"/>
                <w:sz w:val="18"/>
                <w:szCs w:val="18"/>
                <w:highlight w:val="none"/>
              </w:rPr>
            </w:pPr>
            <w:r>
              <w:rPr>
                <w:color w:val="auto"/>
                <w:sz w:val="18"/>
                <w:szCs w:val="18"/>
                <w:highlight w:val="none"/>
              </w:rPr>
              <w:t>0.74 ± 0.08</w:t>
            </w:r>
            <w:r>
              <w:rPr>
                <w:color w:val="auto"/>
                <w:sz w:val="18"/>
                <w:szCs w:val="18"/>
                <w:highlight w:val="none"/>
              </w:rPr>
              <w:br w:type="textWrapping"/>
            </w:r>
            <w:r>
              <w:rPr>
                <w:color w:val="auto"/>
                <w:sz w:val="18"/>
                <w:szCs w:val="18"/>
                <w:highlight w:val="none"/>
              </w:rPr>
              <w:t>(0.73, 0.76)</w:t>
            </w:r>
          </w:p>
        </w:tc>
        <w:tc>
          <w:tcPr>
            <w:tcW w:w="0" w:type="auto"/>
            <w:tcBorders>
              <w:top w:val="nil"/>
              <w:left w:val="nil"/>
              <w:bottom w:val="single" w:color="auto" w:sz="4" w:space="0"/>
              <w:right w:val="nil"/>
            </w:tcBorders>
          </w:tcPr>
          <w:p w14:paraId="41BBB62A">
            <w:pPr>
              <w:spacing w:line="360" w:lineRule="auto"/>
              <w:jc w:val="center"/>
              <w:rPr>
                <w:color w:val="auto"/>
                <w:sz w:val="18"/>
                <w:szCs w:val="18"/>
                <w:highlight w:val="none"/>
              </w:rPr>
            </w:pPr>
            <w:r>
              <w:rPr>
                <w:color w:val="auto"/>
                <w:sz w:val="18"/>
                <w:szCs w:val="18"/>
                <w:highlight w:val="none"/>
              </w:rPr>
              <w:t>0.83 ± 0.18</w:t>
            </w:r>
            <w:r>
              <w:rPr>
                <w:color w:val="auto"/>
                <w:sz w:val="18"/>
                <w:szCs w:val="18"/>
                <w:highlight w:val="none"/>
              </w:rPr>
              <w:br w:type="textWrapping"/>
            </w:r>
            <w:r>
              <w:rPr>
                <w:color w:val="auto"/>
                <w:sz w:val="18"/>
                <w:szCs w:val="18"/>
                <w:highlight w:val="none"/>
              </w:rPr>
              <w:t>(0.76, 0.89)</w:t>
            </w:r>
          </w:p>
        </w:tc>
      </w:tr>
    </w:tbl>
    <w:p w14:paraId="414C09E5">
      <w:pPr>
        <w:spacing w:line="360" w:lineRule="auto"/>
        <w:jc w:val="center"/>
        <w:rPr>
          <w:b/>
          <w:bCs/>
          <w:i/>
          <w:iCs/>
          <w:color w:val="auto"/>
          <w:highlight w:val="none"/>
        </w:rPr>
      </w:pPr>
      <w:r>
        <w:rPr>
          <w:b/>
          <w:bCs/>
          <w:i/>
          <w:iCs/>
          <w:color w:val="auto"/>
          <w:highlight w:val="none"/>
        </w:rPr>
        <w:t xml:space="preserve"> </w:t>
      </w:r>
    </w:p>
    <w:p w14:paraId="1D247D5F">
      <w:pPr>
        <w:spacing w:line="360" w:lineRule="auto"/>
        <w:rPr>
          <w:color w:val="auto"/>
          <w:highlight w:val="none"/>
        </w:rPr>
      </w:pPr>
      <w:r>
        <w:rPr>
          <w:color w:val="auto"/>
          <w:highlight w:val="none"/>
        </w:rPr>
        <w:t xml:space="preserve"> </w:t>
      </w:r>
    </w:p>
    <w:p w14:paraId="1BEA5D90">
      <w:pPr>
        <w:pStyle w:val="3"/>
        <w:rPr>
          <w:rFonts w:hint="eastAsia" w:ascii="微软雅黑" w:hAnsi="微软雅黑" w:eastAsia="微软雅黑"/>
          <w:color w:val="auto"/>
          <w:highlight w:val="none"/>
        </w:rPr>
      </w:pPr>
      <w:bookmarkStart w:id="12" w:name="_Toc25051"/>
      <w:r>
        <w:rPr>
          <w:rFonts w:ascii="微软雅黑" w:hAnsi="微软雅黑" w:eastAsia="微软雅黑"/>
          <w:color w:val="auto"/>
          <w:highlight w:val="none"/>
        </w:rPr>
        <w:t>References</w:t>
      </w:r>
      <w:bookmarkEnd w:id="12"/>
    </w:p>
    <w:p w14:paraId="09140BB2">
      <w:pPr>
        <w:spacing w:line="360" w:lineRule="auto"/>
        <w:rPr>
          <w:color w:val="auto"/>
          <w:highlight w:val="none"/>
        </w:rPr>
      </w:pPr>
      <w:r>
        <w:rPr>
          <w:color w:val="auto"/>
          <w:highlight w:val="none"/>
        </w:rPr>
        <w:t>(1) Xie T, Li Y, Lin Z, et al. Deep learning for fully automated segmentation and volumetry of Couinaud liver segments and future liver remnants shown with CT before major hepatectomy: a validation study of a predictive model. Quant Imaging Med Surg. 2023;13(5):3088-3103. doi:10.21037/qims-22-1008</w:t>
      </w:r>
    </w:p>
    <w:p w14:paraId="61116FD9">
      <w:pPr>
        <w:spacing w:line="360" w:lineRule="auto"/>
        <w:rPr>
          <w:color w:val="auto"/>
          <w:highlight w:val="none"/>
        </w:rPr>
      </w:pPr>
      <w:r>
        <w:rPr>
          <w:color w:val="auto"/>
          <w:highlight w:val="none"/>
        </w:rPr>
        <w:t>(2) Tang A, Desai A, Hamilton G, et al. Accuracy of MR imaging-estimated proton density fat fraction for classification of dichotomized histologic steatosis grades in nonalcoholic fatty liver disease. Radiology. 2015;274(2):416-425. doi:10.1148/radiol.14140754</w:t>
      </w:r>
    </w:p>
    <w:p w14:paraId="74FCBCE8">
      <w:pPr>
        <w:spacing w:line="360" w:lineRule="auto"/>
        <w:rPr>
          <w:color w:val="auto"/>
          <w:highlight w:val="none"/>
        </w:rPr>
      </w:pPr>
      <w:r>
        <w:rPr>
          <w:color w:val="auto"/>
          <w:highlight w:val="none"/>
        </w:rPr>
        <w:t>(3) Dixon M, Cruz J, Sarwani N, Gusani N. The Future Liver Remnant : Definition, Evaluation, and Management. Am Surg. 2021;87(2):276-286. doi:10.1177/0003134820951451.</w:t>
      </w:r>
    </w:p>
    <w:p w14:paraId="1EE811C2">
      <w:pPr>
        <w:spacing w:line="360" w:lineRule="auto"/>
        <w:rPr>
          <w:color w:val="auto"/>
          <w:highlight w:val="none"/>
        </w:rPr>
      </w:pPr>
      <w:r>
        <w:rPr>
          <w:rFonts w:hint="eastAsia"/>
          <w:color w:val="auto"/>
          <w:highlight w:val="none"/>
        </w:rPr>
        <w:t>(4) Ç</w:t>
      </w:r>
      <w:r>
        <w:rPr>
          <w:color w:val="auto"/>
          <w:highlight w:val="none"/>
        </w:rPr>
        <w:t xml:space="preserve">içek Ö, Abdulkadir A, Lienkamp SS, Brox T, Ronneberger O. 3D U-Net: Learning Dense </w:t>
      </w:r>
    </w:p>
    <w:p w14:paraId="47FE1485">
      <w:pPr>
        <w:spacing w:line="360" w:lineRule="auto"/>
        <w:rPr>
          <w:color w:val="auto"/>
          <w:highlight w:val="none"/>
        </w:rPr>
      </w:pPr>
      <w:r>
        <w:rPr>
          <w:color w:val="auto"/>
          <w:highlight w:val="none"/>
        </w:rPr>
        <w:t xml:space="preserve">Volumetric Segmentation from Sparse Annotation. In: Ourselin S, Joskowicz L, Sabuncu M, Unal G, Wells W, eds. Medical Image Computing and Computer-Assisted Intervention – MICCAI 2016. </w:t>
      </w:r>
    </w:p>
    <w:p w14:paraId="7966125F">
      <w:pPr>
        <w:spacing w:line="360" w:lineRule="auto"/>
        <w:rPr>
          <w:color w:val="auto"/>
          <w:highlight w:val="none"/>
        </w:rPr>
      </w:pPr>
      <w:r>
        <w:rPr>
          <w:color w:val="auto"/>
          <w:highlight w:val="none"/>
        </w:rPr>
        <w:t xml:space="preserve">MICCAI 2016. Lecture Notes in Computer Science, vol 9901. Cham, Switzerland: Springer, 2016; </w:t>
      </w:r>
    </w:p>
    <w:p w14:paraId="5BDBC178">
      <w:pPr>
        <w:spacing w:line="360" w:lineRule="auto"/>
        <w:rPr>
          <w:color w:val="auto"/>
          <w:highlight w:val="none"/>
        </w:rPr>
      </w:pPr>
      <w:r>
        <w:rPr>
          <w:color w:val="auto"/>
          <w:highlight w:val="none"/>
        </w:rPr>
        <w:t xml:space="preserve">424–432. </w:t>
      </w:r>
    </w:p>
    <w:p w14:paraId="1899F548">
      <w:pPr>
        <w:spacing w:line="360" w:lineRule="auto"/>
        <w:rPr>
          <w:color w:val="auto"/>
          <w:highlight w:val="none"/>
        </w:rPr>
      </w:pPr>
    </w:p>
    <w:sectPr>
      <w:headerReference r:id="rId3" w:type="default"/>
      <w:footerReference r:id="rId4"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4745784"/>
      <w:docPartObj>
        <w:docPartGallery w:val="autotext"/>
      </w:docPartObj>
    </w:sdtPr>
    <w:sdtContent>
      <w:p w14:paraId="52B43463">
        <w:pPr>
          <w:pStyle w:val="6"/>
          <w:jc w:val="right"/>
        </w:pPr>
        <w:r>
          <w:fldChar w:fldCharType="begin"/>
        </w:r>
        <w:r>
          <w:instrText xml:space="preserve">PAGE   \* MERGEFORMAT</w:instrText>
        </w:r>
        <w:r>
          <w:fldChar w:fldCharType="separate"/>
        </w:r>
        <w:r>
          <w:rPr>
            <w:lang w:val="zh-CN"/>
          </w:rPr>
          <w:t>2</w:t>
        </w:r>
        <w:r>
          <w:fldChar w:fldCharType="end"/>
        </w:r>
      </w:p>
    </w:sdtContent>
  </w:sdt>
  <w:p w14:paraId="77E8E5E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2083010"/>
      <w:docPartObj>
        <w:docPartGallery w:val="autotext"/>
      </w:docPartObj>
    </w:sdtPr>
    <w:sdtContent>
      <w:p w14:paraId="4BD0040F">
        <w:pPr>
          <w:pStyle w:val="7"/>
          <w:jc w:val="right"/>
        </w:pPr>
        <w:r>
          <w:fldChar w:fldCharType="begin"/>
        </w:r>
        <w:r>
          <w:instrText xml:space="preserve">PAGE   \* MERGEFORMAT</w:instrText>
        </w:r>
        <w:r>
          <w:fldChar w:fldCharType="separate"/>
        </w:r>
        <w:r>
          <w:rPr>
            <w:lang w:val="zh-CN"/>
          </w:rPr>
          <w:t>2</w:t>
        </w:r>
        <w:r>
          <w:fldChar w:fldCharType="end"/>
        </w:r>
      </w:p>
    </w:sdtContent>
  </w:sdt>
  <w:p w14:paraId="6DDD1816">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doNotCompress"/>
  <w:compat>
    <w:balanceSingleByteDoubleByteWidth/>
    <w:doNotExpandShiftReturn/>
    <w:adjustLineHeightInTable/>
    <w:useFELayout/>
    <w:doNotUseIndentAsNumberingTabStop/>
    <w:compatSetting w:name="compatibilityMode" w:uri="http://schemas.microsoft.com/office/word" w:val="12"/>
  </w:compat>
  <w:docVars>
    <w:docVar w:name="commondata" w:val="eyJoZGlkIjoiNGU5YTk2NWU3OTRhNTU0YjZlNWE0ODExMjY4YzM0MTgifQ=="/>
  </w:docVars>
  <w:rsids>
    <w:rsidRoot w:val="00396FA6"/>
    <w:rsid w:val="0002758F"/>
    <w:rsid w:val="0005512C"/>
    <w:rsid w:val="000E1A00"/>
    <w:rsid w:val="000E2F2E"/>
    <w:rsid w:val="001575C9"/>
    <w:rsid w:val="00177B1C"/>
    <w:rsid w:val="00193084"/>
    <w:rsid w:val="0019546A"/>
    <w:rsid w:val="001A51F6"/>
    <w:rsid w:val="001B0721"/>
    <w:rsid w:val="001B2921"/>
    <w:rsid w:val="001B6B93"/>
    <w:rsid w:val="001D606A"/>
    <w:rsid w:val="001F1665"/>
    <w:rsid w:val="0023618D"/>
    <w:rsid w:val="002C5AA0"/>
    <w:rsid w:val="002D73F8"/>
    <w:rsid w:val="002D74BD"/>
    <w:rsid w:val="002E559C"/>
    <w:rsid w:val="003433C1"/>
    <w:rsid w:val="00344CA1"/>
    <w:rsid w:val="00373220"/>
    <w:rsid w:val="003741D8"/>
    <w:rsid w:val="00380752"/>
    <w:rsid w:val="00396FA6"/>
    <w:rsid w:val="003A42C5"/>
    <w:rsid w:val="003D15C0"/>
    <w:rsid w:val="00402235"/>
    <w:rsid w:val="004374C4"/>
    <w:rsid w:val="00456EE9"/>
    <w:rsid w:val="00467BB0"/>
    <w:rsid w:val="00492F5C"/>
    <w:rsid w:val="004B2755"/>
    <w:rsid w:val="004E0A5F"/>
    <w:rsid w:val="004E5E35"/>
    <w:rsid w:val="00521846"/>
    <w:rsid w:val="00561853"/>
    <w:rsid w:val="00563DBC"/>
    <w:rsid w:val="00575D5E"/>
    <w:rsid w:val="005A2798"/>
    <w:rsid w:val="005B7BBB"/>
    <w:rsid w:val="006775D3"/>
    <w:rsid w:val="00687AE9"/>
    <w:rsid w:val="006D4238"/>
    <w:rsid w:val="006E4FD2"/>
    <w:rsid w:val="0077356E"/>
    <w:rsid w:val="00791085"/>
    <w:rsid w:val="007A2F71"/>
    <w:rsid w:val="007A3BD9"/>
    <w:rsid w:val="007C154E"/>
    <w:rsid w:val="0080684D"/>
    <w:rsid w:val="008277CD"/>
    <w:rsid w:val="00836F8E"/>
    <w:rsid w:val="00846063"/>
    <w:rsid w:val="00866027"/>
    <w:rsid w:val="00885F5D"/>
    <w:rsid w:val="008B671D"/>
    <w:rsid w:val="008D102D"/>
    <w:rsid w:val="0091195F"/>
    <w:rsid w:val="00956D9A"/>
    <w:rsid w:val="00982F68"/>
    <w:rsid w:val="00986456"/>
    <w:rsid w:val="0098779C"/>
    <w:rsid w:val="00996999"/>
    <w:rsid w:val="009E4912"/>
    <w:rsid w:val="00A177DF"/>
    <w:rsid w:val="00A563A1"/>
    <w:rsid w:val="00AA7273"/>
    <w:rsid w:val="00AB3296"/>
    <w:rsid w:val="00AC5FA7"/>
    <w:rsid w:val="00AD1A93"/>
    <w:rsid w:val="00AE60D4"/>
    <w:rsid w:val="00B23FEA"/>
    <w:rsid w:val="00B949BF"/>
    <w:rsid w:val="00BD407D"/>
    <w:rsid w:val="00BD5321"/>
    <w:rsid w:val="00BF368F"/>
    <w:rsid w:val="00C14F02"/>
    <w:rsid w:val="00C60690"/>
    <w:rsid w:val="00C62C2B"/>
    <w:rsid w:val="00C829F0"/>
    <w:rsid w:val="00C9476F"/>
    <w:rsid w:val="00CE0CCC"/>
    <w:rsid w:val="00D16E2A"/>
    <w:rsid w:val="00D95133"/>
    <w:rsid w:val="00DE1A1E"/>
    <w:rsid w:val="00DE337F"/>
    <w:rsid w:val="00E20BED"/>
    <w:rsid w:val="00E54391"/>
    <w:rsid w:val="00E806CF"/>
    <w:rsid w:val="00E87EF7"/>
    <w:rsid w:val="00EB2E92"/>
    <w:rsid w:val="00F0700D"/>
    <w:rsid w:val="00F21EFC"/>
    <w:rsid w:val="00F42D34"/>
    <w:rsid w:val="00F9121C"/>
    <w:rsid w:val="00F96B72"/>
    <w:rsid w:val="00FA4B6D"/>
    <w:rsid w:val="00FC525C"/>
    <w:rsid w:val="00FF3C54"/>
    <w:rsid w:val="00FF76CF"/>
    <w:rsid w:val="018C1643"/>
    <w:rsid w:val="033B50CF"/>
    <w:rsid w:val="0377026E"/>
    <w:rsid w:val="07487DBA"/>
    <w:rsid w:val="09D04097"/>
    <w:rsid w:val="0ABF65E6"/>
    <w:rsid w:val="0AC41E4E"/>
    <w:rsid w:val="0ACC0D02"/>
    <w:rsid w:val="11AD363C"/>
    <w:rsid w:val="13180B86"/>
    <w:rsid w:val="159529BE"/>
    <w:rsid w:val="17D3547E"/>
    <w:rsid w:val="18EF453A"/>
    <w:rsid w:val="1B067919"/>
    <w:rsid w:val="1B9B2757"/>
    <w:rsid w:val="1BCF41AF"/>
    <w:rsid w:val="1E377936"/>
    <w:rsid w:val="238E4215"/>
    <w:rsid w:val="23985F88"/>
    <w:rsid w:val="25BA1A2C"/>
    <w:rsid w:val="25FA451E"/>
    <w:rsid w:val="26A5448A"/>
    <w:rsid w:val="2964062C"/>
    <w:rsid w:val="2B1E0CAF"/>
    <w:rsid w:val="2B395AE8"/>
    <w:rsid w:val="2CDE06F5"/>
    <w:rsid w:val="2DC66569"/>
    <w:rsid w:val="30556F21"/>
    <w:rsid w:val="30DF6A7C"/>
    <w:rsid w:val="323B5B0E"/>
    <w:rsid w:val="380354B4"/>
    <w:rsid w:val="396B1563"/>
    <w:rsid w:val="3B2C6AD0"/>
    <w:rsid w:val="3C9C7E75"/>
    <w:rsid w:val="3D0E510B"/>
    <w:rsid w:val="3F0A7128"/>
    <w:rsid w:val="43B45385"/>
    <w:rsid w:val="47F92430"/>
    <w:rsid w:val="481608EC"/>
    <w:rsid w:val="4832149E"/>
    <w:rsid w:val="48861F15"/>
    <w:rsid w:val="4AC279A4"/>
    <w:rsid w:val="4C11250C"/>
    <w:rsid w:val="4F764366"/>
    <w:rsid w:val="501166B2"/>
    <w:rsid w:val="517B3EB5"/>
    <w:rsid w:val="52A307EB"/>
    <w:rsid w:val="544B4013"/>
    <w:rsid w:val="56A30136"/>
    <w:rsid w:val="57F329F7"/>
    <w:rsid w:val="586C4558"/>
    <w:rsid w:val="5E2075E7"/>
    <w:rsid w:val="5FD127D9"/>
    <w:rsid w:val="5FDA449D"/>
    <w:rsid w:val="60AE1BB1"/>
    <w:rsid w:val="60DA3EED"/>
    <w:rsid w:val="622E1596"/>
    <w:rsid w:val="62AD7C47"/>
    <w:rsid w:val="62BC7E8A"/>
    <w:rsid w:val="644D7933"/>
    <w:rsid w:val="679D64DC"/>
    <w:rsid w:val="69BD10B7"/>
    <w:rsid w:val="6A050368"/>
    <w:rsid w:val="6AC73E9B"/>
    <w:rsid w:val="6BB65DBE"/>
    <w:rsid w:val="6C77554D"/>
    <w:rsid w:val="6CFE7A1D"/>
    <w:rsid w:val="6CFF57CC"/>
    <w:rsid w:val="73AB01D2"/>
    <w:rsid w:val="748C590E"/>
    <w:rsid w:val="77DC095A"/>
    <w:rsid w:val="781E0B9E"/>
    <w:rsid w:val="78B6564F"/>
    <w:rsid w:val="7989207B"/>
    <w:rsid w:val="7ACA53E2"/>
    <w:rsid w:val="7D1A2F21"/>
    <w:rsid w:val="7E165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14:ligatures w14:val="standardContextual"/>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32"/>
      <w:szCs w:val="32"/>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autoRedefine/>
    <w:unhideWhenUsed/>
    <w:qFormat/>
    <w:uiPriority w:val="39"/>
    <w:pPr>
      <w:ind w:left="840" w:leftChars="400"/>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tabs>
        <w:tab w:val="center" w:pos="4153"/>
        <w:tab w:val="right" w:pos="8306"/>
      </w:tabs>
      <w:snapToGrid w:val="0"/>
      <w:jc w:val="center"/>
    </w:pPr>
    <w:rPr>
      <w:sz w:val="18"/>
      <w:szCs w:val="18"/>
    </w:rPr>
  </w:style>
  <w:style w:type="paragraph" w:styleId="8">
    <w:name w:val="toc 2"/>
    <w:basedOn w:val="1"/>
    <w:next w:val="1"/>
    <w:autoRedefine/>
    <w:unhideWhenUsed/>
    <w:qFormat/>
    <w:uiPriority w:val="39"/>
    <w:pPr>
      <w:ind w:left="420" w:leftChars="200"/>
    </w:pPr>
  </w:style>
  <w:style w:type="character" w:styleId="11">
    <w:name w:val="line number"/>
    <w:basedOn w:val="10"/>
    <w:semiHidden/>
    <w:unhideWhenUsed/>
    <w:qFormat/>
    <w:uiPriority w:val="99"/>
  </w:style>
  <w:style w:type="character" w:styleId="12">
    <w:name w:val="Hyperlink"/>
    <w:basedOn w:val="10"/>
    <w:unhideWhenUsed/>
    <w:qFormat/>
    <w:uiPriority w:val="99"/>
    <w:rPr>
      <w:color w:val="0563C1" w:themeColor="hyperlink"/>
      <w:u w:val="single"/>
    </w:rPr>
  </w:style>
  <w:style w:type="character" w:customStyle="1" w:styleId="13">
    <w:name w:val="页眉 字符"/>
    <w:basedOn w:val="10"/>
    <w:link w:val="7"/>
    <w:qFormat/>
    <w:uiPriority w:val="99"/>
    <w:rPr>
      <w:sz w:val="18"/>
      <w:szCs w:val="18"/>
    </w:rPr>
  </w:style>
  <w:style w:type="character" w:customStyle="1" w:styleId="14">
    <w:name w:val="页脚 字符"/>
    <w:basedOn w:val="10"/>
    <w:link w:val="6"/>
    <w:qFormat/>
    <w:uiPriority w:val="99"/>
    <w:rPr>
      <w:sz w:val="18"/>
      <w:szCs w:val="18"/>
    </w:rPr>
  </w:style>
  <w:style w:type="character" w:customStyle="1" w:styleId="15">
    <w:name w:val="标题 2 字符"/>
    <w:basedOn w:val="10"/>
    <w:link w:val="3"/>
    <w:qFormat/>
    <w:uiPriority w:val="9"/>
    <w:rPr>
      <w:rFonts w:asciiTheme="majorHAnsi" w:hAnsiTheme="majorHAnsi" w:eastAsiaTheme="majorEastAsia" w:cstheme="majorBidi"/>
      <w:b/>
      <w:bCs/>
      <w:kern w:val="2"/>
      <w:sz w:val="32"/>
      <w:szCs w:val="32"/>
      <w14:ligatures w14:val="standardContextual"/>
    </w:rPr>
  </w:style>
  <w:style w:type="character" w:customStyle="1" w:styleId="16">
    <w:name w:val="标题 3 字符"/>
    <w:basedOn w:val="10"/>
    <w:link w:val="4"/>
    <w:qFormat/>
    <w:uiPriority w:val="9"/>
    <w:rPr>
      <w:b/>
      <w:bCs/>
      <w:kern w:val="2"/>
      <w:sz w:val="32"/>
      <w:szCs w:val="32"/>
      <w14:ligatures w14:val="standardContextual"/>
    </w:rPr>
  </w:style>
  <w:style w:type="character" w:customStyle="1" w:styleId="17">
    <w:name w:val="标题 1 字符"/>
    <w:basedOn w:val="10"/>
    <w:link w:val="2"/>
    <w:qFormat/>
    <w:uiPriority w:val="9"/>
    <w:rPr>
      <w:b/>
      <w:bCs/>
      <w:kern w:val="44"/>
      <w:sz w:val="44"/>
      <w:szCs w:val="44"/>
      <w14:ligatures w14:val="standardContextual"/>
    </w:rPr>
  </w:style>
  <w:style w:type="paragraph" w:customStyle="1" w:styleId="18">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tiff"/><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8048F-889F-4434-AE29-8B9AA679C082}">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2273</Words>
  <Characters>12736</Characters>
  <Lines>111</Lines>
  <Paragraphs>31</Paragraphs>
  <TotalTime>11</TotalTime>
  <ScaleCrop>false</ScaleCrop>
  <LinksUpToDate>false</LinksUpToDate>
  <CharactersWithSpaces>14917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2024-09-12T02:01:00Z</dcterms:created>
  <dc:creator>tina xie</dc:creator>
  <cp:lastModifiedBy>ttxie</cp:lastModifiedBy>
  <dcterms:modified xsi:type="dcterms:W3CDTF">2025-05-09T01:01:51Z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5FDC1694F76242FD8685376F2CB7F118_12</vt:lpwstr>
  </property>
  <property fmtid="{D5CDD505-2E9C-101B-9397-08002B2CF9AE}" pid="4" name="KSOTemplateDocerSaveRecord">
    <vt:lpwstr>eyJoZGlkIjoiNGU5YTk2NWU3OTRhNTU0YjZlNWE0ODExMjY4YzM0MTgiLCJ1c2VySWQiOiIyNjg1MDEyODgifQ==</vt:lpwstr>
  </property>
</Properties>
</file>