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FEB25" w14:textId="268DEB13" w:rsidR="00FF37B0" w:rsidRDefault="00FF37B0" w:rsidP="0071739D">
      <w:pPr>
        <w:spacing w:line="480" w:lineRule="auto"/>
        <w:rPr>
          <w:rFonts w:ascii="Arial" w:hAnsi="Arial" w:cs="Arial"/>
          <w:color w:val="000000" w:themeColor="text1"/>
          <w:sz w:val="24"/>
          <w:lang w:bidi="fa-IR"/>
        </w:rPr>
      </w:pPr>
      <w:bookmarkStart w:id="0" w:name="_Hlk218601539"/>
      <w:r w:rsidRPr="00FF37B0">
        <w:rPr>
          <w:rFonts w:ascii="Arial" w:hAnsi="Arial" w:cs="Arial" w:hint="eastAsia"/>
          <w:color w:val="000000" w:themeColor="text1"/>
          <w:sz w:val="24"/>
          <w:lang w:bidi="fa-IR"/>
        </w:rPr>
        <w:t>Transformer Core Fusion Module</w:t>
      </w:r>
    </w:p>
    <w:bookmarkEnd w:id="0"/>
    <w:p w14:paraId="0BAEA656" w14:textId="52705483" w:rsidR="00FF37B0" w:rsidRPr="00FF37B0" w:rsidRDefault="00FF37B0" w:rsidP="0071739D">
      <w:pPr>
        <w:spacing w:line="480" w:lineRule="auto"/>
        <w:rPr>
          <w:rFonts w:ascii="Arial" w:hAnsi="Arial" w:cs="Arial" w:hint="eastAsia"/>
          <w:color w:val="000000" w:themeColor="text1"/>
          <w:sz w:val="24"/>
          <w:lang w:bidi="fa-IR"/>
        </w:rPr>
      </w:pPr>
      <w:r w:rsidRPr="00FF37B0">
        <w:rPr>
          <w:rFonts w:ascii="Arial" w:hAnsi="Arial" w:cs="Arial" w:hint="eastAsia"/>
          <w:color w:val="000000" w:themeColor="text1"/>
          <w:sz w:val="24"/>
          <w:lang w:bidi="fa-IR"/>
        </w:rPr>
        <w:t>The Transformer encoder is the core for realizing cross-modal feature fusion. It captures the dependencies between features of different modalities through the multi-head self-attention mechanism, achieving dynamic interaction and optimization of features. This study adopts a stacked Transformer encoder structure, with the specific design as follows:</w:t>
      </w:r>
    </w:p>
    <w:p w14:paraId="348ECDBA" w14:textId="788E6F3F" w:rsidR="00FF37B0" w:rsidRPr="00FF37B0" w:rsidRDefault="00FF37B0" w:rsidP="0071739D">
      <w:pPr>
        <w:spacing w:line="480" w:lineRule="auto"/>
        <w:rPr>
          <w:rFonts w:ascii="Arial" w:hAnsi="Arial" w:cs="Arial" w:hint="eastAsia"/>
          <w:color w:val="000000" w:themeColor="text1"/>
          <w:sz w:val="24"/>
          <w:lang w:bidi="fa-IR"/>
        </w:rPr>
      </w:pPr>
      <w:r w:rsidRPr="00FF37B0">
        <w:rPr>
          <w:rFonts w:ascii="Arial" w:hAnsi="Arial" w:cs="Arial" w:hint="eastAsia"/>
          <w:color w:val="000000" w:themeColor="text1"/>
          <w:sz w:val="24"/>
          <w:lang w:bidi="fa-IR"/>
        </w:rPr>
        <w:t>Six Transformer encoder layers with the same structure are stacked (N=6). Each layer integrates a multi-head self-attention sublayer and a position-wise feed-forward network, further enhancing the cross-modal feature fusion effect through multi-layer iterative interaction;</w:t>
      </w:r>
    </w:p>
    <w:p w14:paraId="796588B1" w14:textId="0B4EACDD" w:rsidR="00FF37B0" w:rsidRDefault="00FF37B0" w:rsidP="0071739D">
      <w:pPr>
        <w:spacing w:line="480" w:lineRule="auto"/>
        <w:rPr>
          <w:rFonts w:ascii="Arial" w:hAnsi="Arial" w:cs="Arial"/>
          <w:color w:val="000000" w:themeColor="text1"/>
          <w:sz w:val="24"/>
          <w:lang w:bidi="fa-IR"/>
        </w:rPr>
      </w:pPr>
      <w:r w:rsidRPr="00FF37B0">
        <w:rPr>
          <w:rFonts w:ascii="Arial" w:hAnsi="Arial" w:cs="Arial" w:hint="eastAsia"/>
          <w:color w:val="000000" w:themeColor="text1"/>
          <w:sz w:val="24"/>
          <w:lang w:bidi="fa-IR"/>
        </w:rPr>
        <w:t>Multi-head self-attention mechanism: The standard calculation paradigm is adopted, with the formula as follows:</w:t>
      </w:r>
    </w:p>
    <w:p w14:paraId="2167F11D" w14:textId="46605DEF" w:rsidR="00FF37B0" w:rsidRPr="00964A5A" w:rsidRDefault="00FF37B0" w:rsidP="0071739D">
      <w:pPr>
        <w:spacing w:line="480" w:lineRule="auto"/>
        <w:rPr>
          <w:rFonts w:hint="eastAsia"/>
        </w:rPr>
      </w:pPr>
      <w:r w:rsidRPr="00FF37B0">
        <w:rPr>
          <w:rFonts w:ascii="Arial" w:hAnsi="Arial" w:cs="Arial"/>
          <w:color w:val="000000" w:themeColor="text1"/>
          <w:sz w:val="24"/>
          <w:lang w:bidi="fa-IR"/>
        </w:rPr>
        <w:t>MultiHead(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Q,</w:t>
      </w:r>
      <w:r w:rsidRPr="00FF37B0">
        <w:rPr>
          <w:rFonts w:ascii="Arial" w:hAnsi="Arial" w:cs="Arial" w:hint="eastAsia"/>
          <w:i/>
          <w:color w:val="000000" w:themeColor="text1"/>
          <w:sz w:val="24"/>
          <w:lang w:bidi="fa-IR"/>
        </w:rPr>
        <w:t xml:space="preserve"> 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K,</w:t>
      </w:r>
      <w:r w:rsidRPr="00FF37B0">
        <w:rPr>
          <w:rFonts w:ascii="Arial" w:hAnsi="Arial" w:cs="Arial" w:hint="eastAsia"/>
          <w:i/>
          <w:color w:val="000000" w:themeColor="text1"/>
          <w:sz w:val="24"/>
          <w:lang w:bidi="fa-IR"/>
        </w:rPr>
        <w:t xml:space="preserve"> 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V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>)</w:t>
      </w:r>
      <w:r>
        <w:rPr>
          <w:rFonts w:ascii="Arial" w:hAnsi="Arial" w:cs="Arial" w:hint="eastAsia"/>
          <w:color w:val="000000" w:themeColor="text1"/>
          <w:sz w:val="24"/>
          <w:lang w:bidi="fa-IR"/>
        </w:rPr>
        <w:t xml:space="preserve"> 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>=</w:t>
      </w:r>
      <w:r>
        <w:rPr>
          <w:rFonts w:ascii="Arial" w:hAnsi="Arial" w:cs="Arial" w:hint="eastAsia"/>
          <w:color w:val="000000" w:themeColor="text1"/>
          <w:sz w:val="24"/>
          <w:lang w:bidi="fa-IR"/>
        </w:rPr>
        <w:t xml:space="preserve"> 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>Concat(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head</w:t>
      </w:r>
      <w:r w:rsidRPr="00FF37B0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1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,</w:t>
      </w:r>
      <w:r w:rsidRPr="00FF37B0">
        <w:rPr>
          <w:rFonts w:ascii="Arial" w:hAnsi="Arial" w:cs="Arial" w:hint="eastAsia"/>
          <w:i/>
          <w:color w:val="000000" w:themeColor="text1"/>
          <w:sz w:val="24"/>
          <w:lang w:bidi="fa-IR"/>
        </w:rPr>
        <w:t xml:space="preserve"> </w:t>
      </w:r>
      <w:r w:rsidRPr="00FF37B0">
        <w:rPr>
          <w:rFonts w:ascii="Arial" w:hAnsi="Arial" w:cs="Arial" w:hint="eastAsia"/>
          <w:i/>
          <w:color w:val="000000" w:themeColor="text1"/>
          <w:sz w:val="24"/>
          <w:lang w:bidi="fa-IR"/>
        </w:rPr>
        <w:t>head</w:t>
      </w:r>
      <w:r w:rsidRPr="00FF37B0">
        <w:rPr>
          <w:rFonts w:ascii="Arial" w:hAnsi="Arial" w:cs="Arial" w:hint="eastAsia"/>
          <w:i/>
          <w:color w:val="000000" w:themeColor="text1"/>
          <w:sz w:val="24"/>
          <w:vertAlign w:val="subscript"/>
          <w:lang w:bidi="fa-IR"/>
        </w:rPr>
        <w:t>2</w:t>
      </w:r>
      <w:r w:rsidRPr="00FF37B0">
        <w:rPr>
          <w:rFonts w:ascii="Arial" w:hAnsi="Arial" w:cs="Arial" w:hint="eastAsia"/>
          <w:i/>
          <w:color w:val="000000" w:themeColor="text1"/>
          <w:sz w:val="24"/>
          <w:lang w:bidi="fa-IR"/>
        </w:rPr>
        <w:t>,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…, head</w:t>
      </w:r>
      <w:r w:rsidRPr="00FF37B0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h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>)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W</w:t>
      </w:r>
      <w:r w:rsidRPr="00FF37B0">
        <w:rPr>
          <w:rFonts w:ascii="Arial" w:hAnsi="Arial" w:cs="Arial" w:hint="eastAsia"/>
          <w:i/>
          <w:color w:val="000000" w:themeColor="text1"/>
          <w:sz w:val="24"/>
          <w:vertAlign w:val="subscript"/>
          <w:lang w:bidi="fa-IR"/>
        </w:rPr>
        <w:t>o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,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 where each </w:t>
      </w:r>
      <w:r w:rsidRPr="00FF37B0">
        <w:rPr>
          <w:rFonts w:ascii="Arial" w:hAnsi="Arial" w:cs="Arial"/>
          <w:i/>
          <w:iCs/>
          <w:color w:val="000000" w:themeColor="text1"/>
          <w:sz w:val="24"/>
          <w:lang w:bidi="fa-IR"/>
        </w:rPr>
        <w:t>head</w:t>
      </w:r>
      <w:r w:rsidRPr="00FF37B0">
        <w:rPr>
          <w:rFonts w:ascii="Arial" w:hAnsi="Arial" w:cs="Arial"/>
          <w:i/>
          <w:iCs/>
          <w:color w:val="000000" w:themeColor="text1"/>
          <w:sz w:val="24"/>
          <w:vertAlign w:val="subscript"/>
          <w:lang w:bidi="fa-IR"/>
        </w:rPr>
        <w:t>i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 =Attention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 xml:space="preserve"> 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>(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QW</w:t>
      </w:r>
      <w:r w:rsidRPr="00FF37B0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i</w:t>
      </w:r>
      <w:r w:rsidRPr="00FF37B0">
        <w:rPr>
          <w:rFonts w:ascii="Arial" w:hAnsi="Arial" w:cs="Arial"/>
          <w:i/>
          <w:color w:val="000000" w:themeColor="text1"/>
          <w:sz w:val="24"/>
          <w:vertAlign w:val="superscript"/>
          <w:lang w:bidi="fa-IR"/>
        </w:rPr>
        <w:t>Q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,</w:t>
      </w:r>
      <w:r w:rsidRPr="00FF37B0">
        <w:rPr>
          <w:rFonts w:ascii="Arial" w:hAnsi="Arial" w:cs="Arial" w:hint="eastAsia"/>
          <w:i/>
          <w:color w:val="000000" w:themeColor="text1"/>
          <w:sz w:val="24"/>
          <w:lang w:bidi="fa-IR"/>
        </w:rPr>
        <w:t xml:space="preserve"> 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KW</w:t>
      </w:r>
      <w:r w:rsidRPr="00FF37B0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i</w:t>
      </w:r>
      <w:r w:rsidRPr="00FF37B0">
        <w:rPr>
          <w:rFonts w:ascii="Arial" w:hAnsi="Arial" w:cs="Arial"/>
          <w:i/>
          <w:color w:val="000000" w:themeColor="text1"/>
          <w:sz w:val="24"/>
          <w:vertAlign w:val="superscript"/>
          <w:lang w:bidi="fa-IR"/>
        </w:rPr>
        <w:t>K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,</w:t>
      </w:r>
      <w:r w:rsidRPr="00FF37B0">
        <w:rPr>
          <w:rFonts w:ascii="Arial" w:hAnsi="Arial" w:cs="Arial" w:hint="eastAsia"/>
          <w:i/>
          <w:color w:val="000000" w:themeColor="text1"/>
          <w:sz w:val="24"/>
          <w:lang w:bidi="fa-IR"/>
        </w:rPr>
        <w:t xml:space="preserve"> </w:t>
      </w:r>
      <w:r w:rsidRPr="00FF37B0">
        <w:rPr>
          <w:rFonts w:ascii="Arial" w:hAnsi="Arial" w:cs="Arial"/>
          <w:i/>
          <w:color w:val="000000" w:themeColor="text1"/>
          <w:sz w:val="24"/>
          <w:lang w:bidi="fa-IR"/>
        </w:rPr>
        <w:t>VW</w:t>
      </w:r>
      <w:r w:rsidRPr="00FF37B0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i</w:t>
      </w:r>
      <w:r w:rsidRPr="00FF37B0">
        <w:rPr>
          <w:rFonts w:ascii="Arial" w:hAnsi="Arial" w:cs="Arial"/>
          <w:i/>
          <w:color w:val="000000" w:themeColor="text1"/>
          <w:sz w:val="24"/>
          <w:vertAlign w:val="superscript"/>
          <w:lang w:bidi="fa-IR"/>
        </w:rPr>
        <w:t>V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>)</w:t>
      </w:r>
      <w:r w:rsidR="00964A5A">
        <w:rPr>
          <w:rFonts w:ascii="Arial" w:hAnsi="Arial" w:cs="Arial" w:hint="eastAsia"/>
          <w:color w:val="000000" w:themeColor="text1"/>
          <w:sz w:val="24"/>
          <w:lang w:bidi="fa-IR"/>
        </w:rPr>
        <w:t xml:space="preserve">. 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In the formula, </w:t>
      </w:r>
      <w:r w:rsidRPr="00964A5A">
        <w:rPr>
          <w:rFonts w:ascii="Arial" w:hAnsi="Arial" w:cs="Arial"/>
          <w:i/>
          <w:iCs/>
          <w:color w:val="000000" w:themeColor="text1"/>
          <w:sz w:val="24"/>
          <w:lang w:bidi="fa-IR"/>
        </w:rPr>
        <w:t>Q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 (query vector), </w:t>
      </w:r>
      <w:r w:rsidRPr="00964A5A">
        <w:rPr>
          <w:rFonts w:ascii="Arial" w:hAnsi="Arial" w:cs="Arial"/>
          <w:i/>
          <w:iCs/>
          <w:color w:val="000000" w:themeColor="text1"/>
          <w:sz w:val="24"/>
          <w:lang w:bidi="fa-IR"/>
        </w:rPr>
        <w:t>K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 (key vector), and</w:t>
      </w:r>
      <w:r w:rsidRPr="00964A5A">
        <w:rPr>
          <w:rFonts w:ascii="Arial" w:hAnsi="Arial" w:cs="Arial"/>
          <w:i/>
          <w:iCs/>
          <w:color w:val="000000" w:themeColor="text1"/>
          <w:sz w:val="24"/>
          <w:lang w:bidi="fa-IR"/>
        </w:rPr>
        <w:t xml:space="preserve"> V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 (value vector) are all derived from the input sequence after embedding encoding. </w:t>
      </w:r>
      <w:r w:rsidR="00964A5A" w:rsidRPr="00FF37B0">
        <w:rPr>
          <w:rFonts w:ascii="Arial" w:hAnsi="Arial" w:cs="Arial"/>
          <w:i/>
          <w:color w:val="000000" w:themeColor="text1"/>
          <w:sz w:val="24"/>
          <w:lang w:bidi="fa-IR"/>
        </w:rPr>
        <w:t>W</w:t>
      </w:r>
      <w:r w:rsidR="00964A5A" w:rsidRPr="00FF37B0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i</w:t>
      </w:r>
      <w:r w:rsidR="00964A5A" w:rsidRPr="00FF37B0">
        <w:rPr>
          <w:rFonts w:ascii="Arial" w:hAnsi="Arial" w:cs="Arial"/>
          <w:i/>
          <w:color w:val="000000" w:themeColor="text1"/>
          <w:sz w:val="24"/>
          <w:vertAlign w:val="superscript"/>
          <w:lang w:bidi="fa-IR"/>
        </w:rPr>
        <w:t>Q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, </w:t>
      </w:r>
      <w:r w:rsidR="00964A5A" w:rsidRPr="00FF37B0">
        <w:rPr>
          <w:rFonts w:ascii="Arial" w:hAnsi="Arial" w:cs="Arial"/>
          <w:i/>
          <w:color w:val="000000" w:themeColor="text1"/>
          <w:sz w:val="24"/>
          <w:lang w:bidi="fa-IR"/>
        </w:rPr>
        <w:t>W</w:t>
      </w:r>
      <w:r w:rsidR="00964A5A" w:rsidRPr="00FF37B0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i</w:t>
      </w:r>
      <w:r w:rsidR="00964A5A" w:rsidRPr="00FF37B0">
        <w:rPr>
          <w:rFonts w:ascii="Arial" w:hAnsi="Arial" w:cs="Arial"/>
          <w:i/>
          <w:color w:val="000000" w:themeColor="text1"/>
          <w:sz w:val="24"/>
          <w:vertAlign w:val="superscript"/>
          <w:lang w:bidi="fa-IR"/>
        </w:rPr>
        <w:t>K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, and </w:t>
      </w:r>
      <w:r w:rsidR="00964A5A" w:rsidRPr="00FF37B0">
        <w:rPr>
          <w:rFonts w:ascii="Arial" w:hAnsi="Arial" w:cs="Arial"/>
          <w:i/>
          <w:color w:val="000000" w:themeColor="text1"/>
          <w:sz w:val="24"/>
          <w:lang w:bidi="fa-IR"/>
        </w:rPr>
        <w:t>W</w:t>
      </w:r>
      <w:r w:rsidR="00964A5A" w:rsidRPr="00FF37B0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i</w:t>
      </w:r>
      <w:r w:rsidR="00964A5A" w:rsidRPr="00FF37B0">
        <w:rPr>
          <w:rFonts w:ascii="Arial" w:hAnsi="Arial" w:cs="Arial"/>
          <w:i/>
          <w:color w:val="000000" w:themeColor="text1"/>
          <w:sz w:val="24"/>
          <w:vertAlign w:val="superscript"/>
          <w:lang w:bidi="fa-IR"/>
        </w:rPr>
        <w:t>V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 are the query, key, and value linear transformation matrices of the </w:t>
      </w:r>
      <w:r w:rsidRPr="00964A5A">
        <w:rPr>
          <w:rFonts w:ascii="Arial" w:hAnsi="Arial" w:cs="Arial"/>
          <w:i/>
          <w:iCs/>
          <w:color w:val="000000" w:themeColor="text1"/>
          <w:sz w:val="24"/>
          <w:lang w:bidi="fa-IR"/>
        </w:rPr>
        <w:t>i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 xml:space="preserve">-th attention head, respectively, and </w:t>
      </w:r>
      <w:r w:rsidRPr="00964A5A">
        <w:rPr>
          <w:rFonts w:ascii="Arial" w:hAnsi="Arial" w:cs="Arial"/>
          <w:i/>
          <w:iCs/>
          <w:color w:val="000000" w:themeColor="text1"/>
          <w:sz w:val="24"/>
          <w:lang w:bidi="fa-IR"/>
        </w:rPr>
        <w:t xml:space="preserve">Wₒ </w:t>
      </w:r>
      <w:r w:rsidRPr="00FF37B0">
        <w:rPr>
          <w:rFonts w:ascii="Arial" w:hAnsi="Arial" w:cs="Arial"/>
          <w:color w:val="000000" w:themeColor="text1"/>
          <w:sz w:val="24"/>
          <w:lang w:bidi="fa-IR"/>
        </w:rPr>
        <w:t>is the output linear transformation matrix after concatenation of attention heads;</w:t>
      </w:r>
    </w:p>
    <w:p w14:paraId="730AFD68" w14:textId="47CE6FCB" w:rsidR="0071739D" w:rsidRDefault="00FF37B0" w:rsidP="0071739D">
      <w:pPr>
        <w:spacing w:line="480" w:lineRule="auto"/>
        <w:rPr>
          <w:rFonts w:ascii="Arial" w:hAnsi="Arial" w:cs="Arial" w:hint="eastAsia"/>
          <w:color w:val="000000" w:themeColor="text1"/>
          <w:sz w:val="24"/>
          <w:lang w:bidi="fa-IR"/>
        </w:rPr>
      </w:pPr>
      <w:r w:rsidRPr="00FF37B0">
        <w:rPr>
          <w:rFonts w:ascii="Arial" w:hAnsi="Arial" w:cs="Arial" w:hint="eastAsia"/>
          <w:color w:val="000000" w:themeColor="text1"/>
          <w:sz w:val="24"/>
          <w:lang w:bidi="fa-IR"/>
        </w:rPr>
        <w:t>Each encoder layer contains a position-wise feed-forward network, which performs non-linear transformation on the features output by the attention mechanism to enhance the feature representation ability of the model</w:t>
      </w:r>
      <w:r w:rsidR="0071739D">
        <w:rPr>
          <w:rFonts w:ascii="Arial" w:hAnsi="Arial" w:cs="Arial" w:hint="eastAsia"/>
          <w:color w:val="000000" w:themeColor="text1"/>
          <w:sz w:val="24"/>
          <w:lang w:bidi="fa-IR"/>
        </w:rPr>
        <w:t xml:space="preserve">. </w:t>
      </w:r>
      <w:r w:rsidRPr="00FF37B0">
        <w:rPr>
          <w:rFonts w:ascii="Arial" w:hAnsi="Arial" w:cs="Arial" w:hint="eastAsia"/>
          <w:color w:val="000000" w:themeColor="text1"/>
          <w:sz w:val="24"/>
          <w:lang w:bidi="fa-IR"/>
        </w:rPr>
        <w:t>T</w:t>
      </w:r>
      <w:r w:rsidR="00964A5A" w:rsidRPr="00964A5A">
        <w:rPr>
          <w:rFonts w:ascii="Arial" w:hAnsi="Arial" w:cs="Arial"/>
          <w:color w:val="000000" w:themeColor="text1"/>
          <w:sz w:val="24"/>
          <w:lang w:bidi="fa-IR"/>
        </w:rPr>
        <w:t xml:space="preserve">o </w:t>
      </w:r>
      <w:r w:rsidR="00964A5A" w:rsidRPr="00964A5A">
        <w:rPr>
          <w:rFonts w:ascii="Arial" w:hAnsi="Arial" w:cs="Arial"/>
          <w:color w:val="000000" w:themeColor="text1"/>
          <w:sz w:val="24"/>
          <w:lang w:bidi="fa-IR"/>
        </w:rPr>
        <w:lastRenderedPageBreak/>
        <w:t>prevent gradient vanishing or training instability during model training, residual connections and layer normalization are implemented subsequent to each sublayer. The relevant sublayers include the multi-head self-attention sublayer and the position-wise feed-forward sublayer. This ensures stable model training.</w:t>
      </w:r>
    </w:p>
    <w:p w14:paraId="205CF1CB" w14:textId="0DE44E00" w:rsidR="0071739D" w:rsidRPr="0071739D" w:rsidRDefault="0071739D" w:rsidP="0071739D">
      <w:pPr>
        <w:spacing w:line="480" w:lineRule="auto"/>
        <w:rPr>
          <w:rFonts w:ascii="Arial" w:hAnsi="Arial" w:cs="Arial" w:hint="eastAsia"/>
          <w:sz w:val="24"/>
        </w:rPr>
      </w:pPr>
      <w:bookmarkStart w:id="1" w:name="_Hlk218277339"/>
      <w:r w:rsidRPr="0071739D">
        <w:rPr>
          <w:rFonts w:ascii="Arial" w:hAnsi="Arial" w:cs="Arial"/>
          <w:color w:val="000000" w:themeColor="text1"/>
          <w:sz w:val="24"/>
          <w:lang w:bidi="fa-IR"/>
        </w:rPr>
        <w:t>Based on a widely adopted configuration in Transformer-based clinical models to balance representational capacity and computational efficiency, we set the model dimension </w:t>
      </w:r>
      <w:r w:rsidRPr="0071739D">
        <w:rPr>
          <w:rFonts w:ascii="Arial" w:hAnsi="Arial" w:cs="Arial"/>
          <w:i/>
          <w:iCs/>
          <w:color w:val="000000" w:themeColor="text1"/>
          <w:sz w:val="24"/>
          <w:lang w:bidi="fa-IR"/>
        </w:rPr>
        <w:t>d</w:t>
      </w:r>
      <w:r w:rsidRPr="0071739D">
        <w:rPr>
          <w:rFonts w:ascii="Arial" w:hAnsi="Arial" w:cs="Arial"/>
          <w:i/>
          <w:iCs/>
          <w:color w:val="000000" w:themeColor="text1"/>
          <w:sz w:val="24"/>
          <w:vertAlign w:val="subscript"/>
          <w:lang w:bidi="fa-IR"/>
        </w:rPr>
        <w:t>model</w:t>
      </w:r>
      <w:r w:rsidRPr="0071739D">
        <w:rPr>
          <w:rFonts w:ascii="Arial" w:hAnsi="Arial" w:cs="Arial" w:hint="eastAsia"/>
          <w:i/>
          <w:iCs/>
          <w:color w:val="000000" w:themeColor="text1"/>
          <w:sz w:val="24"/>
          <w:vertAlign w:val="subscript"/>
          <w:lang w:bidi="fa-IR"/>
        </w:rPr>
        <w:t xml:space="preserve"> </w:t>
      </w:r>
      <w:r w:rsidRPr="0071739D">
        <w:rPr>
          <w:rFonts w:ascii="Arial" w:hAnsi="Arial" w:cs="Arial"/>
          <w:color w:val="000000" w:themeColor="text1"/>
          <w:sz w:val="24"/>
          <w:lang w:bidi="fa-IR"/>
        </w:rPr>
        <w:t>=</w:t>
      </w:r>
      <w:r w:rsidRPr="0071739D">
        <w:rPr>
          <w:rFonts w:ascii="Arial" w:hAnsi="Arial" w:cs="Arial" w:hint="eastAsia"/>
          <w:color w:val="000000" w:themeColor="text1"/>
          <w:sz w:val="24"/>
          <w:lang w:bidi="fa-IR"/>
        </w:rPr>
        <w:t xml:space="preserve"> </w:t>
      </w:r>
      <w:r w:rsidRPr="0071739D">
        <w:rPr>
          <w:rFonts w:ascii="Arial" w:hAnsi="Arial" w:cs="Arial"/>
          <w:color w:val="000000" w:themeColor="text1"/>
          <w:sz w:val="24"/>
          <w:lang w:bidi="fa-IR"/>
        </w:rPr>
        <w:t xml:space="preserve">512 for the multi-head attention module. We selecting </w:t>
      </w:r>
      <w:r w:rsidRPr="0071739D">
        <w:rPr>
          <w:rFonts w:ascii="Arial" w:hAnsi="Arial" w:cs="Arial"/>
          <w:i/>
          <w:iCs/>
          <w:color w:val="000000" w:themeColor="text1"/>
          <w:sz w:val="24"/>
          <w:lang w:bidi="fa-IR"/>
        </w:rPr>
        <w:t>h</w:t>
      </w:r>
      <w:r w:rsidRPr="0071739D">
        <w:rPr>
          <w:rFonts w:ascii="Arial" w:hAnsi="Arial" w:cs="Arial"/>
          <w:color w:val="000000" w:themeColor="text1"/>
          <w:sz w:val="24"/>
          <w:lang w:bidi="fa-IR"/>
        </w:rPr>
        <w:t xml:space="preserve">=8 as it achieved the optimal trade-off between predictive performance and computational cost. The dimension of each attention head was determined by the constraint </w:t>
      </w:r>
      <w:r w:rsidRPr="0071739D">
        <w:rPr>
          <w:rFonts w:ascii="Arial" w:hAnsi="Arial" w:cs="Arial"/>
          <w:i/>
          <w:color w:val="000000" w:themeColor="text1"/>
          <w:sz w:val="24"/>
          <w:lang w:bidi="fa-IR"/>
        </w:rPr>
        <w:t>d</w:t>
      </w:r>
      <w:r w:rsidRPr="0071739D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head</w:t>
      </w:r>
      <w:r w:rsidRPr="0071739D">
        <w:rPr>
          <w:rFonts w:ascii="Arial" w:hAnsi="Arial" w:cs="Arial" w:hint="eastAsia"/>
          <w:i/>
          <w:color w:val="000000" w:themeColor="text1"/>
          <w:sz w:val="24"/>
          <w:vertAlign w:val="subscript"/>
          <w:lang w:bidi="fa-IR"/>
        </w:rPr>
        <w:t xml:space="preserve"> </w:t>
      </w:r>
      <w:r w:rsidRPr="0071739D">
        <w:rPr>
          <w:rFonts w:ascii="Arial" w:hAnsi="Arial" w:cs="Arial"/>
          <w:iCs/>
          <w:color w:val="000000" w:themeColor="text1"/>
          <w:sz w:val="24"/>
          <w:lang w:bidi="fa-IR"/>
        </w:rPr>
        <w:t>=</w:t>
      </w:r>
      <w:r w:rsidRPr="0071739D">
        <w:rPr>
          <w:rFonts w:ascii="Arial" w:hAnsi="Arial" w:cs="Arial" w:hint="eastAsia"/>
          <w:iCs/>
          <w:color w:val="000000" w:themeColor="text1"/>
          <w:sz w:val="24"/>
          <w:lang w:bidi="fa-IR"/>
        </w:rPr>
        <w:t xml:space="preserve"> </w:t>
      </w:r>
      <w:r w:rsidRPr="0071739D">
        <w:rPr>
          <w:rFonts w:ascii="Arial" w:hAnsi="Arial" w:cs="Arial"/>
          <w:i/>
          <w:color w:val="000000" w:themeColor="text1"/>
          <w:sz w:val="24"/>
          <w:lang w:bidi="fa-IR"/>
        </w:rPr>
        <w:t>d</w:t>
      </w:r>
      <w:r w:rsidRPr="0071739D">
        <w:rPr>
          <w:rFonts w:ascii="Arial" w:hAnsi="Arial" w:cs="Arial"/>
          <w:i/>
          <w:color w:val="000000" w:themeColor="text1"/>
          <w:sz w:val="24"/>
          <w:vertAlign w:val="subscript"/>
          <w:lang w:bidi="fa-IR"/>
        </w:rPr>
        <w:t>model</w:t>
      </w:r>
      <w:r w:rsidRPr="0071739D">
        <w:rPr>
          <w:rFonts w:ascii="Arial" w:hAnsi="Arial" w:cs="Arial" w:hint="eastAsia"/>
          <w:i/>
          <w:color w:val="000000" w:themeColor="text1"/>
          <w:sz w:val="24"/>
          <w:vertAlign w:val="subscript"/>
          <w:lang w:bidi="fa-IR"/>
        </w:rPr>
        <w:t xml:space="preserve"> </w:t>
      </w:r>
      <w:r w:rsidRPr="0071739D">
        <w:rPr>
          <w:rFonts w:ascii="Arial" w:hAnsi="Arial" w:cs="Arial"/>
          <w:iCs/>
          <w:color w:val="000000" w:themeColor="text1"/>
          <w:sz w:val="24"/>
          <w:lang w:bidi="fa-IR"/>
        </w:rPr>
        <w:t>/</w:t>
      </w:r>
      <w:r w:rsidRPr="0071739D">
        <w:rPr>
          <w:rFonts w:ascii="Arial" w:hAnsi="Arial" w:cs="Arial" w:hint="eastAsia"/>
          <w:iCs/>
          <w:color w:val="000000" w:themeColor="text1"/>
          <w:sz w:val="24"/>
          <w:lang w:bidi="fa-IR"/>
        </w:rPr>
        <w:t xml:space="preserve"> </w:t>
      </w:r>
      <w:r w:rsidRPr="0071739D">
        <w:rPr>
          <w:rFonts w:ascii="Arial" w:hAnsi="Arial" w:cs="Arial"/>
          <w:i/>
          <w:color w:val="000000" w:themeColor="text1"/>
          <w:sz w:val="24"/>
          <w:lang w:bidi="fa-IR"/>
        </w:rPr>
        <w:t>h</w:t>
      </w:r>
      <w:r w:rsidRPr="0071739D">
        <w:rPr>
          <w:rFonts w:ascii="Arial" w:hAnsi="Arial" w:cs="Arial"/>
          <w:color w:val="000000" w:themeColor="text1"/>
          <w:sz w:val="24"/>
          <w:lang w:bidi="fa-IR"/>
        </w:rPr>
        <w:t>, ensuring uniform splitting of the model’s representational space across heads; thus, each head has a dimension of 512/8=64, which facilitates focused modeling of distinct temporal dependency patterns while maintaining computational feasibility.</w:t>
      </w:r>
      <w:r w:rsidRPr="00C0665B">
        <w:rPr>
          <w:rFonts w:ascii="Arial" w:hAnsi="Arial" w:cs="Arial"/>
          <w:color w:val="000000" w:themeColor="text1"/>
          <w:sz w:val="24"/>
          <w:lang w:bidi="fa-IR"/>
        </w:rPr>
        <w:t xml:space="preserve"> </w:t>
      </w:r>
      <w:bookmarkEnd w:id="1"/>
    </w:p>
    <w:sectPr w:rsidR="0071739D" w:rsidRPr="007173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862C2" w14:textId="77777777" w:rsidR="002E097B" w:rsidRDefault="002E097B" w:rsidP="00FF37B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CEA5861" w14:textId="77777777" w:rsidR="002E097B" w:rsidRDefault="002E097B" w:rsidP="00FF37B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A9D5F" w14:textId="77777777" w:rsidR="002E097B" w:rsidRDefault="002E097B" w:rsidP="00FF37B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CEF6C1F" w14:textId="77777777" w:rsidR="002E097B" w:rsidRDefault="002E097B" w:rsidP="00FF37B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6214"/>
    <w:multiLevelType w:val="multilevel"/>
    <w:tmpl w:val="C75A7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71781F"/>
    <w:multiLevelType w:val="multilevel"/>
    <w:tmpl w:val="34D2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287547">
    <w:abstractNumId w:val="0"/>
  </w:num>
  <w:num w:numId="2" w16cid:durableId="46381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E743C8F6-25F8-4870-95A9-50B9442698A9}"/>
    <w:docVar w:name="KY_MEDREF_VERSION" w:val="3"/>
  </w:docVars>
  <w:rsids>
    <w:rsidRoot w:val="00A34A9E"/>
    <w:rsid w:val="00186BD7"/>
    <w:rsid w:val="002E097B"/>
    <w:rsid w:val="0071739D"/>
    <w:rsid w:val="00964A5A"/>
    <w:rsid w:val="00A34A9E"/>
    <w:rsid w:val="00B73247"/>
    <w:rsid w:val="00D749CB"/>
    <w:rsid w:val="00FF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27D11C"/>
  <w15:chartTrackingRefBased/>
  <w15:docId w15:val="{C6EE8048-2A76-4E5F-AE0F-8BDF6C6C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34A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A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A9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A9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A9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A9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A9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A9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4A9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4A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4A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4A9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4A9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34A9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4A9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4A9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4A9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4A9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34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A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34A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34A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A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4A9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4A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34A9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34A9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37B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F37B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F37B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F37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341</Words>
  <Characters>2080</Characters>
  <Application>Microsoft Office Word</Application>
  <DocSecurity>0</DocSecurity>
  <Lines>52</Lines>
  <Paragraphs>20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 康</dc:creator>
  <cp:keywords/>
  <dc:description/>
  <cp:lastModifiedBy>月 康</cp:lastModifiedBy>
  <cp:revision>4</cp:revision>
  <dcterms:created xsi:type="dcterms:W3CDTF">2026-01-05T12:32:00Z</dcterms:created>
  <dcterms:modified xsi:type="dcterms:W3CDTF">2026-01-06T06:19:00Z</dcterms:modified>
</cp:coreProperties>
</file>