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5030" w:rsidRDefault="00000000">
      <w:pPr>
        <w:jc w:val="center"/>
      </w:pPr>
      <w:r>
        <w:rPr>
          <w:b/>
          <w:sz w:val="28"/>
        </w:rPr>
        <w:t>Supplementary File 1</w:t>
      </w:r>
    </w:p>
    <w:p w:rsidR="00E75030" w:rsidRDefault="00000000">
      <w:pPr>
        <w:jc w:val="center"/>
      </w:pPr>
      <w:r>
        <w:rPr>
          <w:b/>
          <w:sz w:val="24"/>
        </w:rPr>
        <w:t>Interobserver Agreement for TAUS Feature Assessment</w:t>
      </w:r>
    </w:p>
    <w:p w:rsidR="00E75030" w:rsidRDefault="00E75030"/>
    <w:p w:rsidR="00E75030" w:rsidRDefault="00000000">
      <w:r>
        <w:rPr>
          <w:sz w:val="18"/>
        </w:rPr>
        <w:t>Two radiologists independently reviewed all TAUS images blinded to pathological results and each other's assessments. Cohen's kappa (κ) was calculated for categorical variables and intraclass correlation coefficient (ICC, two-way random, single measures, absolute agreement) for continuous variables. Agreement was interpreted using the Landis and Koch scale for κ (&lt;0.00 = poor, 0.00–0.20 = slight, 0.21–0.40 = fair, 0.41–0.60 = moderate, 0.61–0.80 = substantial, 0.81–1.00 = almost perfect) and the Koo and Li classification for ICC (&lt;0.50 = poor, 0.50–0.75 = moderate, 0.75–0.90 = good, ≥0.90 = excellent). N = 160 patients with complete paired assessments.</w:t>
      </w:r>
    </w:p>
    <w:p w:rsidR="00E75030" w:rsidRDefault="00E75030"/>
    <w:p w:rsidR="00E75030" w:rsidRDefault="00000000">
      <w:r>
        <w:rPr>
          <w:b/>
        </w:rPr>
        <w:t>Table S1. Interobserver Agreement for Categorical TAUS Features (Cohen's Kappa)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1134"/>
        <w:gridCol w:w="1984"/>
        <w:gridCol w:w="1134"/>
        <w:gridCol w:w="1701"/>
      </w:tblGrid>
      <w:tr w:rsidR="00E75030" w:rsidTr="00DD7777">
        <w:trPr>
          <w:jc w:val="center"/>
        </w:trPr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</w:tcPr>
          <w:p w:rsidR="00E75030" w:rsidRDefault="00000000">
            <w:r>
              <w:rPr>
                <w:b/>
                <w:sz w:val="18"/>
              </w:rPr>
              <w:t>Variable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b/>
                <w:sz w:val="18"/>
              </w:rPr>
              <w:t>Categories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b/>
                <w:sz w:val="18"/>
              </w:rPr>
              <w:t>Agreement n/N (%)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b/>
                <w:sz w:val="18"/>
              </w:rPr>
              <w:t>Cohen's κ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b/>
                <w:sz w:val="18"/>
              </w:rPr>
              <w:t>Interpretation</w:t>
            </w:r>
          </w:p>
        </w:tc>
      </w:tr>
      <w:tr w:rsidR="00E75030" w:rsidTr="00DD7777">
        <w:trPr>
          <w:jc w:val="center"/>
        </w:trPr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5030" w:rsidRDefault="00000000">
            <w:r>
              <w:rPr>
                <w:sz w:val="18"/>
              </w:rPr>
              <w:t>Location of lesion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149/160 (93.1%)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0.899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Almost perfect</w:t>
            </w:r>
          </w:p>
        </w:tc>
      </w:tr>
      <w:tr w:rsidR="00E75030" w:rsidTr="00DD7777">
        <w:trPr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r>
              <w:rPr>
                <w:sz w:val="18"/>
              </w:rPr>
              <w:t>Echogenicity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151/160 (94.4%)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0.880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Almost perfect</w:t>
            </w:r>
          </w:p>
        </w:tc>
      </w:tr>
      <w:tr w:rsidR="00E75030" w:rsidTr="00DD7777">
        <w:trPr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r>
              <w:rPr>
                <w:sz w:val="18"/>
              </w:rPr>
              <w:t>Configuration of cyst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106/160 (66.2%)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0.536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Moderate</w:t>
            </w:r>
          </w:p>
        </w:tc>
      </w:tr>
      <w:tr w:rsidR="00E75030" w:rsidTr="00DD7777">
        <w:trPr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r>
              <w:rPr>
                <w:sz w:val="18"/>
              </w:rPr>
              <w:t>Solid content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142/160 (88.8%)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0.744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Substantial</w:t>
            </w:r>
          </w:p>
        </w:tc>
      </w:tr>
      <w:tr w:rsidR="00E75030" w:rsidTr="00DD7777">
        <w:trPr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r>
              <w:rPr>
                <w:sz w:val="18"/>
              </w:rPr>
              <w:t>Septation/wall thickening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147/160 (91.9%)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0.638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Substantial</w:t>
            </w:r>
          </w:p>
        </w:tc>
      </w:tr>
      <w:tr w:rsidR="00E75030" w:rsidTr="00DD7777">
        <w:trPr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r>
              <w:rPr>
                <w:sz w:val="18"/>
              </w:rPr>
              <w:t>Calcification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160/160 (100.0%)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1.000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Almost perfect</w:t>
            </w:r>
          </w:p>
        </w:tc>
      </w:tr>
      <w:tr w:rsidR="00E75030" w:rsidTr="00DD7777">
        <w:trPr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r>
              <w:rPr>
                <w:sz w:val="18"/>
              </w:rPr>
              <w:t>Connection to MPD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151/160 (94.4%)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0.760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Substantial</w:t>
            </w:r>
          </w:p>
        </w:tc>
      </w:tr>
      <w:tr w:rsidR="00E75030" w:rsidTr="00DD7777">
        <w:trPr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r>
              <w:rPr>
                <w:sz w:val="18"/>
              </w:rPr>
              <w:t>MPD dilation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144/160 (90.0%)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0.712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Substantial</w:t>
            </w:r>
          </w:p>
        </w:tc>
      </w:tr>
      <w:tr w:rsidR="00E75030" w:rsidTr="00DD7777">
        <w:trPr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r>
              <w:rPr>
                <w:sz w:val="18"/>
              </w:rPr>
              <w:t>CBD dilation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160/160 (100.0%)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1.000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Almost perfect</w:t>
            </w:r>
          </w:p>
        </w:tc>
      </w:tr>
      <w:tr w:rsidR="00E75030" w:rsidTr="00DD7777">
        <w:trPr>
          <w:jc w:val="center"/>
        </w:trPr>
        <w:tc>
          <w:tcPr>
            <w:tcW w:w="2551" w:type="dxa"/>
            <w:tcBorders>
              <w:top w:val="nil"/>
              <w:left w:val="nil"/>
              <w:right w:val="nil"/>
            </w:tcBorders>
          </w:tcPr>
          <w:p w:rsidR="00E75030" w:rsidRDefault="00000000">
            <w:r>
              <w:rPr>
                <w:sz w:val="18"/>
              </w:rPr>
              <w:t>Vascularity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158/160 (98.8%)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0.962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Almost perfect</w:t>
            </w:r>
          </w:p>
        </w:tc>
      </w:tr>
    </w:tbl>
    <w:p w:rsidR="00E75030" w:rsidRDefault="00E75030"/>
    <w:p w:rsidR="00E75030" w:rsidRDefault="00000000">
      <w:r>
        <w:rPr>
          <w:b/>
        </w:rPr>
        <w:t>Table S2. Interobserver Agreement for Continuous TAUS Measurements (ICC)</w:t>
      </w:r>
    </w:p>
    <w:tbl>
      <w:tblPr>
        <w:tblStyle w:val="aff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3"/>
        <w:gridCol w:w="1175"/>
        <w:gridCol w:w="1175"/>
        <w:gridCol w:w="936"/>
        <w:gridCol w:w="936"/>
        <w:gridCol w:w="1316"/>
      </w:tblGrid>
      <w:tr w:rsidR="00E75030" w:rsidTr="00DB061A">
        <w:trPr>
          <w:jc w:val="center"/>
        </w:trPr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</w:tcPr>
          <w:p w:rsidR="00E75030" w:rsidRDefault="00000000">
            <w:r>
              <w:rPr>
                <w:b/>
                <w:sz w:val="18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75030" w:rsidRDefault="00000000">
            <w:pPr>
              <w:jc w:val="center"/>
            </w:pPr>
            <w:r>
              <w:rPr>
                <w:b/>
                <w:sz w:val="18"/>
              </w:rPr>
              <w:t>Reader 1</w:t>
            </w:r>
            <w:r>
              <w:rPr>
                <w:b/>
                <w:sz w:val="18"/>
              </w:rPr>
              <w:br/>
              <w:t>(mean ± SD)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75030" w:rsidRDefault="00000000">
            <w:pPr>
              <w:jc w:val="center"/>
            </w:pPr>
            <w:r>
              <w:rPr>
                <w:b/>
                <w:sz w:val="18"/>
              </w:rPr>
              <w:t>Reader 2</w:t>
            </w:r>
            <w:r>
              <w:rPr>
                <w:b/>
                <w:sz w:val="18"/>
              </w:rPr>
              <w:br/>
              <w:t>(mean ± SD)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75030" w:rsidRDefault="00000000">
            <w:pPr>
              <w:jc w:val="center"/>
            </w:pPr>
            <w:r>
              <w:rPr>
                <w:b/>
                <w:sz w:val="18"/>
              </w:rPr>
              <w:t>ICC (2,1)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75030" w:rsidRDefault="00000000">
            <w:pPr>
              <w:jc w:val="center"/>
            </w:pPr>
            <w:r>
              <w:rPr>
                <w:b/>
                <w:sz w:val="18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75030" w:rsidRDefault="00000000">
            <w:pPr>
              <w:jc w:val="center"/>
            </w:pPr>
            <w:r>
              <w:rPr>
                <w:b/>
                <w:sz w:val="18"/>
              </w:rPr>
              <w:t>Interpretation</w:t>
            </w:r>
          </w:p>
        </w:tc>
      </w:tr>
      <w:tr w:rsidR="00E75030" w:rsidTr="00DB061A">
        <w:trPr>
          <w:jc w:val="center"/>
        </w:trPr>
        <w:tc>
          <w:tcPr>
            <w:tcW w:w="2873" w:type="dxa"/>
            <w:tcBorders>
              <w:top w:val="single" w:sz="4" w:space="0" w:color="auto"/>
            </w:tcBorders>
          </w:tcPr>
          <w:p w:rsidR="00E75030" w:rsidRDefault="00000000">
            <w:r>
              <w:rPr>
                <w:sz w:val="18"/>
              </w:rPr>
              <w:t>Cyst size (cm)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5.00 ± 2.50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4.91 ± 2.57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0.978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0.97–0.98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75030" w:rsidRDefault="00000000">
            <w:pPr>
              <w:jc w:val="center"/>
            </w:pPr>
            <w:r>
              <w:rPr>
                <w:sz w:val="18"/>
              </w:rPr>
              <w:t>Excellent</w:t>
            </w:r>
          </w:p>
        </w:tc>
      </w:tr>
      <w:tr w:rsidR="00E75030" w:rsidTr="00DB061A">
        <w:trPr>
          <w:jc w:val="center"/>
        </w:trPr>
        <w:tc>
          <w:tcPr>
            <w:tcW w:w="2873" w:type="dxa"/>
          </w:tcPr>
          <w:p w:rsidR="00E75030" w:rsidRDefault="00000000">
            <w:r>
              <w:rPr>
                <w:sz w:val="18"/>
              </w:rPr>
              <w:t>Size of solid</w:t>
            </w:r>
            <w:r w:rsidR="00DB061A">
              <w:rPr>
                <w:sz w:val="18"/>
              </w:rPr>
              <w:t xml:space="preserve"> </w:t>
            </w:r>
            <w:r>
              <w:rPr>
                <w:sz w:val="18"/>
              </w:rPr>
              <w:t>content (cm)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1.26 ± 2.20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1.01 ± 1.81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0.696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0.61–0.77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Moderate</w:t>
            </w:r>
          </w:p>
        </w:tc>
      </w:tr>
      <w:tr w:rsidR="00E75030" w:rsidTr="00DB061A">
        <w:trPr>
          <w:jc w:val="center"/>
        </w:trPr>
        <w:tc>
          <w:tcPr>
            <w:tcW w:w="2873" w:type="dxa"/>
          </w:tcPr>
          <w:p w:rsidR="00E75030" w:rsidRDefault="00000000">
            <w:r>
              <w:rPr>
                <w:sz w:val="18"/>
              </w:rPr>
              <w:t>Width of MPD (mm)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2.98 ± 4.14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2.98 ± 4.15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0.999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~1.00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Excellent</w:t>
            </w:r>
          </w:p>
        </w:tc>
      </w:tr>
      <w:tr w:rsidR="00E75030" w:rsidTr="00DB061A">
        <w:trPr>
          <w:jc w:val="center"/>
        </w:trPr>
        <w:tc>
          <w:tcPr>
            <w:tcW w:w="2873" w:type="dxa"/>
          </w:tcPr>
          <w:p w:rsidR="00E75030" w:rsidRDefault="00000000">
            <w:r>
              <w:rPr>
                <w:sz w:val="18"/>
              </w:rPr>
              <w:t>Width of CBD (mm)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4.56 ± 1.75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4.56 ± 1.75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1.000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—*</w:t>
            </w:r>
          </w:p>
        </w:tc>
        <w:tc>
          <w:tcPr>
            <w:tcW w:w="0" w:type="auto"/>
          </w:tcPr>
          <w:p w:rsidR="00E75030" w:rsidRDefault="00000000">
            <w:pPr>
              <w:jc w:val="center"/>
            </w:pPr>
            <w:r>
              <w:rPr>
                <w:sz w:val="18"/>
              </w:rPr>
              <w:t>Perfect</w:t>
            </w:r>
          </w:p>
        </w:tc>
      </w:tr>
    </w:tbl>
    <w:p w:rsidR="00E75030" w:rsidRDefault="00E75030"/>
    <w:p w:rsidR="00E75030" w:rsidRDefault="00000000">
      <w:r>
        <w:rPr>
          <w:i/>
          <w:sz w:val="16"/>
        </w:rPr>
        <w:t>* Width of CBD showed perfect agreement between raters (identical values for all patients); confidence interval could not be computed.</w:t>
      </w:r>
      <w:r>
        <w:rPr>
          <w:i/>
          <w:sz w:val="16"/>
        </w:rPr>
        <w:br/>
        <w:t>ICC = intraclass correlation coefficient; MPD = main pancreatic duct; CBD = common bile duct; TAUS = transabdominal ultrasound.</w:t>
      </w:r>
    </w:p>
    <w:sectPr w:rsidR="00E7503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7307703">
    <w:abstractNumId w:val="8"/>
  </w:num>
  <w:num w:numId="2" w16cid:durableId="1702123392">
    <w:abstractNumId w:val="6"/>
  </w:num>
  <w:num w:numId="3" w16cid:durableId="14424763">
    <w:abstractNumId w:val="5"/>
  </w:num>
  <w:num w:numId="4" w16cid:durableId="169297778">
    <w:abstractNumId w:val="4"/>
  </w:num>
  <w:num w:numId="5" w16cid:durableId="1362172533">
    <w:abstractNumId w:val="7"/>
  </w:num>
  <w:num w:numId="6" w16cid:durableId="697701438">
    <w:abstractNumId w:val="3"/>
  </w:num>
  <w:num w:numId="7" w16cid:durableId="2053383555">
    <w:abstractNumId w:val="2"/>
  </w:num>
  <w:num w:numId="8" w16cid:durableId="1265723250">
    <w:abstractNumId w:val="1"/>
  </w:num>
  <w:num w:numId="9" w16cid:durableId="1596013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B061A"/>
    <w:rsid w:val="00DD7777"/>
    <w:rsid w:val="00E750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6B90ED"/>
  <w14:defaultImageDpi w14:val="300"/>
  <w15:docId w15:val="{40C69D22-36C3-5141-A3BF-70641461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Daisy M</cp:lastModifiedBy>
  <cp:revision>4</cp:revision>
  <dcterms:created xsi:type="dcterms:W3CDTF">2013-12-23T23:15:00Z</dcterms:created>
  <dcterms:modified xsi:type="dcterms:W3CDTF">2026-03-15T08:10:00Z</dcterms:modified>
  <cp:category/>
</cp:coreProperties>
</file>