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34692">
      <w:pPr>
        <w:rPr>
          <w:rFonts w:ascii="TimesNewRomanPS" w:hAnsi="TimesNewRomanPS"/>
          <w:b/>
          <w:bCs/>
          <w:color w:val="0D0D0D" w:themeColor="text1" w:themeTint="F2"/>
          <w:sz w:val="24"/>
          <w:szCs w:val="32"/>
          <w14:textFill>
            <w14:solidFill>
              <w14:schemeClr w14:val="tx1">
                <w14:lumMod w14:val="95000"/>
                <w14:lumOff w14:val="5000"/>
              </w14:schemeClr>
            </w14:solidFill>
          </w14:textFill>
        </w:rPr>
      </w:pPr>
      <w:r>
        <w:rPr>
          <w:rFonts w:ascii="TimesNewRomanPS" w:hAnsi="TimesNewRomanPS"/>
          <w:b/>
          <w:bCs/>
          <w:color w:val="0D0D0D" w:themeColor="text1" w:themeTint="F2"/>
          <w:sz w:val="24"/>
          <w:szCs w:val="32"/>
          <w14:textFill>
            <w14:solidFill>
              <w14:schemeClr w14:val="tx1">
                <w14:lumMod w14:val="95000"/>
                <w14:lumOff w14:val="5000"/>
              </w14:schemeClr>
            </w14:solidFill>
          </w14:textFill>
        </w:rPr>
        <w:t xml:space="preserve">Supplementary </w:t>
      </w:r>
      <w:r>
        <w:rPr>
          <w:rFonts w:hint="eastAsia" w:ascii="TimesNewRomanPS" w:hAnsi="TimesNewRomanPS"/>
          <w:b/>
          <w:bCs/>
          <w:color w:val="0D0D0D" w:themeColor="text1" w:themeTint="F2"/>
          <w:sz w:val="24"/>
          <w:szCs w:val="32"/>
          <w:lang w:val="en-US" w:eastAsia="zh-CN"/>
          <w14:textFill>
            <w14:solidFill>
              <w14:schemeClr w14:val="tx1">
                <w14:lumMod w14:val="95000"/>
                <w14:lumOff w14:val="5000"/>
              </w14:schemeClr>
            </w14:solidFill>
          </w14:textFill>
        </w:rPr>
        <w:t>m</w:t>
      </w:r>
      <w:r>
        <w:rPr>
          <w:rFonts w:ascii="TimesNewRomanPS" w:hAnsi="TimesNewRomanPS"/>
          <w:b/>
          <w:bCs/>
          <w:color w:val="0D0D0D" w:themeColor="text1" w:themeTint="F2"/>
          <w:sz w:val="24"/>
          <w:szCs w:val="32"/>
          <w14:textFill>
            <w14:solidFill>
              <w14:schemeClr w14:val="tx1">
                <w14:lumMod w14:val="95000"/>
                <w14:lumOff w14:val="5000"/>
              </w14:schemeClr>
            </w14:solidFill>
          </w14:textFill>
        </w:rPr>
        <w:t>aterial:</w:t>
      </w:r>
    </w:p>
    <w:p w14:paraId="5C30FE49">
      <w:pPr>
        <w:rPr>
          <w:rFonts w:ascii="TimesNewRomanPS" w:hAnsi="TimesNewRomanPS"/>
          <w:color w:val="0D0D0D" w:themeColor="text1" w:themeTint="F2"/>
          <w14:textFill>
            <w14:solidFill>
              <w14:schemeClr w14:val="tx1">
                <w14:lumMod w14:val="95000"/>
                <w14:lumOff w14:val="5000"/>
              </w14:schemeClr>
            </w14:solidFill>
          </w14:textFill>
        </w:rPr>
      </w:pPr>
    </w:p>
    <w:p w14:paraId="08A9B717">
      <w:pPr>
        <w:spacing w:line="360" w:lineRule="auto"/>
        <w:jc w:val="center"/>
        <w:rPr>
          <w:rFonts w:hint="default" w:ascii="Times New Roman Regular" w:hAnsi="Times New Roman Regular" w:eastAsia="宋体" w:cs="Times New Roman Regular"/>
          <w:color w:val="0D0D0D" w:themeColor="text1" w:themeTint="F2"/>
          <w:kern w:val="0"/>
          <w:sz w:val="24"/>
          <w:szCs w:val="24"/>
          <w:lang w:eastAsia="zh-Hans"/>
          <w14:textFill>
            <w14:solidFill>
              <w14:schemeClr w14:val="tx1">
                <w14:lumMod w14:val="95000"/>
                <w14:lumOff w14:val="5000"/>
              </w14:schemeClr>
            </w14:solidFill>
          </w14:textFill>
        </w:rPr>
      </w:pPr>
      <w:r>
        <w:rPr>
          <w:rFonts w:hint="default" w:ascii="Times New Roman Regular" w:hAnsi="Times New Roman Regular" w:eastAsia="宋体" w:cs="Times New Roman Regular"/>
          <w:color w:val="0D0D0D" w:themeColor="text1" w:themeTint="F2"/>
          <w:kern w:val="0"/>
          <w:sz w:val="24"/>
          <w:szCs w:val="24"/>
          <w:lang w:eastAsia="zh-Hans"/>
          <w14:textFill>
            <w14:solidFill>
              <w14:schemeClr w14:val="tx1">
                <w14:lumMod w14:val="95000"/>
                <w14:lumOff w14:val="5000"/>
              </w14:schemeClr>
            </w14:solidFill>
          </w14:textFill>
        </w:rPr>
        <w:t>AES-SDM Meta-Analysis of Spontaneous Brain Activity in Cerebral Small Vessel Disease</w:t>
      </w:r>
    </w:p>
    <w:p w14:paraId="5B877FE3">
      <w:pPr>
        <w:spacing w:line="360" w:lineRule="auto"/>
        <w:jc w:val="center"/>
        <w:rPr>
          <w:rFonts w:hint="default" w:ascii="Times New Roman Regular" w:hAnsi="Times New Roman Regular" w:eastAsia="宋体" w:cs="Times New Roman Regular"/>
          <w:color w:val="0D0D0D" w:themeColor="text1" w:themeTint="F2"/>
          <w:kern w:val="0"/>
          <w:sz w:val="24"/>
          <w:szCs w:val="24"/>
          <w:lang w:eastAsia="zh-Hans"/>
          <w14:textFill>
            <w14:solidFill>
              <w14:schemeClr w14:val="tx1">
                <w14:lumMod w14:val="95000"/>
                <w14:lumOff w14:val="5000"/>
              </w14:schemeClr>
            </w14:solidFill>
          </w14:textFill>
        </w:rPr>
      </w:pPr>
    </w:p>
    <w:p w14:paraId="079E2518">
      <w:pPr>
        <w:spacing w:line="360" w:lineRule="auto"/>
        <w:jc w:val="center"/>
        <w:rPr>
          <w:rFonts w:hint="eastAsia" w:ascii="Times New Roman Regular" w:hAnsi="Times New Roman Regular" w:cs="Times New Roman Regular"/>
          <w:color w:val="0D0D0D" w:themeColor="text1" w:themeTint="F2"/>
          <w:sz w:val="24"/>
          <w:lang w:eastAsia="zh-Hans"/>
          <w14:textFill>
            <w14:solidFill>
              <w14:schemeClr w14:val="tx1">
                <w14:lumMod w14:val="95000"/>
                <w14:lumOff w14:val="5000"/>
              </w14:schemeClr>
            </w14:solidFill>
          </w14:textFill>
        </w:rPr>
      </w:pPr>
      <w:r>
        <w:rPr>
          <w:rFonts w:hint="eastAsia" w:ascii="Times New Roman Regular" w:hAnsi="Times New Roman Regular" w:cs="Times New Roman Regular"/>
          <w:color w:val="0D0D0D" w:themeColor="text1" w:themeTint="F2"/>
          <w:sz w:val="24"/>
          <w:lang w:eastAsia="zh-Hans"/>
          <w14:textFill>
            <w14:solidFill>
              <w14:schemeClr w14:val="tx1">
                <w14:lumMod w14:val="95000"/>
                <w14:lumOff w14:val="5000"/>
              </w14:schemeClr>
            </w14:solidFill>
          </w14:textFill>
        </w:rPr>
        <w:t>Yue Li</w:t>
      </w:r>
      <w:r>
        <w:rPr>
          <w:rFonts w:hint="eastAsia" w:ascii="Times New Roman Regular" w:hAnsi="Times New Roman Regular" w:cs="Times New Roman Regular"/>
          <w:color w:val="0D0D0D" w:themeColor="text1" w:themeTint="F2"/>
          <w:sz w:val="24"/>
          <w:vertAlign w:val="superscript"/>
          <w:lang w:eastAsia="zh-Hans"/>
          <w14:textFill>
            <w14:solidFill>
              <w14:schemeClr w14:val="tx1">
                <w14:lumMod w14:val="95000"/>
                <w14:lumOff w14:val="5000"/>
              </w14:schemeClr>
            </w14:solidFill>
          </w14:textFill>
        </w:rPr>
        <w:t>1</w:t>
      </w:r>
      <w:r>
        <w:rPr>
          <w:rFonts w:hint="eastAsia" w:ascii="Times New Roman Regular" w:hAnsi="Times New Roman Regular" w:cs="Times New Roman Regular"/>
          <w:color w:val="0D0D0D" w:themeColor="text1" w:themeTint="F2"/>
          <w:sz w:val="24"/>
          <w:lang w:eastAsia="zh-Hans"/>
          <w14:textFill>
            <w14:solidFill>
              <w14:schemeClr w14:val="tx1">
                <w14:lumMod w14:val="95000"/>
                <w14:lumOff w14:val="5000"/>
              </w14:schemeClr>
            </w14:solidFill>
          </w14:textFill>
        </w:rPr>
        <w:t>,</w:t>
      </w:r>
      <w:r>
        <w:rPr>
          <w:rFonts w:hint="eastAsia" w:ascii="Times New Roman Regular" w:hAnsi="Times New Roman Regular" w:cs="Times New Roman Regular"/>
          <w:color w:val="0D0D0D" w:themeColor="text1" w:themeTint="F2"/>
          <w:sz w:val="24"/>
          <w:lang w:val="en-US" w:eastAsia="zh-CN"/>
          <w14:textFill>
            <w14:solidFill>
              <w14:schemeClr w14:val="tx1">
                <w14:lumMod w14:val="95000"/>
                <w14:lumOff w14:val="5000"/>
              </w14:schemeClr>
            </w14:solidFill>
          </w14:textFill>
        </w:rPr>
        <w:t xml:space="preserve"> Zhenlu Yang</w:t>
      </w:r>
      <w:r>
        <w:rPr>
          <w:rFonts w:hint="eastAsia" w:ascii="Times New Roman Regular" w:hAnsi="Times New Roman Regular" w:cs="Times New Roman Regular"/>
          <w:color w:val="0D0D0D" w:themeColor="text1" w:themeTint="F2"/>
          <w:sz w:val="24"/>
          <w:vertAlign w:val="superscript"/>
          <w:lang w:val="en-US" w:eastAsia="zh-CN"/>
          <w14:textFill>
            <w14:solidFill>
              <w14:schemeClr w14:val="tx1">
                <w14:lumMod w14:val="95000"/>
                <w14:lumOff w14:val="5000"/>
              </w14:schemeClr>
            </w14:solidFill>
          </w14:textFill>
        </w:rPr>
        <w:t>1*</w:t>
      </w:r>
      <w:r>
        <w:rPr>
          <w:rFonts w:hint="eastAsia" w:ascii="Times New Roman Regular" w:hAnsi="Times New Roman Regular" w:cs="Times New Roman Regular"/>
          <w:color w:val="0D0D0D" w:themeColor="text1" w:themeTint="F2"/>
          <w:sz w:val="24"/>
          <w:lang w:val="en-US" w:eastAsia="zh-CN"/>
          <w14:textFill>
            <w14:solidFill>
              <w14:schemeClr w14:val="tx1">
                <w14:lumMod w14:val="95000"/>
                <w14:lumOff w14:val="5000"/>
              </w14:schemeClr>
            </w14:solidFill>
          </w14:textFill>
        </w:rPr>
        <w:t>,</w:t>
      </w:r>
      <w:r>
        <w:rPr>
          <w:rFonts w:hint="eastAsia" w:ascii="Times New Roman Regular" w:hAnsi="Times New Roman Regular" w:cs="Times New Roman Regular"/>
          <w:color w:val="0D0D0D" w:themeColor="text1" w:themeTint="F2"/>
          <w:sz w:val="24"/>
          <w:lang w:eastAsia="zh-Hans"/>
          <w14:textFill>
            <w14:solidFill>
              <w14:schemeClr w14:val="tx1">
                <w14:lumMod w14:val="95000"/>
                <w14:lumOff w14:val="5000"/>
              </w14:schemeClr>
            </w14:solidFill>
          </w14:textFill>
        </w:rPr>
        <w:t xml:space="preserve"> Rongpin Wang</w:t>
      </w:r>
      <w:r>
        <w:rPr>
          <w:rFonts w:hint="eastAsia" w:ascii="Times New Roman Regular" w:hAnsi="Times New Roman Regular" w:cs="Times New Roman Regular"/>
          <w:color w:val="0D0D0D" w:themeColor="text1" w:themeTint="F2"/>
          <w:sz w:val="24"/>
          <w:vertAlign w:val="superscript"/>
          <w:lang w:eastAsia="zh-Hans"/>
          <w14:textFill>
            <w14:solidFill>
              <w14:schemeClr w14:val="tx1">
                <w14:lumMod w14:val="95000"/>
                <w14:lumOff w14:val="5000"/>
              </w14:schemeClr>
            </w14:solidFill>
          </w14:textFill>
        </w:rPr>
        <w:t>1</w:t>
      </w:r>
      <w:r>
        <w:rPr>
          <w:rFonts w:hint="eastAsia" w:ascii="Times New Roman Regular" w:hAnsi="Times New Roman Regular" w:cs="Times New Roman Regular"/>
          <w:color w:val="0D0D0D" w:themeColor="text1" w:themeTint="F2"/>
          <w:sz w:val="24"/>
          <w:vertAlign w:val="superscript"/>
          <w:lang w:val="en-US" w:eastAsia="zh-CN"/>
          <w14:textFill>
            <w14:solidFill>
              <w14:schemeClr w14:val="tx1">
                <w14:lumMod w14:val="95000"/>
                <w14:lumOff w14:val="5000"/>
              </w14:schemeClr>
            </w14:solidFill>
          </w14:textFill>
        </w:rPr>
        <w:t>*</w:t>
      </w:r>
      <w:r>
        <w:rPr>
          <w:rFonts w:hint="eastAsia" w:ascii="Times New Roman Regular" w:hAnsi="Times New Roman Regular" w:cs="Times New Roman Regular"/>
          <w:color w:val="0D0D0D" w:themeColor="text1" w:themeTint="F2"/>
          <w:sz w:val="24"/>
          <w:lang w:eastAsia="zh-Hans"/>
          <w14:textFill>
            <w14:solidFill>
              <w14:schemeClr w14:val="tx1">
                <w14:lumMod w14:val="95000"/>
                <w14:lumOff w14:val="5000"/>
              </w14:schemeClr>
            </w14:solidFill>
          </w14:textFill>
        </w:rPr>
        <w:t>, Zi Xu</w:t>
      </w:r>
      <w:r>
        <w:rPr>
          <w:rFonts w:hint="eastAsia" w:ascii="Times New Roman Regular" w:hAnsi="Times New Roman Regular" w:cs="Times New Roman Regular"/>
          <w:color w:val="0D0D0D" w:themeColor="text1" w:themeTint="F2"/>
          <w:sz w:val="24"/>
          <w:vertAlign w:val="superscript"/>
          <w:lang w:eastAsia="zh-Hans"/>
          <w14:textFill>
            <w14:solidFill>
              <w14:schemeClr w14:val="tx1">
                <w14:lumMod w14:val="95000"/>
                <w14:lumOff w14:val="5000"/>
              </w14:schemeClr>
            </w14:solidFill>
          </w14:textFill>
        </w:rPr>
        <w:t>1</w:t>
      </w:r>
    </w:p>
    <w:p w14:paraId="0600974A">
      <w:pPr>
        <w:spacing w:line="360" w:lineRule="auto"/>
        <w:jc w:val="center"/>
        <w:rPr>
          <w:rFonts w:hint="eastAsia" w:ascii="Times New Roman Regular" w:hAnsi="Times New Roman Regular" w:cs="Times New Roman Regular" w:eastAsiaTheme="minorEastAsia"/>
          <w:color w:val="0D0D0D" w:themeColor="text1" w:themeTint="F2"/>
          <w:sz w:val="18"/>
          <w:szCs w:val="18"/>
          <w:lang w:val="en-US" w:eastAsia="zh-CN"/>
          <w14:textFill>
            <w14:solidFill>
              <w14:schemeClr w14:val="tx1">
                <w14:lumMod w14:val="95000"/>
                <w14:lumOff w14:val="5000"/>
              </w14:schemeClr>
            </w14:solidFill>
          </w14:textFill>
        </w:rPr>
      </w:pPr>
      <w:r>
        <w:rPr>
          <w:rFonts w:hint="eastAsia" w:ascii="Times New Roman Regular" w:hAnsi="Times New Roman Regular" w:cs="Times New Roman Regular"/>
          <w:color w:val="0D0D0D" w:themeColor="text1" w:themeTint="F2"/>
          <w:sz w:val="18"/>
          <w:szCs w:val="18"/>
          <w:vertAlign w:val="superscript"/>
          <w:lang w:eastAsia="zh-Hans"/>
          <w14:textFill>
            <w14:solidFill>
              <w14:schemeClr w14:val="tx1">
                <w14:lumMod w14:val="95000"/>
                <w14:lumOff w14:val="5000"/>
              </w14:schemeClr>
            </w14:solidFill>
          </w14:textFill>
        </w:rPr>
        <w:t>1</w:t>
      </w:r>
      <w:r>
        <w:rPr>
          <w:rFonts w:hint="eastAsia" w:ascii="Times New Roman Regular" w:hAnsi="Times New Roman Regular" w:cs="Times New Roman Regular"/>
          <w:color w:val="0D0D0D" w:themeColor="text1" w:themeTint="F2"/>
          <w:sz w:val="18"/>
          <w:szCs w:val="18"/>
          <w:lang w:eastAsia="zh-Hans"/>
          <w14:textFill>
            <w14:solidFill>
              <w14:schemeClr w14:val="tx1">
                <w14:lumMod w14:val="95000"/>
                <w14:lumOff w14:val="5000"/>
              </w14:schemeClr>
            </w14:solidFill>
          </w14:textFill>
        </w:rPr>
        <w:t xml:space="preserve"> Guizhou Province International Science and Technology Cooperation Base for Precision Imaging Diagnosis and Treatment, Key Laboratory of Advanced Medical Imaging and Intelligent Computing of Guizhou Province, Department of Radiology, Guizhou Provincial People's Hospital, Guizhou, 550000, China</w:t>
      </w:r>
      <w:r>
        <w:rPr>
          <w:rFonts w:hint="eastAsia" w:ascii="Times New Roman Regular" w:hAnsi="Times New Roman Regular" w:cs="Times New Roman Regular"/>
          <w:color w:val="0D0D0D" w:themeColor="text1" w:themeTint="F2"/>
          <w:sz w:val="18"/>
          <w:szCs w:val="18"/>
          <w:lang w:val="en-US" w:eastAsia="zh-CN"/>
          <w14:textFill>
            <w14:solidFill>
              <w14:schemeClr w14:val="tx1">
                <w14:lumMod w14:val="95000"/>
                <w14:lumOff w14:val="5000"/>
              </w14:schemeClr>
            </w14:solidFill>
          </w14:textFill>
        </w:rPr>
        <w:t>.</w:t>
      </w:r>
    </w:p>
    <w:p w14:paraId="21E2243D">
      <w:pPr>
        <w:spacing w:line="360" w:lineRule="auto"/>
        <w:jc w:val="both"/>
        <w:rPr>
          <w:rFonts w:hint="eastAsia" w:ascii="Times New Roman Regular" w:hAnsi="Times New Roman Regular" w:cs="Times New Roman Regular"/>
          <w:color w:val="0D0D0D" w:themeColor="text1" w:themeTint="F2"/>
          <w:sz w:val="18"/>
          <w:szCs w:val="18"/>
          <w:lang w:eastAsia="zh-Hans"/>
          <w14:textFill>
            <w14:solidFill>
              <w14:schemeClr w14:val="tx1">
                <w14:lumMod w14:val="95000"/>
                <w14:lumOff w14:val="5000"/>
              </w14:schemeClr>
            </w14:solidFill>
          </w14:textFill>
        </w:rPr>
      </w:pPr>
    </w:p>
    <w:p w14:paraId="70F21661">
      <w:pPr>
        <w:spacing w:line="360" w:lineRule="auto"/>
        <w:jc w:val="both"/>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pPr>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*Corresponding author details</w:t>
      </w:r>
    </w:p>
    <w:p w14:paraId="04F1F6C7">
      <w:pPr>
        <w:spacing w:line="360" w:lineRule="auto"/>
        <w:jc w:val="both"/>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pPr>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*Corresponding authors: Rongpin</w:t>
      </w:r>
      <w:bookmarkStart w:id="1" w:name="_GoBack"/>
      <w:bookmarkEnd w:id="1"/>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 xml:space="preserve"> Wang and Zhenlu Yang</w:t>
      </w:r>
    </w:p>
    <w:p w14:paraId="05851F03">
      <w:pPr>
        <w:spacing w:line="360" w:lineRule="auto"/>
        <w:jc w:val="both"/>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pPr>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Email address: yangzhenlu0105@163.com</w:t>
      </w:r>
    </w:p>
    <w:p w14:paraId="6BBCD50F">
      <w:pPr>
        <w:spacing w:line="360" w:lineRule="auto"/>
        <w:jc w:val="both"/>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pPr>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Telephone number: 15071408432</w:t>
      </w:r>
    </w:p>
    <w:p w14:paraId="6E22807E">
      <w:pPr>
        <w:spacing w:line="360" w:lineRule="auto"/>
        <w:jc w:val="both"/>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pPr>
      <w:r>
        <w:rPr>
          <w:rFonts w:hint="default" w:ascii="Times New Roman Regular" w:hAnsi="Times New Roman Regular" w:cs="Times New Roman Regular"/>
          <w:color w:val="0D0D0D" w:themeColor="text1" w:themeTint="F2"/>
          <w:sz w:val="18"/>
          <w:szCs w:val="18"/>
          <w14:textFill>
            <w14:solidFill>
              <w14:schemeClr w14:val="tx1">
                <w14:lumMod w14:val="95000"/>
                <w14:lumOff w14:val="5000"/>
              </w14:schemeClr>
            </w14:solidFill>
          </w14:textFill>
        </w:rPr>
        <w:t>Guizhou Province International Science and Technology Cooperation Base for Precision Imaging Diagnosis and Treatment, Key Laboratory of Advanced Medical Imaging and Intelligent Computing of Guizhou Province, Department of Radiology, Guizhou Provincial People's Hospital, No. 83 Zhongshan East Road, Nanming District, Guiyang, Guizhou, 550000, China.</w:t>
      </w:r>
    </w:p>
    <w:p w14:paraId="585A6A45">
      <w:pPr>
        <w:rPr>
          <w:rFonts w:ascii="TimesNewRomanPS" w:hAnsi="TimesNewRomanPS"/>
          <w:b/>
          <w:bCs/>
          <w:color w:val="0D0D0D" w:themeColor="text1" w:themeTint="F2"/>
          <w14:textFill>
            <w14:solidFill>
              <w14:schemeClr w14:val="tx1">
                <w14:lumMod w14:val="95000"/>
                <w14:lumOff w14:val="5000"/>
              </w14:schemeClr>
            </w14:solidFill>
          </w14:textFill>
        </w:rPr>
      </w:pPr>
    </w:p>
    <w:p w14:paraId="6DEB6D61">
      <w:pPr>
        <w:rPr>
          <w:rFonts w:ascii="TimesNewRomanPS" w:hAnsi="TimesNewRomanPS"/>
          <w:b/>
          <w:bCs/>
          <w:color w:val="0D0D0D" w:themeColor="text1" w:themeTint="F2"/>
          <w14:textFill>
            <w14:solidFill>
              <w14:schemeClr w14:val="tx1">
                <w14:lumMod w14:val="95000"/>
                <w14:lumOff w14:val="5000"/>
              </w14:schemeClr>
            </w14:solidFill>
          </w14:textFill>
        </w:rPr>
      </w:pPr>
    </w:p>
    <w:p w14:paraId="0A1960A3">
      <w:pPr>
        <w:pStyle w:val="5"/>
        <w:rPr>
          <w:color w:val="0D0D0D" w:themeColor="text1" w:themeTint="F2"/>
          <w14:textFill>
            <w14:solidFill>
              <w14:schemeClr w14:val="tx1">
                <w14:lumMod w14:val="95000"/>
                <w14:lumOff w14:val="5000"/>
              </w14:schemeClr>
            </w14:solidFill>
          </w14:textFill>
        </w:rPr>
        <w:sectPr>
          <w:pgSz w:w="11906" w:h="16838"/>
          <w:pgMar w:top="1213" w:right="1009" w:bottom="1213" w:left="1009" w:header="851" w:footer="992" w:gutter="0"/>
          <w:pgBorders>
            <w:top w:val="none" w:sz="0" w:space="0"/>
            <w:left w:val="none" w:sz="0" w:space="0"/>
            <w:bottom w:val="none" w:sz="0" w:space="0"/>
            <w:right w:val="none" w:sz="0" w:space="0"/>
          </w:pgBorders>
          <w:lnNumType w:countBy="0" w:restart="continuous"/>
          <w:pgNumType w:fmt="decimal" w:start="0"/>
          <w:cols w:space="0" w:num="1"/>
          <w:rtlGutter w:val="0"/>
          <w:docGrid w:type="lines" w:linePitch="312" w:charSpace="0"/>
        </w:sectPr>
      </w:pPr>
    </w:p>
    <w:p w14:paraId="73CD8B7E">
      <w:pPr>
        <w:pStyle w:val="2"/>
        <w:bidi w:val="0"/>
        <w:rPr>
          <w:rFonts w:hint="default"/>
          <w:color w:val="0D0D0D" w:themeColor="text1" w:themeTint="F2"/>
          <w:lang w:val="en-US" w:eastAsia="zh-CN"/>
          <w14:textFill>
            <w14:solidFill>
              <w14:schemeClr w14:val="tx1">
                <w14:lumMod w14:val="95000"/>
                <w14:lumOff w14:val="5000"/>
              </w14:schemeClr>
            </w14:solidFill>
          </w14:textFill>
        </w:rPr>
      </w:pPr>
      <w:bookmarkStart w:id="0" w:name="_Toc1341033103"/>
      <w:r>
        <w:rPr>
          <w:rFonts w:hint="default"/>
          <w:color w:val="0D0D0D" w:themeColor="text1" w:themeTint="F2"/>
          <w:lang w:val="en-US" w:eastAsia="zh-CN"/>
          <w14:textFill>
            <w14:solidFill>
              <w14:schemeClr w14:val="tx1">
                <w14:lumMod w14:val="95000"/>
                <w14:lumOff w14:val="5000"/>
              </w14:schemeClr>
            </w14:solidFill>
          </w14:textFill>
        </w:rPr>
        <w:t xml:space="preserve">Supplementary </w:t>
      </w:r>
      <w:r>
        <w:rPr>
          <w:rFonts w:hint="eastAsia"/>
          <w:color w:val="0D0D0D" w:themeColor="text1" w:themeTint="F2"/>
          <w:lang w:val="en-US" w:eastAsia="zh-CN"/>
          <w14:textFill>
            <w14:solidFill>
              <w14:schemeClr w14:val="tx1">
                <w14:lumMod w14:val="95000"/>
                <w14:lumOff w14:val="5000"/>
              </w14:schemeClr>
            </w14:solidFill>
          </w14:textFill>
        </w:rPr>
        <w:t>t</w:t>
      </w:r>
      <w:r>
        <w:rPr>
          <w:rFonts w:hint="default"/>
          <w:color w:val="0D0D0D" w:themeColor="text1" w:themeTint="F2"/>
          <w:lang w:val="en-US" w:eastAsia="zh-CN"/>
          <w14:textFill>
            <w14:solidFill>
              <w14:schemeClr w14:val="tx1">
                <w14:lumMod w14:val="95000"/>
                <w14:lumOff w14:val="5000"/>
              </w14:schemeClr>
            </w14:solidFill>
          </w14:textFill>
        </w:rPr>
        <w:t xml:space="preserve">able </w:t>
      </w:r>
      <w:r>
        <w:rPr>
          <w:rFonts w:hint="eastAsia"/>
          <w:color w:val="0D0D0D" w:themeColor="text1" w:themeTint="F2"/>
          <w:lang w:val="en-US" w:eastAsia="zh-CN"/>
          <w14:textFill>
            <w14:solidFill>
              <w14:schemeClr w14:val="tx1">
                <w14:lumMod w14:val="95000"/>
                <w14:lumOff w14:val="5000"/>
              </w14:schemeClr>
            </w14:solidFill>
          </w14:textFill>
        </w:rPr>
        <w:t>S1</w:t>
      </w:r>
      <w:r>
        <w:rPr>
          <w:rFonts w:hint="default"/>
          <w:color w:val="0D0D0D" w:themeColor="text1" w:themeTint="F2"/>
          <w:lang w:val="en-US" w:eastAsia="zh-CN"/>
          <w14:textFill>
            <w14:solidFill>
              <w14:schemeClr w14:val="tx1">
                <w14:lumMod w14:val="95000"/>
                <w14:lumOff w14:val="5000"/>
              </w14:schemeClr>
            </w14:solidFill>
          </w14:textFill>
        </w:rPr>
        <w:t>: NOS ratings of the resting-state local activity studies</w:t>
      </w:r>
      <w:bookmarkEnd w:id="0"/>
    </w:p>
    <w:tbl>
      <w:tblPr>
        <w:tblStyle w:val="7"/>
        <w:tblpPr w:leftFromText="180" w:rightFromText="180" w:vertAnchor="text" w:horzAnchor="page" w:tblpXSpec="center" w:tblpY="58"/>
        <w:tblOverlap w:val="never"/>
        <w:tblW w:w="5045"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6"/>
        <w:gridCol w:w="1496"/>
        <w:gridCol w:w="1047"/>
        <w:gridCol w:w="1197"/>
        <w:gridCol w:w="1154"/>
        <w:gridCol w:w="1141"/>
        <w:gridCol w:w="972"/>
        <w:gridCol w:w="883"/>
        <w:gridCol w:w="886"/>
        <w:gridCol w:w="776"/>
      </w:tblGrid>
      <w:tr w14:paraId="3B2FD359">
        <w:trPr>
          <w:trHeight w:val="624" w:hRule="atLeast"/>
          <w:jc w:val="center"/>
        </w:trPr>
        <w:tc>
          <w:tcPr>
            <w:tcW w:w="468" w:type="pct"/>
            <w:vMerge w:val="restart"/>
            <w:tcBorders>
              <w:top w:val="single" w:color="auto" w:sz="12" w:space="0"/>
            </w:tcBorders>
            <w:noWrap w:val="0"/>
            <w:vAlign w:val="center"/>
          </w:tcPr>
          <w:p w14:paraId="492C16C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Study</w:t>
            </w:r>
          </w:p>
        </w:tc>
        <w:tc>
          <w:tcPr>
            <w:tcW w:w="2322" w:type="pct"/>
            <w:gridSpan w:val="4"/>
            <w:tcBorders>
              <w:top w:val="single" w:color="auto" w:sz="12" w:space="0"/>
              <w:bottom w:val="single" w:color="auto" w:sz="4" w:space="0"/>
            </w:tcBorders>
            <w:noWrap w:val="0"/>
            <w:vAlign w:val="center"/>
          </w:tcPr>
          <w:p w14:paraId="55D498D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Selection</w:t>
            </w:r>
          </w:p>
        </w:tc>
        <w:tc>
          <w:tcPr>
            <w:tcW w:w="541" w:type="pct"/>
            <w:tcBorders>
              <w:top w:val="single" w:color="auto" w:sz="12" w:space="0"/>
              <w:bottom w:val="single" w:color="auto" w:sz="4" w:space="0"/>
            </w:tcBorders>
            <w:noWrap w:val="0"/>
            <w:vAlign w:val="center"/>
          </w:tcPr>
          <w:p w14:paraId="4978A86E">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Comparability</w:t>
            </w:r>
          </w:p>
        </w:tc>
        <w:tc>
          <w:tcPr>
            <w:tcW w:w="1299" w:type="pct"/>
            <w:gridSpan w:val="3"/>
            <w:tcBorders>
              <w:top w:val="single" w:color="auto" w:sz="12" w:space="0"/>
              <w:bottom w:val="single" w:color="auto" w:sz="4" w:space="0"/>
            </w:tcBorders>
            <w:noWrap w:val="0"/>
            <w:vAlign w:val="center"/>
          </w:tcPr>
          <w:p w14:paraId="496A078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Outcome</w:t>
            </w:r>
          </w:p>
        </w:tc>
        <w:tc>
          <w:tcPr>
            <w:tcW w:w="368" w:type="pct"/>
            <w:vMerge w:val="restart"/>
            <w:tcBorders>
              <w:top w:val="single" w:color="auto" w:sz="12" w:space="0"/>
            </w:tcBorders>
            <w:noWrap w:val="0"/>
            <w:vAlign w:val="center"/>
          </w:tcPr>
          <w:p w14:paraId="686D3CF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Overall risk of bias</w:t>
            </w:r>
          </w:p>
        </w:tc>
      </w:tr>
      <w:tr w14:paraId="456A95BE">
        <w:trPr>
          <w:trHeight w:val="624" w:hRule="atLeast"/>
          <w:jc w:val="center"/>
        </w:trPr>
        <w:tc>
          <w:tcPr>
            <w:tcW w:w="468" w:type="pct"/>
            <w:vMerge w:val="continue"/>
            <w:tcBorders>
              <w:bottom w:val="single" w:color="auto" w:sz="6" w:space="0"/>
            </w:tcBorders>
            <w:noWrap w:val="0"/>
            <w:vAlign w:val="center"/>
          </w:tcPr>
          <w:p w14:paraId="305BC08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p>
        </w:tc>
        <w:tc>
          <w:tcPr>
            <w:tcW w:w="709" w:type="pct"/>
            <w:tcBorders>
              <w:top w:val="single" w:color="auto" w:sz="4" w:space="0"/>
              <w:bottom w:val="single" w:color="auto" w:sz="6" w:space="0"/>
            </w:tcBorders>
            <w:noWrap w:val="0"/>
            <w:vAlign w:val="center"/>
          </w:tcPr>
          <w:p w14:paraId="3EBCB36A">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Represent-ativeness of the Sample</w:t>
            </w:r>
          </w:p>
        </w:tc>
        <w:tc>
          <w:tcPr>
            <w:tcW w:w="497" w:type="pct"/>
            <w:tcBorders>
              <w:top w:val="single" w:color="auto" w:sz="4" w:space="0"/>
              <w:bottom w:val="single" w:color="auto" w:sz="6" w:space="0"/>
            </w:tcBorders>
            <w:noWrap w:val="0"/>
            <w:vAlign w:val="center"/>
          </w:tcPr>
          <w:p w14:paraId="3709F33D">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Selection of Nonexposed Cohort</w:t>
            </w:r>
          </w:p>
        </w:tc>
        <w:tc>
          <w:tcPr>
            <w:tcW w:w="568" w:type="pct"/>
            <w:tcBorders>
              <w:top w:val="single" w:color="auto" w:sz="4" w:space="0"/>
              <w:bottom w:val="single" w:color="auto" w:sz="6" w:space="0"/>
            </w:tcBorders>
            <w:noWrap w:val="0"/>
            <w:vAlign w:val="center"/>
          </w:tcPr>
          <w:p w14:paraId="025EBF9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Outcome of Interest Was Not Present at Start of Study</w:t>
            </w:r>
          </w:p>
        </w:tc>
        <w:tc>
          <w:tcPr>
            <w:tcW w:w="547" w:type="pct"/>
            <w:tcBorders>
              <w:top w:val="single" w:color="auto" w:sz="4" w:space="0"/>
              <w:bottom w:val="single" w:color="auto" w:sz="6" w:space="0"/>
            </w:tcBorders>
            <w:noWrap w:val="0"/>
            <w:vAlign w:val="center"/>
          </w:tcPr>
          <w:p w14:paraId="2096BA18">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t>Ascertainment of Exposure</w:t>
            </w:r>
          </w:p>
        </w:tc>
        <w:tc>
          <w:tcPr>
            <w:tcW w:w="541" w:type="pct"/>
            <w:tcBorders>
              <w:top w:val="single" w:color="auto" w:sz="4" w:space="0"/>
              <w:bottom w:val="single" w:color="auto" w:sz="6" w:space="0"/>
            </w:tcBorders>
            <w:noWrap w:val="0"/>
            <w:vAlign w:val="center"/>
          </w:tcPr>
          <w:p w14:paraId="287E293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t>Based on Design and Analysis</w:t>
            </w:r>
          </w:p>
        </w:tc>
        <w:tc>
          <w:tcPr>
            <w:tcW w:w="461" w:type="pct"/>
            <w:tcBorders>
              <w:top w:val="single" w:color="auto" w:sz="4" w:space="0"/>
              <w:bottom w:val="single" w:color="auto" w:sz="6" w:space="0"/>
            </w:tcBorders>
            <w:noWrap w:val="0"/>
            <w:vAlign w:val="top"/>
          </w:tcPr>
          <w:p w14:paraId="103B03C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Assessment of the Outcome</w:t>
            </w:r>
          </w:p>
        </w:tc>
        <w:tc>
          <w:tcPr>
            <w:tcW w:w="418" w:type="pct"/>
            <w:tcBorders>
              <w:top w:val="single" w:color="auto" w:sz="4" w:space="0"/>
              <w:bottom w:val="single" w:color="auto" w:sz="6" w:space="0"/>
            </w:tcBorders>
            <w:noWrap w:val="0"/>
            <w:vAlign w:val="top"/>
          </w:tcPr>
          <w:p w14:paraId="48DB544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Follow-up</w:t>
            </w:r>
          </w:p>
        </w:tc>
        <w:tc>
          <w:tcPr>
            <w:tcW w:w="418" w:type="pct"/>
            <w:tcBorders>
              <w:top w:val="single" w:color="auto" w:sz="4" w:space="0"/>
              <w:bottom w:val="single" w:color="auto" w:sz="6" w:space="0"/>
            </w:tcBorders>
            <w:noWrap w:val="0"/>
            <w:vAlign w:val="top"/>
          </w:tcPr>
          <w:p w14:paraId="36A33FBF">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Adequacy of Follow-up</w:t>
            </w:r>
          </w:p>
        </w:tc>
        <w:tc>
          <w:tcPr>
            <w:tcW w:w="368" w:type="pct"/>
            <w:vMerge w:val="continue"/>
            <w:tcBorders>
              <w:bottom w:val="single" w:color="auto" w:sz="6" w:space="0"/>
            </w:tcBorders>
            <w:noWrap w:val="0"/>
            <w:vAlign w:val="center"/>
          </w:tcPr>
          <w:p w14:paraId="47D5A971">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p>
        </w:tc>
      </w:tr>
      <w:tr w14:paraId="6BC8F736">
        <w:trPr>
          <w:trHeight w:val="666" w:hRule="atLeast"/>
          <w:jc w:val="center"/>
        </w:trPr>
        <w:tc>
          <w:tcPr>
            <w:tcW w:w="468" w:type="pct"/>
            <w:tcBorders>
              <w:top w:val="nil"/>
              <w:left w:val="nil"/>
              <w:bottom w:val="nil"/>
              <w:right w:val="nil"/>
              <w:tl2br w:val="nil"/>
              <w:tr2bl w:val="nil"/>
            </w:tcBorders>
            <w:shd w:val="clear" w:color="auto" w:fill="auto"/>
            <w:noWrap w:val="0"/>
            <w:vAlign w:val="center"/>
          </w:tcPr>
          <w:p w14:paraId="2C1111E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Cao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2018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[1]</w:t>
            </w:r>
          </w:p>
        </w:tc>
        <w:tc>
          <w:tcPr>
            <w:tcW w:w="709" w:type="pct"/>
            <w:tcBorders>
              <w:top w:val="nil"/>
              <w:left w:val="nil"/>
              <w:bottom w:val="nil"/>
              <w:tl2br w:val="nil"/>
              <w:tr2bl w:val="nil"/>
            </w:tcBorders>
            <w:noWrap w:val="0"/>
            <w:vAlign w:val="center"/>
          </w:tcPr>
          <w:p w14:paraId="5770E54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op w:val="nil"/>
              <w:left w:val="nil"/>
              <w:bottom w:val="nil"/>
              <w:tl2br w:val="nil"/>
              <w:tr2bl w:val="nil"/>
            </w:tcBorders>
            <w:noWrap w:val="0"/>
            <w:vAlign w:val="center"/>
          </w:tcPr>
          <w:p w14:paraId="418BA01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op w:val="nil"/>
              <w:left w:val="nil"/>
              <w:bottom w:val="nil"/>
              <w:tl2br w:val="nil"/>
              <w:tr2bl w:val="nil"/>
            </w:tcBorders>
            <w:noWrap w:val="0"/>
            <w:vAlign w:val="center"/>
          </w:tcPr>
          <w:p w14:paraId="09B98FE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op w:val="nil"/>
              <w:left w:val="nil"/>
              <w:bottom w:val="nil"/>
              <w:tl2br w:val="nil"/>
              <w:tr2bl w:val="nil"/>
            </w:tcBorders>
            <w:noWrap w:val="0"/>
            <w:vAlign w:val="center"/>
          </w:tcPr>
          <w:p w14:paraId="3C4326C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op w:val="nil"/>
              <w:left w:val="nil"/>
              <w:bottom w:val="nil"/>
              <w:tl2br w:val="nil"/>
              <w:tr2bl w:val="nil"/>
            </w:tcBorders>
            <w:noWrap w:val="0"/>
            <w:vAlign w:val="center"/>
          </w:tcPr>
          <w:p w14:paraId="2656963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op w:val="nil"/>
              <w:bottom w:val="nil"/>
              <w:tl2br w:val="nil"/>
              <w:tr2bl w:val="nil"/>
            </w:tcBorders>
            <w:noWrap w:val="0"/>
            <w:vAlign w:val="center"/>
          </w:tcPr>
          <w:p w14:paraId="445DAA0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op w:val="nil"/>
              <w:bottom w:val="nil"/>
              <w:tl2br w:val="nil"/>
              <w:tr2bl w:val="nil"/>
            </w:tcBorders>
            <w:noWrap w:val="0"/>
            <w:vAlign w:val="center"/>
          </w:tcPr>
          <w:p w14:paraId="762A7AF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op w:val="nil"/>
              <w:bottom w:val="nil"/>
              <w:tl2br w:val="nil"/>
              <w:tr2bl w:val="nil"/>
            </w:tcBorders>
            <w:noWrap w:val="0"/>
            <w:vAlign w:val="center"/>
          </w:tcPr>
          <w:p w14:paraId="4E9A35C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op w:val="nil"/>
              <w:bottom w:val="nil"/>
              <w:tl2br w:val="nil"/>
              <w:tr2bl w:val="nil"/>
            </w:tcBorders>
            <w:noWrap w:val="0"/>
            <w:vAlign w:val="center"/>
          </w:tcPr>
          <w:p w14:paraId="23E3A1D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436727A8">
        <w:trPr>
          <w:trHeight w:val="624" w:hRule="atLeast"/>
          <w:jc w:val="center"/>
        </w:trPr>
        <w:tc>
          <w:tcPr>
            <w:tcW w:w="468" w:type="pct"/>
            <w:tcBorders>
              <w:top w:val="nil"/>
              <w:left w:val="nil"/>
              <w:bottom w:val="nil"/>
              <w:right w:val="nil"/>
              <w:tl2br w:val="nil"/>
              <w:tr2bl w:val="nil"/>
            </w:tcBorders>
            <w:shd w:val="clear" w:color="auto" w:fill="auto"/>
            <w:noWrap w:val="0"/>
            <w:vAlign w:val="center"/>
          </w:tcPr>
          <w:p w14:paraId="1AA35C2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Feng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2021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[2]</w:t>
            </w:r>
          </w:p>
        </w:tc>
        <w:tc>
          <w:tcPr>
            <w:tcW w:w="709" w:type="pct"/>
            <w:tcBorders>
              <w:top w:val="nil"/>
              <w:left w:val="nil"/>
              <w:tl2br w:val="nil"/>
              <w:tr2bl w:val="nil"/>
            </w:tcBorders>
            <w:noWrap w:val="0"/>
            <w:vAlign w:val="center"/>
          </w:tcPr>
          <w:p w14:paraId="3FA0724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op w:val="nil"/>
              <w:left w:val="nil"/>
              <w:tl2br w:val="nil"/>
              <w:tr2bl w:val="nil"/>
            </w:tcBorders>
            <w:noWrap w:val="0"/>
            <w:vAlign w:val="center"/>
          </w:tcPr>
          <w:p w14:paraId="02B1CCE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op w:val="nil"/>
              <w:left w:val="nil"/>
              <w:tl2br w:val="nil"/>
              <w:tr2bl w:val="nil"/>
            </w:tcBorders>
            <w:noWrap w:val="0"/>
            <w:vAlign w:val="center"/>
          </w:tcPr>
          <w:p w14:paraId="5C0CC0F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op w:val="nil"/>
              <w:left w:val="nil"/>
              <w:tl2br w:val="nil"/>
              <w:tr2bl w:val="nil"/>
            </w:tcBorders>
            <w:noWrap w:val="0"/>
            <w:vAlign w:val="center"/>
          </w:tcPr>
          <w:p w14:paraId="79A620A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op w:val="nil"/>
              <w:left w:val="nil"/>
              <w:tl2br w:val="nil"/>
              <w:tr2bl w:val="nil"/>
            </w:tcBorders>
            <w:noWrap w:val="0"/>
            <w:vAlign w:val="center"/>
          </w:tcPr>
          <w:p w14:paraId="1EFE306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op w:val="nil"/>
              <w:tl2br w:val="nil"/>
              <w:tr2bl w:val="nil"/>
            </w:tcBorders>
            <w:noWrap w:val="0"/>
            <w:vAlign w:val="center"/>
          </w:tcPr>
          <w:p w14:paraId="0CCDC48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op w:val="nil"/>
              <w:tl2br w:val="nil"/>
              <w:tr2bl w:val="nil"/>
            </w:tcBorders>
            <w:noWrap w:val="0"/>
            <w:vAlign w:val="center"/>
          </w:tcPr>
          <w:p w14:paraId="676ECEB8">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op w:val="nil"/>
              <w:tl2br w:val="nil"/>
              <w:tr2bl w:val="nil"/>
            </w:tcBorders>
            <w:noWrap w:val="0"/>
            <w:vAlign w:val="center"/>
          </w:tcPr>
          <w:p w14:paraId="05659C5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op w:val="nil"/>
              <w:tl2br w:val="nil"/>
              <w:tr2bl w:val="nil"/>
            </w:tcBorders>
            <w:noWrap w:val="0"/>
            <w:vAlign w:val="center"/>
          </w:tcPr>
          <w:p w14:paraId="18D7B17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9 (Low)</w:t>
            </w:r>
          </w:p>
        </w:tc>
      </w:tr>
      <w:tr w14:paraId="2C9DE180">
        <w:trPr>
          <w:trHeight w:val="624" w:hRule="atLeast"/>
          <w:jc w:val="center"/>
        </w:trPr>
        <w:tc>
          <w:tcPr>
            <w:tcW w:w="468" w:type="pct"/>
            <w:tcBorders>
              <w:top w:val="nil"/>
              <w:bottom w:val="nil"/>
              <w:tl2br w:val="nil"/>
              <w:tr2bl w:val="nil"/>
            </w:tcBorders>
            <w:shd w:val="clear" w:color="auto" w:fill="auto"/>
            <w:noWrap w:val="0"/>
            <w:vAlign w:val="center"/>
          </w:tcPr>
          <w:p w14:paraId="2EB31F7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Wang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2021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[3]</w:t>
            </w:r>
          </w:p>
        </w:tc>
        <w:tc>
          <w:tcPr>
            <w:tcW w:w="709" w:type="pct"/>
            <w:tcBorders>
              <w:tl2br w:val="nil"/>
              <w:tr2bl w:val="nil"/>
            </w:tcBorders>
            <w:noWrap w:val="0"/>
            <w:vAlign w:val="center"/>
          </w:tcPr>
          <w:p w14:paraId="5E53732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16FE043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14BAF5C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47FEB9F8">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5639E34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76A5BF31">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3754434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7596BDF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noWrap w:val="0"/>
            <w:vAlign w:val="center"/>
          </w:tcPr>
          <w:p w14:paraId="44BD12D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189398C0">
        <w:trPr>
          <w:trHeight w:val="624" w:hRule="atLeast"/>
          <w:jc w:val="center"/>
        </w:trPr>
        <w:tc>
          <w:tcPr>
            <w:tcW w:w="468" w:type="pct"/>
            <w:tcBorders>
              <w:top w:val="nil"/>
              <w:bottom w:val="nil"/>
              <w:tl2br w:val="nil"/>
              <w:tr2bl w:val="nil"/>
            </w:tcBorders>
            <w:shd w:val="clear" w:color="auto" w:fill="auto"/>
            <w:noWrap w:val="0"/>
            <w:vAlign w:val="center"/>
          </w:tcPr>
          <w:p w14:paraId="3A43E39D">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Chen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2023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[4]</w:t>
            </w:r>
          </w:p>
        </w:tc>
        <w:tc>
          <w:tcPr>
            <w:tcW w:w="709" w:type="pct"/>
            <w:tcBorders>
              <w:tl2br w:val="nil"/>
              <w:tr2bl w:val="nil"/>
            </w:tcBorders>
            <w:noWrap w:val="0"/>
            <w:vAlign w:val="center"/>
          </w:tcPr>
          <w:p w14:paraId="322FDC7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547DBE7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200F6D3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6B097CC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7588C1E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25CB2EC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7342B30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7607E07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noWrap w:val="0"/>
            <w:vAlign w:val="center"/>
          </w:tcPr>
          <w:p w14:paraId="77E8348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0865EF24">
        <w:trPr>
          <w:trHeight w:val="624" w:hRule="atLeast"/>
          <w:jc w:val="center"/>
        </w:trPr>
        <w:tc>
          <w:tcPr>
            <w:tcW w:w="468" w:type="pct"/>
            <w:tcBorders>
              <w:top w:val="nil"/>
              <w:bottom w:val="nil"/>
              <w:tl2br w:val="nil"/>
              <w:tr2bl w:val="nil"/>
            </w:tcBorders>
            <w:shd w:val="clear" w:color="auto" w:fill="auto"/>
            <w:noWrap w:val="0"/>
            <w:vAlign w:val="center"/>
          </w:tcPr>
          <w:p w14:paraId="7017FEC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Song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2023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[5]</w:t>
            </w:r>
          </w:p>
        </w:tc>
        <w:tc>
          <w:tcPr>
            <w:tcW w:w="709" w:type="pct"/>
            <w:tcBorders>
              <w:tl2br w:val="nil"/>
              <w:tr2bl w:val="nil"/>
            </w:tcBorders>
            <w:noWrap w:val="0"/>
            <w:vAlign w:val="center"/>
          </w:tcPr>
          <w:p w14:paraId="1588397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6C31F7FD">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119AE2D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731D0521">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591349A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075F522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4609304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6FE74C3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noWrap w:val="0"/>
            <w:vAlign w:val="center"/>
          </w:tcPr>
          <w:p w14:paraId="0130826E">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65649EB3">
        <w:trPr>
          <w:trHeight w:val="624" w:hRule="atLeast"/>
          <w:jc w:val="center"/>
        </w:trPr>
        <w:tc>
          <w:tcPr>
            <w:tcW w:w="468" w:type="pct"/>
            <w:tcBorders>
              <w:top w:val="nil"/>
              <w:bottom w:val="nil"/>
              <w:tl2br w:val="nil"/>
              <w:tr2bl w:val="nil"/>
            </w:tcBorders>
            <w:shd w:val="clear" w:color="auto" w:fill="auto"/>
            <w:noWrap w:val="0"/>
            <w:vAlign w:val="center"/>
          </w:tcPr>
          <w:p w14:paraId="6407EB55">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Zhang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2023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[6]</w:t>
            </w:r>
          </w:p>
        </w:tc>
        <w:tc>
          <w:tcPr>
            <w:tcW w:w="709" w:type="pct"/>
            <w:tcBorders>
              <w:tl2br w:val="nil"/>
              <w:tr2bl w:val="nil"/>
            </w:tcBorders>
            <w:noWrap w:val="0"/>
            <w:vAlign w:val="center"/>
          </w:tcPr>
          <w:p w14:paraId="55DD99A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324CEFBA">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47BB1301">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7E75B8B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64E5E25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2009F35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0741B91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40177169">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noWrap w:val="0"/>
            <w:vAlign w:val="center"/>
          </w:tcPr>
          <w:p w14:paraId="2C97871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573FDA17">
        <w:trPr>
          <w:trHeight w:val="624" w:hRule="atLeast"/>
          <w:jc w:val="center"/>
        </w:trPr>
        <w:tc>
          <w:tcPr>
            <w:tcW w:w="468" w:type="pct"/>
            <w:tcBorders>
              <w:top w:val="nil"/>
              <w:bottom w:val="nil"/>
              <w:tl2br w:val="nil"/>
              <w:tr2bl w:val="nil"/>
            </w:tcBorders>
            <w:shd w:val="clear" w:color="auto" w:fill="auto"/>
            <w:noWrap w:val="0"/>
            <w:vAlign w:val="center"/>
          </w:tcPr>
          <w:p w14:paraId="7E5B30B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Ding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2025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[7]</w:t>
            </w:r>
          </w:p>
        </w:tc>
        <w:tc>
          <w:tcPr>
            <w:tcW w:w="709" w:type="pct"/>
            <w:tcBorders>
              <w:tl2br w:val="nil"/>
              <w:tr2bl w:val="nil"/>
            </w:tcBorders>
            <w:noWrap w:val="0"/>
            <w:vAlign w:val="center"/>
          </w:tcPr>
          <w:p w14:paraId="27F88F2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5C4DA0E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7EB45AE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129DB9D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7628C1E3">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776BA90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7FB110A8">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0189CDB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noWrap w:val="0"/>
            <w:vAlign w:val="center"/>
          </w:tcPr>
          <w:p w14:paraId="1A74669F">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r w14:paraId="1DED76E2">
        <w:trPr>
          <w:trHeight w:val="624" w:hRule="atLeast"/>
          <w:jc w:val="center"/>
        </w:trPr>
        <w:tc>
          <w:tcPr>
            <w:tcW w:w="468" w:type="pct"/>
            <w:tcBorders>
              <w:top w:val="nil"/>
              <w:bottom w:val="nil"/>
              <w:tl2br w:val="nil"/>
              <w:tr2bl w:val="nil"/>
            </w:tcBorders>
            <w:shd w:val="clear" w:color="auto" w:fill="auto"/>
            <w:noWrap w:val="0"/>
            <w:vAlign w:val="center"/>
          </w:tcPr>
          <w:p w14:paraId="7B7812DF">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Hans"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Fan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2025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[8]</w:t>
            </w:r>
          </w:p>
        </w:tc>
        <w:tc>
          <w:tcPr>
            <w:tcW w:w="709" w:type="pct"/>
            <w:tcBorders>
              <w:tl2br w:val="nil"/>
              <w:tr2bl w:val="nil"/>
            </w:tcBorders>
            <w:noWrap w:val="0"/>
            <w:vAlign w:val="center"/>
          </w:tcPr>
          <w:p w14:paraId="69D51BA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noWrap w:val="0"/>
            <w:vAlign w:val="center"/>
          </w:tcPr>
          <w:p w14:paraId="3345449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noWrap w:val="0"/>
            <w:vAlign w:val="center"/>
          </w:tcPr>
          <w:p w14:paraId="6B4DBA8A">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noWrap w:val="0"/>
            <w:vAlign w:val="center"/>
          </w:tcPr>
          <w:p w14:paraId="616D3BA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en-U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noWrap w:val="0"/>
            <w:vAlign w:val="center"/>
          </w:tcPr>
          <w:p w14:paraId="03B08847">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noWrap w:val="0"/>
            <w:vAlign w:val="center"/>
          </w:tcPr>
          <w:p w14:paraId="747B28FC">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noWrap w:val="0"/>
            <w:vAlign w:val="center"/>
          </w:tcPr>
          <w:p w14:paraId="2AFC40CE">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noWrap w:val="0"/>
            <w:vAlign w:val="center"/>
          </w:tcPr>
          <w:p w14:paraId="2827C7B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368" w:type="pct"/>
            <w:tcBorders>
              <w:tl2br w:val="nil"/>
              <w:tr2bl w:val="nil"/>
            </w:tcBorders>
            <w:noWrap w:val="0"/>
            <w:vAlign w:val="center"/>
          </w:tcPr>
          <w:p w14:paraId="52A8D7C6">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7 (Low)</w:t>
            </w:r>
          </w:p>
        </w:tc>
      </w:tr>
      <w:tr w14:paraId="66CE1FC7">
        <w:trPr>
          <w:trHeight w:val="624" w:hRule="atLeast"/>
          <w:jc w:val="center"/>
        </w:trPr>
        <w:tc>
          <w:tcPr>
            <w:tcW w:w="468" w:type="pct"/>
            <w:tcBorders>
              <w:top w:val="nil"/>
              <w:tl2br w:val="nil"/>
              <w:tr2bl w:val="nil"/>
            </w:tcBorders>
            <w:shd w:val="clear" w:color="auto" w:fill="auto"/>
            <w:noWrap w:val="0"/>
            <w:vAlign w:val="center"/>
          </w:tcPr>
          <w:p w14:paraId="6C5E05D4">
            <w:pPr>
              <w:widowControl w:val="0"/>
              <w:spacing w:line="360" w:lineRule="auto"/>
              <w:jc w:val="center"/>
              <w:rPr>
                <w:rFonts w:hint="default" w:ascii="Times New Roman Regular" w:hAnsi="Times New Roman Regular" w:eastAsia="宋体" w:cs="Times New Roman Regular"/>
                <w:color w:val="0D0D0D" w:themeColor="text1" w:themeTint="F2"/>
                <w:sz w:val="16"/>
                <w:szCs w:val="16"/>
                <w:shd w:val="clear" w:color="auto" w:fill="FFFFFF"/>
                <w:lang w:val="en-US" w:eastAsia="zh-CN" w:bidi="ar"/>
                <w14:textFill>
                  <w14:solidFill>
                    <w14:schemeClr w14:val="tx1">
                      <w14:lumMod w14:val="95000"/>
                      <w14:lumOff w14:val="5000"/>
                    </w14:schemeClr>
                  </w14:solidFill>
                </w14:textFill>
              </w:rPr>
            </w:pP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Wang </w:t>
            </w:r>
            <w:r>
              <w:rPr>
                <w:rFonts w:hint="default" w:ascii="Times New Roman Italic" w:hAnsi="Times New Roman Italic" w:eastAsia="宋体" w:cs="Times New Roman Italic"/>
                <w:b w:val="0"/>
                <w:bCs/>
                <w:i/>
                <w:iCs/>
                <w:color w:val="0D0D0D" w:themeColor="text1" w:themeTint="F2"/>
                <w:kern w:val="0"/>
                <w:sz w:val="16"/>
                <w:szCs w:val="16"/>
                <w:lang w:val="en-US" w:eastAsia="zh-CN" w:bidi="ar"/>
                <w14:textFill>
                  <w14:solidFill>
                    <w14:schemeClr w14:val="tx1">
                      <w14:lumMod w14:val="95000"/>
                      <w14:lumOff w14:val="5000"/>
                    </w14:schemeClr>
                  </w14:solidFill>
                </w14:textFill>
              </w:rPr>
              <w:t>et al</w:t>
            </w:r>
            <w:r>
              <w:rPr>
                <w:rFonts w:hint="eastAsia"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 xml:space="preserve">, 2025 </w:t>
            </w:r>
            <w:r>
              <w:rPr>
                <w:rFonts w:hint="eastAsia" w:ascii="Times New Roman Regular" w:hAnsi="Times New Roman Regular" w:eastAsia="宋体" w:cs="Times New Roman Regular"/>
                <w:b w:val="0"/>
                <w:bCs/>
                <w:color w:val="0D0D0D" w:themeColor="text1" w:themeTint="F2"/>
                <w:kern w:val="0"/>
                <w:sz w:val="16"/>
                <w:szCs w:val="16"/>
                <w:vertAlign w:val="superscript"/>
                <w:lang w:val="en-US" w:eastAsia="zh-CN" w:bidi="ar"/>
                <w14:textFill>
                  <w14:solidFill>
                    <w14:schemeClr w14:val="tx1">
                      <w14:lumMod w14:val="95000"/>
                      <w14:lumOff w14:val="5000"/>
                    </w14:schemeClr>
                  </w14:solidFill>
                </w14:textFill>
              </w:rPr>
              <w:t>[9]</w:t>
            </w:r>
          </w:p>
        </w:tc>
        <w:tc>
          <w:tcPr>
            <w:tcW w:w="709" w:type="pct"/>
            <w:tcBorders>
              <w:tl2br w:val="nil"/>
              <w:tr2bl w:val="nil"/>
            </w:tcBorders>
            <w:shd w:val="clear" w:color="auto" w:fill="auto"/>
            <w:noWrap w:val="0"/>
            <w:vAlign w:val="center"/>
          </w:tcPr>
          <w:p w14:paraId="34DB957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97" w:type="pct"/>
            <w:tcBorders>
              <w:tl2br w:val="nil"/>
              <w:tr2bl w:val="nil"/>
            </w:tcBorders>
            <w:shd w:val="clear" w:color="auto" w:fill="auto"/>
            <w:noWrap w:val="0"/>
            <w:vAlign w:val="center"/>
          </w:tcPr>
          <w:p w14:paraId="290224FD">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68" w:type="pct"/>
            <w:tcBorders>
              <w:tl2br w:val="nil"/>
              <w:tr2bl w:val="nil"/>
            </w:tcBorders>
            <w:shd w:val="clear" w:color="auto" w:fill="auto"/>
            <w:noWrap w:val="0"/>
            <w:vAlign w:val="center"/>
          </w:tcPr>
          <w:p w14:paraId="7EDE5DB1">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7" w:type="pct"/>
            <w:tcBorders>
              <w:tl2br w:val="nil"/>
              <w:tr2bl w:val="nil"/>
            </w:tcBorders>
            <w:shd w:val="clear" w:color="auto" w:fill="auto"/>
            <w:noWrap w:val="0"/>
            <w:vAlign w:val="center"/>
          </w:tcPr>
          <w:p w14:paraId="41A0E650">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541" w:type="pct"/>
            <w:tcBorders>
              <w:tl2br w:val="nil"/>
              <w:tr2bl w:val="nil"/>
            </w:tcBorders>
            <w:shd w:val="clear" w:color="auto" w:fill="auto"/>
            <w:noWrap w:val="0"/>
            <w:vAlign w:val="center"/>
          </w:tcPr>
          <w:p w14:paraId="33B84F4A">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2</w:t>
            </w:r>
          </w:p>
        </w:tc>
        <w:tc>
          <w:tcPr>
            <w:tcW w:w="461" w:type="pct"/>
            <w:tcBorders>
              <w:tl2br w:val="nil"/>
              <w:tr2bl w:val="nil"/>
            </w:tcBorders>
            <w:shd w:val="clear" w:color="auto" w:fill="auto"/>
            <w:noWrap w:val="0"/>
            <w:vAlign w:val="center"/>
          </w:tcPr>
          <w:p w14:paraId="60B90FD8">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418" w:type="pct"/>
            <w:tcBorders>
              <w:tl2br w:val="nil"/>
              <w:tr2bl w:val="nil"/>
            </w:tcBorders>
            <w:shd w:val="clear" w:color="auto" w:fill="auto"/>
            <w:noWrap w:val="0"/>
            <w:vAlign w:val="center"/>
          </w:tcPr>
          <w:p w14:paraId="52F038F2">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0</w:t>
            </w:r>
          </w:p>
        </w:tc>
        <w:tc>
          <w:tcPr>
            <w:tcW w:w="418" w:type="pct"/>
            <w:tcBorders>
              <w:tl2br w:val="nil"/>
              <w:tr2bl w:val="nil"/>
            </w:tcBorders>
            <w:shd w:val="clear" w:color="auto" w:fill="auto"/>
            <w:noWrap w:val="0"/>
            <w:vAlign w:val="center"/>
          </w:tcPr>
          <w:p w14:paraId="0215EAB4">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1</w:t>
            </w:r>
          </w:p>
        </w:tc>
        <w:tc>
          <w:tcPr>
            <w:tcW w:w="368" w:type="pct"/>
            <w:tcBorders>
              <w:tl2br w:val="nil"/>
              <w:tr2bl w:val="nil"/>
            </w:tcBorders>
            <w:shd w:val="clear" w:color="auto" w:fill="auto"/>
            <w:noWrap w:val="0"/>
            <w:vAlign w:val="center"/>
          </w:tcPr>
          <w:p w14:paraId="183886DB">
            <w:pPr>
              <w:keepNext w:val="0"/>
              <w:keepLines w:val="0"/>
              <w:pageBreakBefore w:val="0"/>
              <w:widowControl/>
              <w:suppressLineNumbers w:val="0"/>
              <w:kinsoku/>
              <w:wordWrap/>
              <w:overflowPunct/>
              <w:topLinePunct w:val="0"/>
              <w:autoSpaceDE/>
              <w:autoSpaceDN/>
              <w:bidi w:val="0"/>
              <w:adjustRightInd/>
              <w:snapToGrid/>
              <w:spacing w:before="0" w:after="0" w:line="480" w:lineRule="auto"/>
              <w:ind w:firstLine="0" w:firstLineChars="0"/>
              <w:jc w:val="center"/>
              <w:textAlignment w:val="auto"/>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b w:val="0"/>
                <w:bCs/>
                <w:color w:val="0D0D0D" w:themeColor="text1" w:themeTint="F2"/>
                <w:kern w:val="0"/>
                <w:sz w:val="16"/>
                <w:szCs w:val="16"/>
                <w:lang w:val="en-US" w:eastAsia="zh-CN" w:bidi="ar"/>
                <w14:textFill>
                  <w14:solidFill>
                    <w14:schemeClr w14:val="tx1">
                      <w14:lumMod w14:val="95000"/>
                      <w14:lumOff w14:val="5000"/>
                    </w14:schemeClr>
                  </w14:solidFill>
                </w14:textFill>
              </w:rPr>
              <w:t>8 (Low)</w:t>
            </w:r>
          </w:p>
        </w:tc>
      </w:tr>
    </w:tbl>
    <w:p w14:paraId="6D7646FB">
      <w:pPr>
        <w:jc w:val="both"/>
        <w:rPr>
          <w:rFonts w:hint="default" w:ascii="Times New Roman Regular" w:hAnsi="Times New Roman Regular" w:cs="Times New Roman Regular"/>
          <w:color w:val="0D0D0D" w:themeColor="text1" w:themeTint="F2"/>
          <w:lang w:val="en-US" w:eastAsia="zh-CN"/>
          <w14:textFill>
            <w14:solidFill>
              <w14:schemeClr w14:val="tx1">
                <w14:lumMod w14:val="95000"/>
                <w14:lumOff w14:val="5000"/>
              </w14:schemeClr>
            </w14:solidFill>
          </w14:textFill>
        </w:rPr>
        <w:sectPr>
          <w:footerReference r:id="rId3" w:type="default"/>
          <w:pgSz w:w="11906" w:h="16838"/>
          <w:pgMar w:top="873" w:right="839" w:bottom="873" w:left="839" w:header="851" w:footer="992" w:gutter="0"/>
          <w:lnNumType w:countBy="0" w:restart="continuous"/>
          <w:cols w:space="425" w:num="1"/>
          <w:docGrid w:type="lines" w:linePitch="312" w:charSpace="0"/>
        </w:sectPr>
      </w:pPr>
      <w:r>
        <w:rPr>
          <w:rFonts w:hint="default" w:ascii="Times New Roman Regular" w:hAnsi="Times New Roman Regular" w:cs="Times New Roman Regular"/>
          <w:color w:val="0D0D0D" w:themeColor="text1" w:themeTint="F2"/>
          <w:lang w:val="en-US" w:eastAsia="zh-CN"/>
          <w14:textFill>
            <w14:solidFill>
              <w14:schemeClr w14:val="tx1">
                <w14:lumMod w14:val="95000"/>
                <w14:lumOff w14:val="5000"/>
              </w14:schemeClr>
            </w14:solidFill>
          </w14:textFill>
        </w:rPr>
        <w:t>According to the summary score, the Overall risk of bias of this studies were divided into Low (7–9); M</w:t>
      </w:r>
      <w:r>
        <w:rPr>
          <w:rFonts w:hint="eastAsia" w:ascii="Times New Roman Regular" w:hAnsi="Times New Roman Regular" w:cs="Times New Roman Regular"/>
          <w:color w:val="0D0D0D" w:themeColor="text1" w:themeTint="F2"/>
          <w:lang w:val="en-US" w:eastAsia="zh-CN"/>
          <w14:textFill>
            <w14:solidFill>
              <w14:schemeClr w14:val="tx1">
                <w14:lumMod w14:val="95000"/>
                <w14:lumOff w14:val="5000"/>
              </w14:schemeClr>
            </w14:solidFill>
          </w14:textFill>
        </w:rPr>
        <w:t>oderate</w:t>
      </w:r>
      <w:r>
        <w:rPr>
          <w:rFonts w:hint="default" w:ascii="Times New Roman Regular" w:hAnsi="Times New Roman Regular" w:cs="Times New Roman Regular"/>
          <w:color w:val="0D0D0D" w:themeColor="text1" w:themeTint="F2"/>
          <w:lang w:val="en-US" w:eastAsia="zh-CN"/>
          <w14:textFill>
            <w14:solidFill>
              <w14:schemeClr w14:val="tx1">
                <w14:lumMod w14:val="95000"/>
                <w14:lumOff w14:val="5000"/>
              </w14:schemeClr>
            </w14:solidFill>
          </w14:textFill>
        </w:rPr>
        <w:t xml:space="preserve"> (4–6); High (0–3)</w:t>
      </w:r>
      <w:r>
        <w:rPr>
          <w:rFonts w:hint="eastAsia" w:ascii="Times New Roman Regular" w:hAnsi="Times New Roman Regular" w:eastAsia="宋体" w:cs="Times New Roman Regular"/>
          <w:color w:val="0D0D0D" w:themeColor="text1" w:themeTint="F2"/>
          <w:kern w:val="0"/>
          <w:sz w:val="18"/>
          <w:szCs w:val="18"/>
          <w:lang w:val="en-US" w:eastAsia="zh-CN" w:bidi="ar"/>
          <w14:textFill>
            <w14:solidFill>
              <w14:schemeClr w14:val="tx1">
                <w14:lumMod w14:val="95000"/>
                <w14:lumOff w14:val="5000"/>
              </w14:schemeClr>
            </w14:solidFill>
          </w14:textFill>
        </w:rPr>
        <w:t>.</w:t>
      </w:r>
    </w:p>
    <w:p w14:paraId="7D44303F">
      <w:pPr>
        <w:numPr>
          <w:ilvl w:val="0"/>
          <w:numId w:val="0"/>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CN"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CN" w:bidi="ar"/>
          <w14:textFill>
            <w14:solidFill>
              <w14:schemeClr w14:val="tx1">
                <w14:lumMod w14:val="95000"/>
                <w14:lumOff w14:val="5000"/>
              </w14:schemeClr>
            </w14:solidFill>
          </w14:textFill>
        </w:rPr>
        <w:t>References:</w:t>
      </w:r>
    </w:p>
    <w:p w14:paraId="4487D924">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Cao M, Hu M, Gong C. Study on brain function changes in patients with cerebral small vessel disease using the amplitude of low-frequency fluctuation technique. J Qiqihar Med Coll. 2018;39(16):1877-1879. doi: 10.3969/j.issn.1002-1256.2018.16.008.</w:t>
      </w:r>
    </w:p>
    <w:p w14:paraId="4E4A6A03">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Feng MM, Wen HW, Xin HT, Zhang N, Liang CH, Guo LF. Altered spontaneous brain activity related to neurologic dysfunction in patients with cerebral small vessel disease. Front Aging Neurosci. 2021;13:731585. doi: 10.3389/fnagi.2021.731585.</w:t>
      </w:r>
    </w:p>
    <w:p w14:paraId="0D53E9B8">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Wang SS, Chen BL, Yu HL, Zhang HY, Ye J. Resting-state functional magnetic resonance imaging study of cognitive impairment in patients with cerebral small vessel disease. J Med Imaging. 2021;31(2):183-186,193.</w:t>
      </w:r>
    </w:p>
    <w:p w14:paraId="4F563987">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Chen SN, Huang RW, Zhang MX, Huang XH, Ling SQ, Liu SX, et al. Altered brain spontaneous activity in patients with cerebral small vessel disease using the amplitude of low-frequency fluctuation of different frequency bands. Front Neurosci. 2023;17:1282496. doi: 10.3389/fnins.2023.1282496.</w:t>
      </w:r>
    </w:p>
    <w:p w14:paraId="364D23CC">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Song J, Lei T, Li Y, Zhou L, Yan W, Li H, et al. Dynamic alterations in the amplitude of low-frequency fluctuation in patients with cerebral small vessel disease. Front Mol Neurosci. 2023;16:1200756. doi:10.3389/fnmol.2023.1200756.</w:t>
      </w:r>
    </w:p>
    <w:p w14:paraId="03AA62D1">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Zhang XL, Wang ZG, Zheng DR, Cao X, Qi WZ, Yuan QQ, et al. Aberrant spontaneous static and dynamic amplitude of low-frequency fluctuations in cerebral small vessel disease with or without mild cognitive impairment. Brain Behav.2023;13(12):e3279. doi:10.1002/brb3.3279.</w:t>
      </w:r>
    </w:p>
    <w:p w14:paraId="0DD133E0">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Ding J, Li L, Yang M, Yu M, Ding X. Abnormal spontaneous brain activity of white matter in patients with cerebral small vessel disease. Magn Reson Imaging. 2025;122:110458. doi:10.1016/j.mri.2025.110458.</w:t>
      </w:r>
    </w:p>
    <w:p w14:paraId="1BCAECBE">
      <w:pPr>
        <w:numPr>
          <w:ilvl w:val="0"/>
          <w:numId w:val="1"/>
        </w:numPr>
        <w:spacing w:line="360" w:lineRule="auto"/>
        <w:jc w:val="both"/>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Fan DQ, Wang TT, Zhao HC, Liu C, Liu CH, Liu T, et al. Association between white matter hyperintensity and cognitive impairment in cerebral small vessel disease: the frequency-dependent role of brain functional activity. J Integr Neurosci. 2025;24(4):36303. doi:10.31083/jin36303.</w:t>
      </w:r>
    </w:p>
    <w:p w14:paraId="61B9FDC5">
      <w:pPr>
        <w:numPr>
          <w:ilvl w:val="0"/>
          <w:numId w:val="1"/>
        </w:numPr>
        <w:spacing w:line="360" w:lineRule="auto"/>
        <w:jc w:val="both"/>
        <w:rPr>
          <w:rFonts w:hint="default" w:ascii="Times New Roman Regular" w:hAnsi="Times New Roman Regular" w:cs="Times New Roman Regular"/>
          <w:color w:val="0D0D0D" w:themeColor="text1" w:themeTint="F2"/>
          <w14:textFill>
            <w14:solidFill>
              <w14:schemeClr w14:val="tx1">
                <w14:lumMod w14:val="95000"/>
                <w14:lumOff w14:val="5000"/>
              </w14:schemeClr>
            </w14:solidFill>
          </w14:textFill>
        </w:rPr>
      </w:pPr>
      <w:r>
        <w:rPr>
          <w:rFonts w:hint="default" w:ascii="Times New Roman Regular" w:hAnsi="Times New Roman Regular" w:eastAsia="宋体" w:cs="Times New Roman Regular"/>
          <w:i w:val="0"/>
          <w:iCs w:val="0"/>
          <w:caps w:val="0"/>
          <w:color w:val="0D0D0D" w:themeColor="text1" w:themeTint="F2"/>
          <w:spacing w:val="0"/>
          <w:kern w:val="0"/>
          <w:sz w:val="24"/>
          <w:szCs w:val="24"/>
          <w:u w:val="none"/>
          <w:lang w:val="en-US" w:eastAsia="zh-Hans" w:bidi="ar"/>
          <w14:textFill>
            <w14:solidFill>
              <w14:schemeClr w14:val="tx1">
                <w14:lumMod w14:val="95000"/>
                <w14:lumOff w14:val="5000"/>
              </w14:schemeClr>
            </w14:solidFill>
          </w14:textFill>
        </w:rPr>
        <w:t>Wang WW, Huang J, Cheng RT, Liu XS, Luo TY. Differences in regional homogeneity of brain function in patients with cerebral small vessel disease with and without cognitive impairment. Magn Reson Imaging (China). 2025;16(6):48-54. doi:10.12015/issn.1674-8034.2025.06.007.</w:t>
      </w:r>
    </w:p>
    <w:sectPr>
      <w:footerReference r:id="rId4" w:type="default"/>
      <w:pgSz w:w="11906" w:h="16838"/>
      <w:pgMar w:top="1043" w:right="726" w:bottom="1043" w:left="726" w:header="851" w:footer="992" w:gutter="0"/>
      <w:lnNumType w:countBy="0"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NewRomanPS">
    <w:altName w:val="Times New Roman"/>
    <w:panose1 w:val="020B0604020202020204"/>
    <w:charset w:val="00"/>
    <w:family w:val="roman"/>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F61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670D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82F09">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682F09">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24C8"/>
    <w:multiLevelType w:val="singleLevel"/>
    <w:tmpl w:val="D58824C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96413"/>
    <w:rsid w:val="1241E065"/>
    <w:rsid w:val="14FFD99E"/>
    <w:rsid w:val="170D359A"/>
    <w:rsid w:val="1BD7D2F2"/>
    <w:rsid w:val="1EEF037D"/>
    <w:rsid w:val="1F7FD63C"/>
    <w:rsid w:val="20FB2D51"/>
    <w:rsid w:val="23D61A85"/>
    <w:rsid w:val="24DED17C"/>
    <w:rsid w:val="27DF5CA4"/>
    <w:rsid w:val="2B795845"/>
    <w:rsid w:val="2BFB729B"/>
    <w:rsid w:val="2FFB8335"/>
    <w:rsid w:val="33E94325"/>
    <w:rsid w:val="34BBDAA7"/>
    <w:rsid w:val="36795EAF"/>
    <w:rsid w:val="3D4CC82D"/>
    <w:rsid w:val="3EED4D74"/>
    <w:rsid w:val="3EFE361B"/>
    <w:rsid w:val="3EFF32A5"/>
    <w:rsid w:val="3F3A6E6A"/>
    <w:rsid w:val="3F7FC91B"/>
    <w:rsid w:val="3F87D9D9"/>
    <w:rsid w:val="3FD13DD3"/>
    <w:rsid w:val="3FF6151C"/>
    <w:rsid w:val="3FFE14DA"/>
    <w:rsid w:val="4AF7E16F"/>
    <w:rsid w:val="4AFF7CFB"/>
    <w:rsid w:val="4BFFD16D"/>
    <w:rsid w:val="4D5F9985"/>
    <w:rsid w:val="4DFBC222"/>
    <w:rsid w:val="517BDD2A"/>
    <w:rsid w:val="53FB2B8D"/>
    <w:rsid w:val="57B5AC4D"/>
    <w:rsid w:val="57BB7DD4"/>
    <w:rsid w:val="5B7FBEAF"/>
    <w:rsid w:val="5BFBA225"/>
    <w:rsid w:val="5CFF94B5"/>
    <w:rsid w:val="5DCEE97A"/>
    <w:rsid w:val="5DFD112B"/>
    <w:rsid w:val="5F3E48A9"/>
    <w:rsid w:val="5FFF55FF"/>
    <w:rsid w:val="5FFFD648"/>
    <w:rsid w:val="65DED6F4"/>
    <w:rsid w:val="676E6951"/>
    <w:rsid w:val="6B3E7764"/>
    <w:rsid w:val="6BF68B38"/>
    <w:rsid w:val="6D9F70A9"/>
    <w:rsid w:val="6F5F6827"/>
    <w:rsid w:val="6F696413"/>
    <w:rsid w:val="6F790AE0"/>
    <w:rsid w:val="6FEB7F58"/>
    <w:rsid w:val="6FFFA1B8"/>
    <w:rsid w:val="6FFFEE6D"/>
    <w:rsid w:val="73FB0BDD"/>
    <w:rsid w:val="747F6234"/>
    <w:rsid w:val="76532178"/>
    <w:rsid w:val="76DB6687"/>
    <w:rsid w:val="76FE70CA"/>
    <w:rsid w:val="76FFB6C1"/>
    <w:rsid w:val="777BAE59"/>
    <w:rsid w:val="77D738A7"/>
    <w:rsid w:val="77EBF0DD"/>
    <w:rsid w:val="79F78592"/>
    <w:rsid w:val="7A7FD165"/>
    <w:rsid w:val="7BDF37D6"/>
    <w:rsid w:val="7BFD7497"/>
    <w:rsid w:val="7D6AB618"/>
    <w:rsid w:val="7D972809"/>
    <w:rsid w:val="7D9E4B57"/>
    <w:rsid w:val="7DFF1FA4"/>
    <w:rsid w:val="7E9BE98A"/>
    <w:rsid w:val="7EBFAF17"/>
    <w:rsid w:val="7EFF72D5"/>
    <w:rsid w:val="7F3F0787"/>
    <w:rsid w:val="7F47B3F0"/>
    <w:rsid w:val="7F6D7B46"/>
    <w:rsid w:val="7F732038"/>
    <w:rsid w:val="7F7D80E5"/>
    <w:rsid w:val="7FBFE9AC"/>
    <w:rsid w:val="7FD79C25"/>
    <w:rsid w:val="7FF5905B"/>
    <w:rsid w:val="7FF6DA1A"/>
    <w:rsid w:val="7FFF5BC6"/>
    <w:rsid w:val="7FFF8260"/>
    <w:rsid w:val="937A9D5E"/>
    <w:rsid w:val="97EBC6AD"/>
    <w:rsid w:val="9AFF67D8"/>
    <w:rsid w:val="AACDBFEA"/>
    <w:rsid w:val="ABE7A217"/>
    <w:rsid w:val="AEFFAD39"/>
    <w:rsid w:val="B23CD613"/>
    <w:rsid w:val="B3FFA9EF"/>
    <w:rsid w:val="B4ED6C95"/>
    <w:rsid w:val="B63A1454"/>
    <w:rsid w:val="B6BE3D4D"/>
    <w:rsid w:val="B7AEFBB3"/>
    <w:rsid w:val="B7FF3920"/>
    <w:rsid w:val="B7FFBEE5"/>
    <w:rsid w:val="B82FB3F1"/>
    <w:rsid w:val="B893163B"/>
    <w:rsid w:val="B94B48A2"/>
    <w:rsid w:val="BB3F9312"/>
    <w:rsid w:val="BD4BE7F5"/>
    <w:rsid w:val="BDF9DDBD"/>
    <w:rsid w:val="BF6E38A0"/>
    <w:rsid w:val="BF6EA7D5"/>
    <w:rsid w:val="BFF7EF25"/>
    <w:rsid w:val="BFFA0970"/>
    <w:rsid w:val="BFFD1153"/>
    <w:rsid w:val="C77FF448"/>
    <w:rsid w:val="C7BD4293"/>
    <w:rsid w:val="C7FC6F82"/>
    <w:rsid w:val="CEEF1A0F"/>
    <w:rsid w:val="D2AF073A"/>
    <w:rsid w:val="D98521DA"/>
    <w:rsid w:val="DB9AF5F1"/>
    <w:rsid w:val="DBCF02B4"/>
    <w:rsid w:val="DBFBB61E"/>
    <w:rsid w:val="DDEEE12B"/>
    <w:rsid w:val="DDF73D94"/>
    <w:rsid w:val="DF75440C"/>
    <w:rsid w:val="DF77960F"/>
    <w:rsid w:val="DF9970A5"/>
    <w:rsid w:val="DFDE7A20"/>
    <w:rsid w:val="DFFB213A"/>
    <w:rsid w:val="DFFDC84B"/>
    <w:rsid w:val="E777609D"/>
    <w:rsid w:val="E77D9231"/>
    <w:rsid w:val="E7BFEC88"/>
    <w:rsid w:val="E7C7343D"/>
    <w:rsid w:val="E7F2B4B5"/>
    <w:rsid w:val="E9C9D3CB"/>
    <w:rsid w:val="EBBD9D8C"/>
    <w:rsid w:val="EEEE050E"/>
    <w:rsid w:val="EF7B404A"/>
    <w:rsid w:val="EFD16017"/>
    <w:rsid w:val="F3FD2FFA"/>
    <w:rsid w:val="F57FA29F"/>
    <w:rsid w:val="F6FD692F"/>
    <w:rsid w:val="F7BD6E81"/>
    <w:rsid w:val="F7DA94DE"/>
    <w:rsid w:val="F7DCEA08"/>
    <w:rsid w:val="F7F7E2C7"/>
    <w:rsid w:val="F7FBAC2C"/>
    <w:rsid w:val="F7FF8362"/>
    <w:rsid w:val="F92888F1"/>
    <w:rsid w:val="F9AE3EC7"/>
    <w:rsid w:val="F9FF50A1"/>
    <w:rsid w:val="FAC61948"/>
    <w:rsid w:val="FAEB3073"/>
    <w:rsid w:val="FAFF7A43"/>
    <w:rsid w:val="FBEB0AE6"/>
    <w:rsid w:val="FBED2476"/>
    <w:rsid w:val="FBF7A1F0"/>
    <w:rsid w:val="FCB3AC09"/>
    <w:rsid w:val="FD7F59F9"/>
    <w:rsid w:val="FDBFFB0C"/>
    <w:rsid w:val="FDEDF5B7"/>
    <w:rsid w:val="FDEFE086"/>
    <w:rsid w:val="FDF18B56"/>
    <w:rsid w:val="FDFF056C"/>
    <w:rsid w:val="FDFF25B5"/>
    <w:rsid w:val="FDFF64F3"/>
    <w:rsid w:val="FDFFDA77"/>
    <w:rsid w:val="FE3BEF21"/>
    <w:rsid w:val="FE6F7EFF"/>
    <w:rsid w:val="FE77745E"/>
    <w:rsid w:val="FF393077"/>
    <w:rsid w:val="FF570C7C"/>
    <w:rsid w:val="FF888B85"/>
    <w:rsid w:val="FF9EAF12"/>
    <w:rsid w:val="FFAF1441"/>
    <w:rsid w:val="FFBD4437"/>
    <w:rsid w:val="FFDF1C31"/>
    <w:rsid w:val="FFEDE621"/>
    <w:rsid w:val="FFEF3103"/>
    <w:rsid w:val="FFF36643"/>
    <w:rsid w:val="FFF6BCF1"/>
    <w:rsid w:val="FFF76284"/>
    <w:rsid w:val="FFFB151E"/>
    <w:rsid w:val="FFFB7F45"/>
    <w:rsid w:val="FFFDB3CA"/>
    <w:rsid w:val="FFFF2FE5"/>
    <w:rsid w:val="FFFFF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kern w:val="44"/>
      <w:sz w:val="24"/>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uiPriority w:val="39"/>
    <w:pPr>
      <w:tabs>
        <w:tab w:val="right" w:pos="9350"/>
      </w:tabs>
      <w:spacing w:before="360"/>
    </w:pPr>
    <w:rPr>
      <w:rFonts w:ascii="Times New Roman" w:hAnsi="Times New Roman" w:cs="Times New Roman" w:eastAsiaTheme="minorAscii"/>
      <w:caps/>
      <w:color w:val="0D0D0D" w:themeColor="text1" w:themeTint="F2"/>
      <w:sz w:val="24"/>
      <w14:textFill>
        <w14:solidFill>
          <w14:schemeClr w14:val="tx1">
            <w14:lumMod w14:val="95000"/>
            <w14:lumOff w14:val="5000"/>
          </w14:schemeClr>
        </w14:solidFill>
      </w14:textFill>
    </w:rPr>
  </w:style>
  <w:style w:type="table" w:styleId="7">
    <w:name w:val="Table Grid"/>
    <w:basedOn w:val="6"/>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2025-11-18T17:43:00Z</dcterms:created>
  <dc:creator>Yanping Shu</dc:creator>
  <cp:lastModifiedBy>Yanguo Zhu</cp:lastModifiedBy>
  <dcterms:modified xsi:type="dcterms:W3CDTF">2026-04-05T08:58:07Z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D7818CD69753C55F5A4B1869BC286F33_41</vt:lpwstr>
  </property>
</Properties>
</file>