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C9C27">
      <w:pPr>
        <w:keepNext w:val="0"/>
        <w:keepLines w:val="0"/>
        <w:widowControl/>
        <w:suppressLineNumbers w:val="0"/>
        <w:jc w:val="center"/>
      </w:pPr>
      <w:bookmarkStart w:id="1" w:name="_GoBack"/>
      <w:bookmarkEnd w:id="1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Additional file </w:t>
      </w:r>
    </w:p>
    <w:p w14:paraId="7F40C82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 study on the correlation between cardiac magnetic resonance characteristics and myocardial fibrosis in overweight and obese individuals</w:t>
      </w:r>
    </w:p>
    <w:p w14:paraId="68ABAA45">
      <w:pPr>
        <w:suppressLineNumbers/>
        <w:spacing w:line="480" w:lineRule="auto"/>
        <w:ind w:firstLine="0" w:firstLineChars="0"/>
        <w:rPr>
          <w:rFonts w:hint="default" w:ascii="Times New Roman" w:hAnsi="Times New Roman" w:cs="Times New Roman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Lulu Liu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, Yuheng Yao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, Hongqing Yu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, Jian Zhai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1, *</w:t>
      </w:r>
    </w:p>
    <w:p w14:paraId="1CAFF827">
      <w:pPr>
        <w:suppressLineNumbers/>
        <w:spacing w:line="480" w:lineRule="auto"/>
        <w:ind w:firstLine="0" w:firstLineChars="0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Imaging Center, The First Affiliated Hospital of Wannan Medical College, Wuhu 241001, China</w:t>
      </w:r>
    </w:p>
    <w:p w14:paraId="25CFB6E7">
      <w:pPr>
        <w:suppressLineNumbers/>
        <w:spacing w:line="480" w:lineRule="auto"/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*Corresponding author：</w:t>
      </w:r>
    </w:p>
    <w:p w14:paraId="2CA88161">
      <w:pPr>
        <w:suppressLineNumbers/>
        <w:spacing w:line="480" w:lineRule="auto"/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Jian Zhai  </w:t>
      </w:r>
    </w:p>
    <w:p w14:paraId="57782853">
      <w:pPr>
        <w:numPr>
          <w:ilvl w:val="0"/>
          <w:numId w:val="0"/>
        </w:numPr>
        <w:suppressLineNumbers/>
        <w:spacing w:line="480" w:lineRule="auto"/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 w:bidi="ar-SA"/>
        </w:rPr>
        <w:t>E-</w:t>
      </w:r>
      <w:r>
        <w:rPr>
          <w:rFonts w:hint="default" w:ascii="Times New Roman" w:hAnsi="Times New Roman" w:cs="Times New Roman"/>
          <w:sz w:val="24"/>
          <w:szCs w:val="24"/>
        </w:rPr>
        <w:t>mail: yjszhaij@126.com</w:t>
      </w:r>
    </w:p>
    <w:p w14:paraId="231A624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page"/>
      </w:r>
    </w:p>
    <w:p w14:paraId="06816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 S1 </w:t>
      </w: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  <w:t>Comparison of myocardial strain parameters between LGE-positive and LGE-negative subgroups within BMI groups</w:t>
      </w:r>
    </w:p>
    <w:p w14:paraId="4638F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 S2 </w:t>
      </w: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  <w:t>Logistic regression analysis</w:t>
      </w:r>
    </w:p>
    <w:p w14:paraId="0359C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default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S3 </w:t>
      </w: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  <w:t>Analysis of Multicollinearity</w:t>
      </w:r>
      <w:bookmarkStart w:id="0" w:name="OLE_LINK1"/>
    </w:p>
    <w:bookmarkEnd w:id="0"/>
    <w:p w14:paraId="70E60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S4 </w:t>
      </w: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  <w:t>ROC curve parameters</w:t>
      </w:r>
    </w:p>
    <w:p w14:paraId="452A1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>S5</w:t>
      </w:r>
      <w:r>
        <w:rPr>
          <w:rFonts w:hint="eastAsia" w:ascii="Times New Roman" w:hAnsi="Times New Roman"/>
          <w:b w:val="0"/>
          <w:bCs w:val="0"/>
          <w:color w:val="auto"/>
          <w:sz w:val="21"/>
          <w:szCs w:val="21"/>
          <w:lang w:val="en-US" w:eastAsia="zh-CN"/>
        </w:rPr>
        <w:t xml:space="preserve"> Intra- and Interobserver reproducibility for CMR parameters</w:t>
      </w:r>
    </w:p>
    <w:p w14:paraId="2CAF1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 xml:space="preserve">Figure </w:t>
      </w:r>
      <w:r>
        <w:rPr>
          <w:rFonts w:ascii="Times New Roman" w:hAnsi="Times New Roman"/>
          <w:b w:val="0"/>
          <w:bCs w:val="0"/>
          <w:color w:val="0000FF"/>
          <w:sz w:val="21"/>
          <w:szCs w:val="21"/>
        </w:rPr>
        <w:t>S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Correlation Heatmap of BMI, EATV, and Myocardial Strain Parameters Logistic regression analysis</w:t>
      </w:r>
    </w:p>
    <w:p w14:paraId="65FE5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/>
          <w:b/>
          <w:bCs/>
          <w:color w:val="0000FF"/>
          <w:sz w:val="20"/>
          <w:szCs w:val="20"/>
          <w:lang w:val="en-US" w:eastAsia="zh-CN"/>
        </w:rPr>
        <w:t>Table</w:t>
      </w: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 xml:space="preserve"> S1 </w:t>
      </w:r>
      <w:r>
        <w:rPr>
          <w:rFonts w:hint="eastAsia" w:ascii="Times New Roman" w:hAnsi="Times New Roman"/>
          <w:b/>
          <w:bCs/>
          <w:color w:val="auto"/>
          <w:sz w:val="20"/>
          <w:szCs w:val="20"/>
          <w:lang w:val="en-US" w:eastAsia="zh-CN"/>
        </w:rPr>
        <w:t>Comparison of myocardial strain parameters between LGE-positive and LGE-negative subgroups within BMI groups</w:t>
      </w:r>
    </w:p>
    <w:p w14:paraId="0B790AC3">
      <w:pPr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821"/>
        <w:gridCol w:w="1873"/>
        <w:gridCol w:w="1821"/>
        <w:gridCol w:w="1873"/>
        <w:gridCol w:w="1934"/>
        <w:gridCol w:w="711"/>
        <w:gridCol w:w="801"/>
      </w:tblGrid>
      <w:tr w14:paraId="231F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7FBE7E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5FB651F">
            <w:pPr>
              <w:widowControl w:val="0"/>
              <w:ind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Control group</w:t>
            </w:r>
          </w:p>
          <w:p w14:paraId="786353E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(n = 77)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597294D">
            <w:pPr>
              <w:widowControl w:val="0"/>
              <w:ind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Overweight group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(n = 37)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3183B06">
            <w:pPr>
              <w:widowControl w:val="0"/>
              <w:ind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obese group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(n = 78)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39D3D0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F/H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23B2C4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iCs/>
                <w:kern w:val="2"/>
                <w:sz w:val="18"/>
                <w:szCs w:val="18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-value</w:t>
            </w:r>
          </w:p>
        </w:tc>
      </w:tr>
      <w:tr w14:paraId="50E28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AD8A49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43006C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181082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LGE（-）</w:t>
            </w:r>
          </w:p>
          <w:p w14:paraId="3E220C9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(n = 25)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B4AE47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LGE（+）</w:t>
            </w:r>
          </w:p>
          <w:p w14:paraId="432A6AC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(n = 12)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D4E9F0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LGE（-）</w:t>
            </w:r>
          </w:p>
          <w:p w14:paraId="5C375709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(n = 45)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212D46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LGE（+）</w:t>
            </w:r>
          </w:p>
          <w:p w14:paraId="376B4EF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(n = 33)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AC1CBA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7AF732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</w:p>
        </w:tc>
      </w:tr>
      <w:tr w14:paraId="6414E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7491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ε s（%）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AF5F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40.05±16.32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A773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36.73±11.90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D6B0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33.92±13.32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0B04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37.03±17.03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79CF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23.12±17.92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E5FC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6.400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DA5F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542C9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4AF2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ε e（%）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098D9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23.82±10.78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4BEA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20.72±8.98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4112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19.44±8.21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3976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22.75±10.98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4432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12.39±9.15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0145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A29A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2DF5C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7129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ε a（%）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1AB8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15.20 (10.28,21.12)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F725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15.00 (12.40,19.70)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1D12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13.15 (12.32,18.25)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116A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13.55 (9.23,16.55)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E4CC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7.50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 xml:space="preserve">abd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(3.83,15.15)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40E7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16.045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AB59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0.003</w:t>
            </w:r>
          </w:p>
        </w:tc>
      </w:tr>
      <w:tr w14:paraId="349CF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9F82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SRs（s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1165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1.80 (1.50,2.32)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2768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1.70 (1.20,2.00)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9BCA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1.45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(1.20,1.65)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6776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1.60 (1.08,2.15)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FA17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1.15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(0.47,1.70)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2B74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22.650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E4FE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7318F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A40C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SRe（s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382D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-2.60 (-3.30,-1.90)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FFBB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-2.10 (-2.70,-1.80)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8E52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-1.75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(-2.30,-1.43)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D3B6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-2.25 (-2.85,-1.40)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BC30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-0.85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(-1.85,-0.57)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554E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37.561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81E8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3CD69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7C3E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SRa（s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4794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-1.35 (-1.90,-1.08)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D36E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-1.30 (-1.70,-1.00)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0899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-0.90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(-1.40,-0.60)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B7D3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-1.40 (-1.80,-0.88)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F572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-0.95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(-1.52,-0.40)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F91D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11.312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BC08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0.023</w:t>
            </w:r>
          </w:p>
        </w:tc>
      </w:tr>
      <w:tr w14:paraId="0926E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D36F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B-PRS(%)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31F6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61.39 (53.84,74.39)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9E6E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58.99 (49.91,69.96)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AFB7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57.42 (45.58,75.05)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DC0C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47.58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(35.30,74.76)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93CC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26.63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 xml:space="preserve">abcd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(9.82,53.51)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D77C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822A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682CB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3934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B-PCS(%)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9D5F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-18.09(-19.87,-16.52)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1A2C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-16.83 (-19.72,-15.00)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F3C9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-19.38 (-19.74,-14.50)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3A11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-17.56 (-19.45,-14.80)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84A3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-14.38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 xml:space="preserve">abcd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(-17.64,-7.35)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4362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19.235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DB6D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3C2EB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B6B6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B-PLS(%)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3C96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-12.61 (-15.30,-9.29)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2216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-9.27 (-13.24,-7.56)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7391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-6.09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(-8.89,-0.68)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6F43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-11.09 (-17.42,-6.83)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2A96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-7.13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(-11.59,-3.06)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AD28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26.472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C532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11820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959E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M-PRS(%)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69FB0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35.29 (25.83,41.68)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04A2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30.92 (23.11,36.68)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8C73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29.57 (23.53,38.19)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FE3D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26.37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(22.00,30.30)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4C54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17.00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(5.95,26.11)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0757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87B6F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1073C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D203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M-PCS(%)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928E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-20.36 (-22.30,-18.45)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41B9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-19.29 (-20.61,-16.92)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31D4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-18.91 (-21.61,-17.26)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6700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-17.41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(-19.37,-15.75)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48A7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-13.76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(-19.33,-4.96)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0F3D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7354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1DECA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528E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M-PLS(%)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FE7D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-15.61 (-17.54,-14.10)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CD6A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-12.25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(-16.08,-10.15)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29D9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-11.75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(-15.52,-9.30)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40E8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-12.55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(-15.79,-9.31)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D5F9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-7.76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(-13.21,-3.70)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970A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2E0F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6698E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BEE2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A-PRS(%)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B0B5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27.09 (21.90,34.54)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F71B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27.89 (21.25,45.49)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A09D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32.70 (29.01,37.80)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7615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20.93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(14.62,31.80)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DBB8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8.70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(6.25,19.61)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F954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43.878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F05A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4C713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D73B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A-PCS(%)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DAB9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-21.18 (-24.10,-19.65)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BC35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-20.04 (-23.02,-17.72)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1255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-20.81 (-22.65,-16.91)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23A7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-19.38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(-21.05,-17.27)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8F7F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-16.23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(-20.95,-6.18)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D7C5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21.452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73B77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6990E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72A0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A-PLS(%)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371C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-17.14 (-18.88,-15.55)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0E472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-16.01 (-17.41,-12.33)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8944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-15.46 (-17.09,-13.35)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D176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-14.20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 xml:space="preserve">a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(-17.02,-11.37)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67E8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-6.80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(-12.89,-3.61)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1449A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37.907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1CB4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29A8F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8FFF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G-PRS(%)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166B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39.08 (31.26,45.86)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FA57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36.91 (31.76,43.70)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CD99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40.64 (31.55,45.84)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3871E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29.80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(24.35,38.89)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32BB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17.69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(6.51,27.19)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FFC1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42.988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A6160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60E5F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57B6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G-PCS(%)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CC736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-19.91 (-22.03,-18.17)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32873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-18.38 (-20.44,-16.95)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3A8B4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-18.66 (-21.03,-17.24)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BF4EF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-17.95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(-19.52,-16.15)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02BE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-14.54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abc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(-19.12,-6.21)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0DD7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26.183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BE53C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 w14:paraId="75E6D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131660D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G-PLS(%)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F24FC3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-15.04 (-16.55,-13.81)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8EC3DEB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-12.93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(-14.63,-10.43)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A1030D8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-10.92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(-14.59,-9.50)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A2EAB75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-14.18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(-15.90,-9.72)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B746AF1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-7.50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</w:rPr>
              <w:t>abd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 (-9.99,-3.53)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376550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45.921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3665A9">
            <w:pPr>
              <w:widowControl w:val="0"/>
              <w:spacing w:line="48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</w:tbl>
    <w:p w14:paraId="33A0C437">
      <w:pPr>
        <w:widowControl w:val="0"/>
        <w:spacing w:line="480" w:lineRule="auto"/>
        <w:ind w:firstLine="0" w:firstLineChars="0"/>
        <w:jc w:val="both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εs: stored strain; εe: pipe strain; εa: pump strain; SRs: positive peak strain rate; Sre: early negative peak strain rate; Sra: late negative peak strain rate. B (Basal): basal segment; M (Mid): middle segment; A (Apical): apical segment; G (Global): overall. PRS, PCS, and PLS represent peak radial, circumferential, and longitudinal strain, respectively.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“a” indicates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&lt; 0.05 compared with the control group (adjusted by Dunn's test); “b” indicates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&lt; 0.05 compared with the overweight-LGE(-) group (adjusted by Dunn's test); ‘c’ indicates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&lt; 0.05 compared with the overweight-LGE(+) group (adjusted by Dunn's test); “d” indicates 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&lt; 0.05 compared with the obese-LGE(-) group (adjusted by Dunn's test).</w:t>
      </w:r>
    </w:p>
    <w:p w14:paraId="7BEE088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80DC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eastAsia" w:ascii="Times New Roman" w:hAnsi="Times New Roman"/>
          <w:b/>
          <w:bCs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/>
          <w:b/>
          <w:bCs/>
          <w:color w:val="0000FF"/>
          <w:sz w:val="20"/>
          <w:szCs w:val="20"/>
          <w:lang w:val="en-US" w:eastAsia="zh-CN"/>
        </w:rPr>
        <w:t>Table</w:t>
      </w: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 xml:space="preserve"> S2 </w:t>
      </w:r>
      <w:r>
        <w:rPr>
          <w:rFonts w:hint="eastAsia" w:ascii="Times New Roman" w:hAnsi="Times New Roman"/>
          <w:b/>
          <w:bCs/>
          <w:color w:val="auto"/>
          <w:sz w:val="20"/>
          <w:szCs w:val="20"/>
          <w:lang w:val="en-US" w:eastAsia="zh-CN"/>
        </w:rPr>
        <w:t>Logistic regression analysis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498"/>
        <w:gridCol w:w="405"/>
        <w:gridCol w:w="498"/>
        <w:gridCol w:w="686"/>
        <w:gridCol w:w="1807"/>
        <w:gridCol w:w="223"/>
        <w:gridCol w:w="498"/>
        <w:gridCol w:w="405"/>
        <w:gridCol w:w="498"/>
        <w:gridCol w:w="499"/>
        <w:gridCol w:w="1619"/>
      </w:tblGrid>
      <w:tr w14:paraId="73AC3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A3E49">
            <w:pPr>
              <w:widowControl w:val="0"/>
              <w:spacing w:line="240" w:lineRule="auto"/>
              <w:ind w:firstLine="42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2344" w:type="pct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7DA2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Single-factor analysis</w:t>
            </w:r>
          </w:p>
        </w:tc>
        <w:tc>
          <w:tcPr>
            <w:tcW w:w="13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538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2119" w:type="pct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9C43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Multi-factor analysis</w:t>
            </w:r>
          </w:p>
        </w:tc>
      </w:tr>
      <w:tr w14:paraId="55FC9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6295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177B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β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B40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S.E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BEA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Z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49BA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2"/>
                <w:sz w:val="18"/>
                <w:szCs w:val="18"/>
              </w:rPr>
              <w:t>P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E8D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OR (95%CI)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C2E5E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E2A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β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17202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S.E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8DF8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Z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7AE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i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2"/>
                <w:sz w:val="18"/>
                <w:szCs w:val="18"/>
              </w:rPr>
              <w:t>P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A87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OR (95%CI)</w:t>
            </w:r>
          </w:p>
        </w:tc>
      </w:tr>
      <w:tr w14:paraId="6CE1C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8B2A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M-PRS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AA8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-0.05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B0C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470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-3.37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2035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＜0.001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4445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0.95 (0.92—0.98)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3BD2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0E15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1F7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270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4605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61F49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 w14:paraId="79D41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85965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A-PRS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A12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-0.07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1474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55E24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-3.85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B97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＜0.001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44A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0.93 (0.90—0.97)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647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57510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-0.08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C14E3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C8E2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-2.59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7F0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0.010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D1B3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0.93 (0.87—0.98)</w:t>
            </w:r>
          </w:p>
        </w:tc>
      </w:tr>
      <w:tr w14:paraId="14664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81BB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B-PCS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942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A963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F21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3.12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9D2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0.002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AE66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1.12 (1.04—1.20)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5160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6CFA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E23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27D8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CFF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05AA8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 w14:paraId="08243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6616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A-PCS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7D83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92B04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09D9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2.02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217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0.043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33B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1.05 (1.01—1.10)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8539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1FB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B0D70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E905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5613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8CD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 w14:paraId="27DBF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D534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B-PLS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8CAB9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8A3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CB7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2.34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5032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0.019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8C6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1.05 (1.01—1.10)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0734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5E6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C68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D4F9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8B0E4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0.054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2C95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1.10 (1.00—1.21)</w:t>
            </w:r>
          </w:p>
        </w:tc>
      </w:tr>
      <w:tr w14:paraId="16F03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D98C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A-PLS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F37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E8D59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47D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2.31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9626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0.021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D20F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1.06 (1.01—1.12)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69C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D798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88E7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498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FCB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021C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 w14:paraId="48520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385AD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ε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4BE0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-0.06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3EB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B5AE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-2.10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C06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0.035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D0FC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0.94 (0.89—0.99)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CDC0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03C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E99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D447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0F88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8089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</w:tr>
      <w:tr w14:paraId="49D33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1BB9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EATV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E125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B3A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78C8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5.37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D50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＜0.001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2D8A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1.03 (1.02—1.04)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AA14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107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6AB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3F350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3.20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9F8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0.001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8F9F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1.03 (1.01—1.04)</w:t>
            </w:r>
          </w:p>
        </w:tc>
      </w:tr>
      <w:tr w14:paraId="265C2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73DA9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BMI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D376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0.31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F85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0.06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8E0B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5.04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5426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＜0.001</w:t>
            </w:r>
          </w:p>
        </w:tc>
        <w:tc>
          <w:tcPr>
            <w:tcW w:w="10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B3EE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1.36 (1.21—1.54)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87AF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69A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0.20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CABD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0.07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B061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2.88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BEAB3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0.004</w:t>
            </w:r>
          </w:p>
        </w:tc>
        <w:tc>
          <w:tcPr>
            <w:tcW w:w="9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BAA8">
            <w:pPr>
              <w:widowControl w:val="0"/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1.22 (1.07—1.40)</w:t>
            </w:r>
          </w:p>
        </w:tc>
      </w:tr>
    </w:tbl>
    <w:p w14:paraId="240C7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εs: stored strain; εe: pipe strain; εa: pump strain; SRs: positive peak strain rate; Sre: early negative peak strain rate; Sra: late negative peak strain rate. B (Basal): basal segment; M (Mid): middle segment; A (Apical): apical segment. PRS, PCS, and PLS represent peak radial, circumferential, and longitudinal strain, respectively. EATV: epicardial adipose tissue volume; BMI: body mass index.</w:t>
      </w:r>
    </w:p>
    <w:p w14:paraId="03C6F0F0">
      <w:pP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br w:type="page"/>
      </w:r>
    </w:p>
    <w:p w14:paraId="7DBD9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</w:pPr>
    </w:p>
    <w:p w14:paraId="5E1FC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</w:pPr>
    </w:p>
    <w:p w14:paraId="1C90E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FF"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/>
          <w:b/>
          <w:bCs/>
          <w:color w:val="0000FF"/>
          <w:sz w:val="21"/>
          <w:szCs w:val="21"/>
          <w:lang w:val="en-US" w:eastAsia="zh-CN"/>
        </w:rPr>
        <w:t xml:space="preserve">3 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Analysis of 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ulticollinearity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357"/>
        <w:gridCol w:w="1893"/>
        <w:gridCol w:w="1893"/>
      </w:tblGrid>
      <w:tr w14:paraId="1E0C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24FA95E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38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52131A0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5797CA0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VIF</w:t>
            </w:r>
          </w:p>
        </w:tc>
        <w:tc>
          <w:tcPr>
            <w:tcW w:w="11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0AED421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14:paraId="1B66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74F6615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A-PRS</w:t>
            </w:r>
          </w:p>
        </w:tc>
        <w:tc>
          <w:tcPr>
            <w:tcW w:w="138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C0C1363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11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6509C0D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1.067</w:t>
            </w:r>
          </w:p>
        </w:tc>
        <w:tc>
          <w:tcPr>
            <w:tcW w:w="11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D7F6587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0.017</w:t>
            </w:r>
          </w:p>
        </w:tc>
      </w:tr>
      <w:tr w14:paraId="4374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F75B5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B-PLS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382E9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1FC8A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1.056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1F015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0.028</w:t>
            </w:r>
          </w:p>
        </w:tc>
      </w:tr>
      <w:tr w14:paraId="319A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BEEC0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EATV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31657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CD23C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1.742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A1E56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0.003</w:t>
            </w:r>
          </w:p>
        </w:tc>
      </w:tr>
      <w:tr w14:paraId="2E646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90119D1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BMI</w:t>
            </w:r>
          </w:p>
        </w:tc>
        <w:tc>
          <w:tcPr>
            <w:tcW w:w="13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A48329A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ECA2952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1.723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9FED6E">
            <w:pPr>
              <w:widowControl w:val="0"/>
              <w:spacing w:after="0" w:line="480" w:lineRule="auto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0.002</w:t>
            </w:r>
          </w:p>
        </w:tc>
      </w:tr>
    </w:tbl>
    <w:p w14:paraId="3876D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/>
          <w:b/>
          <w:bCs w:val="0"/>
          <w:color w:val="auto"/>
          <w:sz w:val="21"/>
          <w:szCs w:val="21"/>
        </w:rPr>
      </w:pPr>
      <w:r>
        <w:rPr>
          <w:rFonts w:ascii="Times New Roman" w:hAnsi="Times New Roman"/>
          <w:b/>
          <w:bCs/>
          <w:color w:val="0000FF"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>S4</w:t>
      </w:r>
      <w:r>
        <w:rPr>
          <w:rFonts w:hint="eastAsia" w:ascii="Times New Roman" w:hAnsi="Times New Roman"/>
          <w:b/>
          <w:bCs/>
          <w:color w:val="0000FF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lang w:val="en-US" w:eastAsia="zh-CN"/>
        </w:rPr>
        <w:t>ROC curve parameters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621"/>
        <w:gridCol w:w="1630"/>
        <w:gridCol w:w="1631"/>
        <w:gridCol w:w="1875"/>
        <w:gridCol w:w="1876"/>
      </w:tblGrid>
      <w:tr w14:paraId="6A05F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F5D2970">
            <w:pPr>
              <w:spacing w:line="240" w:lineRule="auto"/>
              <w:ind w:firstLine="0" w:firstLineChars="0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</w:rPr>
              <w:t>Variables</w:t>
            </w:r>
          </w:p>
        </w:tc>
        <w:tc>
          <w:tcPr>
            <w:tcW w:w="36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F81B6B5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AUC</w:t>
            </w:r>
          </w:p>
        </w:tc>
        <w:tc>
          <w:tcPr>
            <w:tcW w:w="95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6650AF7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95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6CE434C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Specificity</w:t>
            </w:r>
          </w:p>
        </w:tc>
        <w:tc>
          <w:tcPr>
            <w:tcW w:w="110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528CEF9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Yorden Index</w:t>
            </w:r>
          </w:p>
        </w:tc>
        <w:tc>
          <w:tcPr>
            <w:tcW w:w="110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95DD47D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  <w:t>Optimal threshold</w:t>
            </w:r>
          </w:p>
        </w:tc>
      </w:tr>
      <w:tr w14:paraId="33A26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8A57C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BMI</w:t>
            </w:r>
          </w:p>
        </w:tc>
        <w:tc>
          <w:tcPr>
            <w:tcW w:w="36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08EEE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95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8BD86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5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A91D6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110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FF17A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110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D1595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28.35</w:t>
            </w:r>
          </w:p>
        </w:tc>
      </w:tr>
      <w:tr w14:paraId="645CF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441AD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A-PRS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CD0AB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C9882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A424F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8F46D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21241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18.25</w:t>
            </w:r>
          </w:p>
        </w:tc>
      </w:tr>
      <w:tr w14:paraId="07019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2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25BE431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  <w:t>EATV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EABA929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2433693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95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75A4623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10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02C2520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110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F2305CE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83.705</w:t>
            </w:r>
          </w:p>
        </w:tc>
      </w:tr>
    </w:tbl>
    <w:p w14:paraId="5265E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73925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FF"/>
          <w:sz w:val="21"/>
          <w:szCs w:val="21"/>
        </w:rPr>
        <w:t>Table</w:t>
      </w:r>
      <w:r>
        <w:rPr>
          <w:rFonts w:hint="eastAsia" w:ascii="Times New Roman" w:hAnsi="Times New Roman"/>
          <w:b/>
          <w:bCs/>
          <w:color w:val="0000FF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>S5</w:t>
      </w:r>
      <w:r>
        <w:rPr>
          <w:rFonts w:hint="eastAsia" w:ascii="Times New Roman" w:hAnsi="Times New Roman"/>
          <w:b/>
          <w:bCs/>
          <w:color w:val="0000FF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Intra- and Interobserver 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eproducibility for CMR 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arameters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3719"/>
        <w:gridCol w:w="3719"/>
      </w:tblGrid>
      <w:tr w14:paraId="1B5B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14F1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A7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Intraobserver ICC (95% CI)</w:t>
            </w:r>
          </w:p>
        </w:tc>
        <w:tc>
          <w:tcPr>
            <w:tcW w:w="21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933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Interobserver ICC (95% CI)</w:t>
            </w:r>
          </w:p>
        </w:tc>
      </w:tr>
      <w:tr w14:paraId="16F1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05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EATV </w:t>
            </w:r>
          </w:p>
        </w:tc>
        <w:tc>
          <w:tcPr>
            <w:tcW w:w="21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1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 (0.89–0.97)</w:t>
            </w:r>
          </w:p>
        </w:tc>
        <w:tc>
          <w:tcPr>
            <w:tcW w:w="21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C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 (0.85–0.95)</w:t>
            </w:r>
          </w:p>
        </w:tc>
      </w:tr>
      <w:tr w14:paraId="20125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98C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G-PRS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8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(0.82–0.94)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1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 (0.78–0.92)</w:t>
            </w:r>
          </w:p>
        </w:tc>
      </w:tr>
      <w:tr w14:paraId="12D5B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67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G-PCS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6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 (0.85–0.95)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C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(0.80–0.93)</w:t>
            </w:r>
          </w:p>
        </w:tc>
      </w:tr>
      <w:tr w14:paraId="3C1D2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75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G-PLS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0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 (0.86–0.96)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A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(0.82–0.94)</w:t>
            </w:r>
          </w:p>
        </w:tc>
      </w:tr>
      <w:tr w14:paraId="2A50D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F1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B-PRS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3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(0.81–0.93)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6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(0.77–0.91)</w:t>
            </w:r>
          </w:p>
        </w:tc>
      </w:tr>
      <w:tr w14:paraId="65A36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8C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B-PCS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4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(0.83–0.94)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E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(0.79–0.92)</w:t>
            </w:r>
          </w:p>
        </w:tc>
      </w:tr>
      <w:tr w14:paraId="65AD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39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B-PLS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3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(0.82–0.93)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2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 (0.78–0.91)</w:t>
            </w:r>
          </w:p>
        </w:tc>
      </w:tr>
      <w:tr w14:paraId="3C23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3D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M-PRS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C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(0.79–0.92)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B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(0.75–0.90)</w:t>
            </w:r>
          </w:p>
        </w:tc>
      </w:tr>
      <w:tr w14:paraId="7C92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E7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M-PCS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A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(0.83–0.94)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8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(0.79–0.92)</w:t>
            </w:r>
          </w:p>
        </w:tc>
      </w:tr>
      <w:tr w14:paraId="4B9BB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35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M-PLS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2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(0.81–0.93)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43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(0.77–0.91)</w:t>
            </w:r>
          </w:p>
        </w:tc>
      </w:tr>
      <w:tr w14:paraId="39AE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2C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A-PRS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C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(0.80–0.93)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8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(0.76–0.91)</w:t>
            </w:r>
          </w:p>
        </w:tc>
      </w:tr>
      <w:tr w14:paraId="1934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DA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A-PCS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4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(0.82–0.94)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C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 (0.78–0.92)</w:t>
            </w:r>
          </w:p>
        </w:tc>
      </w:tr>
      <w:tr w14:paraId="49E3F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25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A-PLS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1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(0.79–0.92)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4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(0.75–0.90)</w:t>
            </w:r>
          </w:p>
        </w:tc>
      </w:tr>
      <w:tr w14:paraId="6E97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DC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εs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F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(0.83–0.95)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1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(0.79–0.92)</w:t>
            </w:r>
          </w:p>
        </w:tc>
      </w:tr>
      <w:tr w14:paraId="566D4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B7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εe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9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(0.78–0.92)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88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(0.75–0.90)</w:t>
            </w:r>
          </w:p>
        </w:tc>
      </w:tr>
      <w:tr w14:paraId="4954C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73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εa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1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 (0.82–0.94)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9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 (0.78–0.92)</w:t>
            </w:r>
          </w:p>
        </w:tc>
      </w:tr>
      <w:tr w14:paraId="141BD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D3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SRs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2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(0.81–0.93)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C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(0.77–0.91)</w:t>
            </w:r>
          </w:p>
        </w:tc>
      </w:tr>
      <w:tr w14:paraId="615A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95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SRe 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9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 (0.77–0.91)</w:t>
            </w: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B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 (0.74–0.89)</w:t>
            </w:r>
          </w:p>
        </w:tc>
      </w:tr>
      <w:tr w14:paraId="000A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A877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SRa 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6AD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 (0.79–0.92)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AB9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(0.75–0.90)</w:t>
            </w:r>
          </w:p>
        </w:tc>
      </w:tr>
    </w:tbl>
    <w:p w14:paraId="24B273FB">
      <w:pPr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61A03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drawing>
          <wp:inline distT="0" distB="0" distL="114300" distR="114300">
            <wp:extent cx="5969000" cy="4231005"/>
            <wp:effectExtent l="0" t="0" r="3175" b="7620"/>
            <wp:docPr id="2" name="图片 2" descr="10-1769357794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-17693577946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42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auto"/>
        <w:rPr>
          <w:rFonts w:hint="eastAsia" w:ascii="Times New Roman" w:hAnsi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 xml:space="preserve">Figure </w:t>
      </w:r>
      <w:r>
        <w:rPr>
          <w:rFonts w:ascii="Times New Roman" w:hAnsi="Times New Roman"/>
          <w:b/>
          <w:bCs/>
          <w:color w:val="0000FF"/>
          <w:sz w:val="20"/>
          <w:szCs w:val="20"/>
        </w:rPr>
        <w:t>S</w:t>
      </w:r>
      <w:r>
        <w:rPr>
          <w:rFonts w:hint="eastAsia" w:ascii="Times New Roman" w:hAnsi="Times New Roman"/>
          <w:b/>
          <w:bCs/>
          <w:color w:val="0000FF"/>
          <w:sz w:val="20"/>
          <w:szCs w:val="20"/>
          <w:lang w:val="en-US" w:eastAsia="zh-CN"/>
        </w:rPr>
        <w:t>1</w:t>
      </w:r>
      <w:r>
        <w:rPr>
          <w:rFonts w:hint="eastAsia" w:ascii="Times New Roman" w:hAnsi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Correlation Heatmap of BMI, EATV, and Myocardial Strain Parameters</w:t>
      </w:r>
    </w:p>
    <w:p w14:paraId="5600F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auto"/>
        <w:rPr>
          <w:rFonts w:hint="eastAsia" w:ascii="Times New Roman" w:hAnsi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Logistic regression analysis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harisSIL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ZTFjYzUwZTFjMmY2YmY1OWMwMzc4NDE2OGQ5ZTcifQ=="/>
  </w:docVars>
  <w:rsids>
    <w:rsidRoot w:val="770F53A6"/>
    <w:rsid w:val="00311A5F"/>
    <w:rsid w:val="00D91EDB"/>
    <w:rsid w:val="011473B7"/>
    <w:rsid w:val="0119051E"/>
    <w:rsid w:val="01A52D98"/>
    <w:rsid w:val="02816CCE"/>
    <w:rsid w:val="02CF7AB9"/>
    <w:rsid w:val="034F2928"/>
    <w:rsid w:val="042E253E"/>
    <w:rsid w:val="0449381C"/>
    <w:rsid w:val="04A76B32"/>
    <w:rsid w:val="04CB6ED2"/>
    <w:rsid w:val="054B3DBD"/>
    <w:rsid w:val="05790825"/>
    <w:rsid w:val="05E97064"/>
    <w:rsid w:val="074570A9"/>
    <w:rsid w:val="07E51AAD"/>
    <w:rsid w:val="0A4429EE"/>
    <w:rsid w:val="0BCE1DED"/>
    <w:rsid w:val="0BF56037"/>
    <w:rsid w:val="0CBB4B8B"/>
    <w:rsid w:val="0D0A6380"/>
    <w:rsid w:val="11FF551A"/>
    <w:rsid w:val="122C3BCD"/>
    <w:rsid w:val="12490861"/>
    <w:rsid w:val="12597428"/>
    <w:rsid w:val="12F9640D"/>
    <w:rsid w:val="13BF7656"/>
    <w:rsid w:val="13C133CE"/>
    <w:rsid w:val="15C71D80"/>
    <w:rsid w:val="16A3500D"/>
    <w:rsid w:val="17D712C4"/>
    <w:rsid w:val="186B56B7"/>
    <w:rsid w:val="18B9573E"/>
    <w:rsid w:val="18D86AC4"/>
    <w:rsid w:val="19744A3F"/>
    <w:rsid w:val="19DC4392"/>
    <w:rsid w:val="1A576291"/>
    <w:rsid w:val="1AA03612"/>
    <w:rsid w:val="1AB84DFF"/>
    <w:rsid w:val="1BEA14D8"/>
    <w:rsid w:val="1CEE1106"/>
    <w:rsid w:val="1EBA70F8"/>
    <w:rsid w:val="1EEB2BF5"/>
    <w:rsid w:val="1F770DE5"/>
    <w:rsid w:val="21336F8E"/>
    <w:rsid w:val="215F198B"/>
    <w:rsid w:val="22327245"/>
    <w:rsid w:val="227B74AD"/>
    <w:rsid w:val="24BC2744"/>
    <w:rsid w:val="24D174B9"/>
    <w:rsid w:val="24DE3FF5"/>
    <w:rsid w:val="26005A9E"/>
    <w:rsid w:val="26571970"/>
    <w:rsid w:val="26D2254F"/>
    <w:rsid w:val="27071599"/>
    <w:rsid w:val="2A656E6E"/>
    <w:rsid w:val="2AF26276"/>
    <w:rsid w:val="2BC2788C"/>
    <w:rsid w:val="2BE02FAC"/>
    <w:rsid w:val="2C043A01"/>
    <w:rsid w:val="2C5F157F"/>
    <w:rsid w:val="2F283EAA"/>
    <w:rsid w:val="2FEA73B1"/>
    <w:rsid w:val="300264A9"/>
    <w:rsid w:val="32202067"/>
    <w:rsid w:val="343508B5"/>
    <w:rsid w:val="35E43B1A"/>
    <w:rsid w:val="361A2073"/>
    <w:rsid w:val="36422E07"/>
    <w:rsid w:val="374E6478"/>
    <w:rsid w:val="375003FB"/>
    <w:rsid w:val="38762883"/>
    <w:rsid w:val="3A1C1077"/>
    <w:rsid w:val="3AE113B1"/>
    <w:rsid w:val="3CCD7E3F"/>
    <w:rsid w:val="3CFC0724"/>
    <w:rsid w:val="3D192318"/>
    <w:rsid w:val="3DF504B9"/>
    <w:rsid w:val="3E94330A"/>
    <w:rsid w:val="3ED3452C"/>
    <w:rsid w:val="3F231323"/>
    <w:rsid w:val="3FC27A03"/>
    <w:rsid w:val="403A1C8F"/>
    <w:rsid w:val="403A3A3D"/>
    <w:rsid w:val="408F1FDB"/>
    <w:rsid w:val="40907B01"/>
    <w:rsid w:val="41342909"/>
    <w:rsid w:val="42831D2D"/>
    <w:rsid w:val="428B0F11"/>
    <w:rsid w:val="42F56341"/>
    <w:rsid w:val="446E39DC"/>
    <w:rsid w:val="4541761C"/>
    <w:rsid w:val="46E42955"/>
    <w:rsid w:val="46F956FF"/>
    <w:rsid w:val="47F24BFD"/>
    <w:rsid w:val="49F70BF1"/>
    <w:rsid w:val="4A0A1E4D"/>
    <w:rsid w:val="4A174DEF"/>
    <w:rsid w:val="4B227B23"/>
    <w:rsid w:val="4C9E35A6"/>
    <w:rsid w:val="4CAC0653"/>
    <w:rsid w:val="4D0034AD"/>
    <w:rsid w:val="4E0336C0"/>
    <w:rsid w:val="4FDA48F5"/>
    <w:rsid w:val="4FE15C85"/>
    <w:rsid w:val="52E837CD"/>
    <w:rsid w:val="535C5F41"/>
    <w:rsid w:val="54136627"/>
    <w:rsid w:val="5476494D"/>
    <w:rsid w:val="54815C87"/>
    <w:rsid w:val="54D77655"/>
    <w:rsid w:val="56183FCE"/>
    <w:rsid w:val="568D0913"/>
    <w:rsid w:val="569E48CE"/>
    <w:rsid w:val="56B12148"/>
    <w:rsid w:val="57961A49"/>
    <w:rsid w:val="585D4F64"/>
    <w:rsid w:val="5ABC1175"/>
    <w:rsid w:val="5B2A4157"/>
    <w:rsid w:val="5B6C43AD"/>
    <w:rsid w:val="5B6D0D13"/>
    <w:rsid w:val="5BD82630"/>
    <w:rsid w:val="5C021228"/>
    <w:rsid w:val="5CE713B5"/>
    <w:rsid w:val="5CFD7D09"/>
    <w:rsid w:val="5E2A6A47"/>
    <w:rsid w:val="5ED52E57"/>
    <w:rsid w:val="60761F4E"/>
    <w:rsid w:val="614E5143"/>
    <w:rsid w:val="61FC3E67"/>
    <w:rsid w:val="636C629A"/>
    <w:rsid w:val="64AF35DF"/>
    <w:rsid w:val="667A2B52"/>
    <w:rsid w:val="68030A35"/>
    <w:rsid w:val="684A2231"/>
    <w:rsid w:val="68AA0ED1"/>
    <w:rsid w:val="693365A4"/>
    <w:rsid w:val="6B0D5727"/>
    <w:rsid w:val="6B222D74"/>
    <w:rsid w:val="6C3D203B"/>
    <w:rsid w:val="6C6677E4"/>
    <w:rsid w:val="6C983716"/>
    <w:rsid w:val="6CA34594"/>
    <w:rsid w:val="6D2F5E28"/>
    <w:rsid w:val="6FBE4946"/>
    <w:rsid w:val="6FC62348"/>
    <w:rsid w:val="72F84F0E"/>
    <w:rsid w:val="73D60CF7"/>
    <w:rsid w:val="74AF33D5"/>
    <w:rsid w:val="74B937D0"/>
    <w:rsid w:val="74E943B6"/>
    <w:rsid w:val="75582B73"/>
    <w:rsid w:val="76D3194A"/>
    <w:rsid w:val="770F53A6"/>
    <w:rsid w:val="77586705"/>
    <w:rsid w:val="77D0645A"/>
    <w:rsid w:val="78056103"/>
    <w:rsid w:val="78C778A1"/>
    <w:rsid w:val="78C87131"/>
    <w:rsid w:val="7936053E"/>
    <w:rsid w:val="794964C4"/>
    <w:rsid w:val="795135CA"/>
    <w:rsid w:val="79690914"/>
    <w:rsid w:val="79F006ED"/>
    <w:rsid w:val="7B6C0247"/>
    <w:rsid w:val="7CFE5817"/>
    <w:rsid w:val="7DD3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9">
    <w:name w:val="fontstyle01"/>
    <w:basedOn w:val="6"/>
    <w:qFormat/>
    <w:uiPriority w:val="0"/>
    <w:rPr>
      <w:rFonts w:hint="default" w:ascii="CharisSIL" w:hAnsi="CharisSIL"/>
      <w:color w:val="000000"/>
      <w:sz w:val="14"/>
      <w:szCs w:val="14"/>
    </w:rPr>
  </w:style>
  <w:style w:type="character" w:customStyle="1" w:styleId="10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3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4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786</Words>
  <Characters>4892</Characters>
  <Lines>0</Lines>
  <Paragraphs>0</Paragraphs>
  <TotalTime>0</TotalTime>
  <ScaleCrop>false</ScaleCrop>
  <LinksUpToDate>false</LinksUpToDate>
  <CharactersWithSpaces>5316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2025-01-27T16:35:00Z</dcterms:created>
  <dc:creator>Xiaoning Lei</dc:creator>
  <cp:lastModifiedBy>run</cp:lastModifiedBy>
  <cp:lastPrinted>2025-12-22T08:13:00Z</cp:lastPrinted>
  <dcterms:modified xsi:type="dcterms:W3CDTF">2026-03-22T01:49:50Z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4CD2E81E073F4FA2A979DC13B4BF5BA4_13</vt:lpwstr>
  </property>
  <property fmtid="{D5CDD505-2E9C-101B-9397-08002B2CF9AE}" pid="4" name="KSOTemplateDocerSaveRecord">
    <vt:lpwstr>eyJoZGlkIjoiMjYyZmZlM2RiNzNkODYzMmRmMzE4MjFlOTcxMTVjYTIiLCJ1c2VySWQiOiI0NzE4Mzc4MzkifQ==</vt:lpwstr>
  </property>
</Properties>
</file>