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3989D">
      <w:pPr>
        <w:numPr>
          <w:ilvl w:val="0"/>
          <w:numId w:val="0"/>
        </w:numPr>
        <w:spacing w:line="360" w:lineRule="auto"/>
        <w:jc w:val="center"/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>Supplementary</w:t>
      </w:r>
    </w:p>
    <w:p w14:paraId="638E3924">
      <w:pPr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Table S1 Patient Enrollment by Participating Center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5420"/>
        <w:gridCol w:w="2008"/>
      </w:tblGrid>
      <w:tr w14:paraId="42CC5C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94" w:type="dxa"/>
            <w:tcBorders>
              <w:bottom w:val="single" w:color="auto" w:sz="4" w:space="0"/>
            </w:tcBorders>
            <w:vAlign w:val="center"/>
          </w:tcPr>
          <w:p w14:paraId="1228457E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420" w:type="dxa"/>
            <w:tcBorders>
              <w:bottom w:val="single" w:color="auto" w:sz="4" w:space="0"/>
            </w:tcBorders>
            <w:vAlign w:val="center"/>
          </w:tcPr>
          <w:p w14:paraId="4C1CA44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sz w:val="20"/>
                <w:szCs w:val="22"/>
                <w:vertAlign w:val="baseline"/>
                <w:lang w:val="en-US" w:eastAsia="zh-CN"/>
              </w:rPr>
              <w:t>Hospital</w:t>
            </w:r>
          </w:p>
        </w:tc>
        <w:tc>
          <w:tcPr>
            <w:tcW w:w="2008" w:type="dxa"/>
            <w:tcBorders>
              <w:bottom w:val="single" w:color="auto" w:sz="4" w:space="0"/>
            </w:tcBorders>
            <w:vAlign w:val="center"/>
          </w:tcPr>
          <w:p w14:paraId="40CAF07B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0"/>
                <w:szCs w:val="22"/>
                <w:vertAlign w:val="baseline"/>
                <w:lang w:val="en-US" w:eastAsia="zh-CN"/>
              </w:rPr>
              <w:t>Number of Patients</w:t>
            </w:r>
          </w:p>
        </w:tc>
      </w:tr>
      <w:tr w14:paraId="5D6095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0162ED7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Center 1</w:t>
            </w:r>
          </w:p>
        </w:tc>
        <w:tc>
          <w:tcPr>
            <w:tcW w:w="542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7876BD9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Lanzhou university second hospital</w:t>
            </w:r>
          </w:p>
        </w:tc>
        <w:tc>
          <w:tcPr>
            <w:tcW w:w="200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9DA26F6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0"/>
                <w:szCs w:val="22"/>
                <w:vertAlign w:val="baseline"/>
                <w:lang w:val="en-US" w:eastAsia="zh-CN" w:bidi="ar-SA"/>
              </w:rPr>
              <w:t>396</w:t>
            </w:r>
          </w:p>
        </w:tc>
      </w:tr>
      <w:tr w14:paraId="500531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5A65F613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Center 2</w:t>
            </w:r>
          </w:p>
        </w:tc>
        <w:tc>
          <w:tcPr>
            <w:tcW w:w="5420" w:type="dxa"/>
            <w:tcBorders>
              <w:tl2br w:val="nil"/>
              <w:tr2bl w:val="nil"/>
            </w:tcBorders>
            <w:vAlign w:val="center"/>
          </w:tcPr>
          <w:p w14:paraId="2DEF0D90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Gansu Provincial Maternal and Child Health Hospital (Gansu Provincial Center Hospital)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43DAD104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67</w:t>
            </w:r>
          </w:p>
        </w:tc>
      </w:tr>
      <w:tr w14:paraId="5C68BC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3835E6EC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Center 3</w:t>
            </w:r>
          </w:p>
        </w:tc>
        <w:tc>
          <w:tcPr>
            <w:tcW w:w="5420" w:type="dxa"/>
            <w:tcBorders>
              <w:tl2br w:val="nil"/>
              <w:tr2bl w:val="nil"/>
            </w:tcBorders>
            <w:vAlign w:val="center"/>
          </w:tcPr>
          <w:p w14:paraId="08941C47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Xigu District People's Hospital of Lanzhou City, Gansu Province</w:t>
            </w:r>
          </w:p>
        </w:tc>
        <w:tc>
          <w:tcPr>
            <w:tcW w:w="2008" w:type="dxa"/>
            <w:tcBorders>
              <w:tl2br w:val="nil"/>
              <w:tr2bl w:val="nil"/>
            </w:tcBorders>
            <w:vAlign w:val="center"/>
          </w:tcPr>
          <w:p w14:paraId="37B97A14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36</w:t>
            </w:r>
          </w:p>
        </w:tc>
      </w:tr>
    </w:tbl>
    <w:p w14:paraId="6AFE92B3">
      <w:pPr>
        <w:numPr>
          <w:ilvl w:val="0"/>
          <w:numId w:val="0"/>
        </w:num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</w:pPr>
    </w:p>
    <w:p w14:paraId="0735D9B2">
      <w:pPr>
        <w:numPr>
          <w:ilvl w:val="0"/>
          <w:numId w:val="0"/>
        </w:num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>Table S2 Distributions of MSCBLs According to Sonographic Categories and Histopathological/Follow-up Results</w:t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1"/>
        <w:gridCol w:w="1235"/>
        <w:gridCol w:w="1394"/>
        <w:gridCol w:w="1358"/>
        <w:gridCol w:w="1447"/>
        <w:gridCol w:w="1251"/>
      </w:tblGrid>
      <w:tr w14:paraId="0B282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09B0D3AD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athologic findings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1B8F10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Type I (n=58)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B23A9D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Type II (n=140)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E63BC7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Type III (n=91)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69841A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Type IV (n=107)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9F4581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Total (n=396)</w:t>
            </w:r>
          </w:p>
        </w:tc>
      </w:tr>
      <w:tr w14:paraId="64EAC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409948B3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Benign</w:t>
            </w: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C1CDDA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54 (93.1)</w:t>
            </w: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85F708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114 (81.4)</w:t>
            </w: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A948CE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40 (44.0)</w:t>
            </w: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528265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73 (68.2)</w:t>
            </w:r>
          </w:p>
        </w:tc>
        <w:tc>
          <w:tcPr>
            <w:tcW w:w="0" w:type="auto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724D200B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281</w:t>
            </w:r>
          </w:p>
        </w:tc>
      </w:tr>
      <w:tr w14:paraId="4FACB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352D4EF6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Cyst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3AA802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24 (41.4)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95592D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21 (15.0)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3DF61D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3442AE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 (1.9)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5091866F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47</w:t>
            </w:r>
          </w:p>
        </w:tc>
      </w:tr>
      <w:tr w14:paraId="70650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3DA9B94F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FCC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8448BC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 (1.7)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A7E931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14 (10.0)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473291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5 (5.5)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66E0B5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6 (5.6)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68431945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26</w:t>
            </w:r>
          </w:p>
        </w:tc>
      </w:tr>
      <w:tr w14:paraId="55918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39469007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Mastitis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D7874E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6 (10.3)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C18D63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 (0.7)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3BBB3B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8 (8.8)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425538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23 (21.5)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6707A209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38</w:t>
            </w:r>
          </w:p>
        </w:tc>
      </w:tr>
      <w:tr w14:paraId="4830A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386C96B7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Fibroadenoma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1ED3F2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5 (8.6)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401824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 (1.4)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2EF3A3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5 (5.5)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613A45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23 (21.5)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64638AAD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35</w:t>
            </w:r>
          </w:p>
        </w:tc>
      </w:tr>
      <w:tr w14:paraId="49F62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21C2B1A3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Phyllodes tumour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979E08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343F62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D83056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 (1.1)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F98C19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9 (8.4)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578C27D9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</w:tr>
      <w:tr w14:paraId="62CD7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7392C547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Galactocele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1EF064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15 (25.9)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D1395B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11 (7.9)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5062B6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6 (6.6)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494DE9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5 (4.7)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058D5344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37</w:t>
            </w:r>
          </w:p>
        </w:tc>
      </w:tr>
      <w:tr w14:paraId="1A3D6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51A9B9A4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IDP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351D15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DC2817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63 (45.0)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76F942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13 (14.3)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379E7C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 (0.9)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3A51AFBF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77</w:t>
            </w:r>
          </w:p>
        </w:tc>
      </w:tr>
      <w:tr w14:paraId="43496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403C5D04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ADH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7D2F8C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 (5.2)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8AB1E1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 (1.4)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A20631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 (2.2)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F57B26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4 (3.7)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25A26E1D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</w:tr>
      <w:tr w14:paraId="35F33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4C371B91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Malignant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5E22DF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4 (6.9)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AC652F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26 (18.6)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C055C1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51 (56.0)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CC0CD8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34 (31.8)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02BF683A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115</w:t>
            </w:r>
          </w:p>
        </w:tc>
      </w:tr>
      <w:tr w14:paraId="3A6AF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63CE3399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DCIS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01A213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 (3.4)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CCE69D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18 (12.9)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0C0C8B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22 (24.2)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4A84F3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6 (5.6)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6FAE88F1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48</w:t>
            </w:r>
          </w:p>
        </w:tc>
      </w:tr>
      <w:tr w14:paraId="1BDB8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1DB51D40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IDC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F8E915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 (3.4)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EB1B63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 (1.4)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A11785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17 (18.7)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F867A6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14 (13.1)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5D276CC0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35</w:t>
            </w:r>
          </w:p>
        </w:tc>
      </w:tr>
      <w:tr w14:paraId="538F2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04582EF8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MPT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AB09E0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F18C68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E97EA2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 (3.3)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62A5DC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5 (4.7)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181CC350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</w:tr>
      <w:tr w14:paraId="66017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0D371110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Mucinous CA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A204DB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5620E0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E57119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4 (4.4)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4AA3BF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 (2.8)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07A4A516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</w:tr>
      <w:tr w14:paraId="1A442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4B15D7E9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EPC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FD6696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7C7D2E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6 (4.3)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51B93A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4 (4.4)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F5FF78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 (2.8)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79D7EE40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</w:tr>
      <w:tr w14:paraId="5B50B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3994FB57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MPNST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C19223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A06968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4D09B5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C34066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 (1.9)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40B9859A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</w:tr>
      <w:tr w14:paraId="3CAF5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48CA31E8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  ICC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4CC746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0A8201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 (0.0)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4E73E0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 (1.1)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271241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 (0.9)</w:t>
            </w:r>
          </w:p>
        </w:tc>
        <w:tc>
          <w:tcPr>
            <w:tcW w:w="0" w:type="auto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6673A37A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</w:tr>
      <w:tr w14:paraId="358B3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39CD2135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Total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72AB19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58 (100.0)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BD9945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140 (100.0)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41AC4E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91 (100.0)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2D3AE6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107 (100.0)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777E81C7">
            <w:pPr>
              <w:keepNext w:val="0"/>
              <w:keepLines w:val="0"/>
              <w:widowControl/>
              <w:suppressLineNumbers w:val="0"/>
              <w:spacing w:line="120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396</w:t>
            </w:r>
          </w:p>
        </w:tc>
      </w:tr>
    </w:tbl>
    <w:p w14:paraId="331F9060">
      <w:pPr>
        <w:numPr>
          <w:ilvl w:val="0"/>
          <w:numId w:val="0"/>
        </w:numPr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</w:pPr>
    </w:p>
    <w:p w14:paraId="78AEBE14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16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16"/>
          <w:szCs w:val="20"/>
          <w:vertAlign w:val="baseline"/>
          <w:lang w:val="en-US" w:eastAsia="zh-CN"/>
        </w:rPr>
        <w:t>MPNST:</w:t>
      </w:r>
      <w:r>
        <w:rPr>
          <w:rFonts w:hint="default" w:ascii="Times New Roman" w:hAnsi="Times New Roman" w:cs="Times New Roman"/>
          <w:sz w:val="16"/>
          <w:szCs w:val="20"/>
          <w:lang w:val="en-US" w:eastAsia="zh-CN"/>
        </w:rPr>
        <w:t>malignant peripheral nerve sheath tumor；IDP = intraductal papilloma; FCC = fibrocystic changes, including sclerosing adenosis and apocrine metaplasia; IDP + ADH = intraductal papilloma and adjacent atypical ductal hyperplasia; ADH = atypical ductal hyperplasia; IDC=invasive ductal carcinoma; DCIS = ductal carcinoma in situ; MPT=Malignant phyllodes tumor; CA = carcinoma；ICC = Invasive cribriform carcinoma；EPC =encapsulated papillary carcinoma</w:t>
      </w:r>
    </w:p>
    <w:p w14:paraId="130F14F2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16"/>
          <w:szCs w:val="20"/>
          <w:lang w:val="en-US" w:eastAsia="zh-CN"/>
        </w:rPr>
      </w:pPr>
    </w:p>
    <w:p w14:paraId="6CA3B2F0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</w:pPr>
    </w:p>
    <w:p w14:paraId="20BCF1F3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</w:pPr>
    </w:p>
    <w:p w14:paraId="20998B44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1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4"/>
          <w:vertAlign w:val="baseline"/>
          <w:lang w:val="en-US" w:eastAsia="zh-CN"/>
        </w:rPr>
        <w:t>Table S3 Derivation of the MSCBLs Scoring System from Multivariable Logistic Regression Coefficients</w:t>
      </w:r>
    </w:p>
    <w:tbl>
      <w:tblPr>
        <w:tblStyle w:val="2"/>
        <w:tblW w:w="81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9"/>
        <w:gridCol w:w="1810"/>
        <w:gridCol w:w="1472"/>
        <w:gridCol w:w="2219"/>
        <w:gridCol w:w="1304"/>
      </w:tblGrid>
      <w:tr w14:paraId="0958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389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18BFEC57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Predictor</w:t>
            </w:r>
          </w:p>
        </w:tc>
        <w:tc>
          <w:tcPr>
            <w:tcW w:w="1810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4ECA37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Category</w:t>
            </w:r>
          </w:p>
        </w:tc>
        <w:tc>
          <w:tcPr>
            <w:tcW w:w="1472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F601E0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β Coefficient</w:t>
            </w:r>
          </w:p>
        </w:tc>
        <w:tc>
          <w:tcPr>
            <w:tcW w:w="2219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1BB93B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 xml:space="preserve">Points Calculation </w:t>
            </w:r>
          </w:p>
          <w:p w14:paraId="64A4B659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(β / 1.251)</w:t>
            </w:r>
          </w:p>
        </w:tc>
        <w:tc>
          <w:tcPr>
            <w:tcW w:w="1304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CAD3E1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4"/>
                <w:vertAlign w:val="baseline"/>
                <w:lang w:val="en-US" w:eastAsia="zh-CN"/>
              </w:rPr>
              <w:t>Assigned Points</w:t>
            </w:r>
          </w:p>
        </w:tc>
      </w:tr>
      <w:tr w14:paraId="264A1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89" w:type="dxa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5020804E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Age</w:t>
            </w:r>
          </w:p>
        </w:tc>
        <w:tc>
          <w:tcPr>
            <w:tcW w:w="1810" w:type="dxa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041766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≥50 years</w:t>
            </w:r>
          </w:p>
        </w:tc>
        <w:tc>
          <w:tcPr>
            <w:tcW w:w="1472" w:type="dxa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95B9F2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1.251</w:t>
            </w:r>
          </w:p>
        </w:tc>
        <w:tc>
          <w:tcPr>
            <w:tcW w:w="2219" w:type="dxa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2C1FC3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Reference (1.251/1.251 = 1.0)</w:t>
            </w:r>
          </w:p>
        </w:tc>
        <w:tc>
          <w:tcPr>
            <w:tcW w:w="1304" w:type="dxa"/>
            <w:tcBorders>
              <w:top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37F3D59B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61137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89" w:type="dxa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6488001C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Lesion size</w:t>
            </w:r>
          </w:p>
        </w:tc>
        <w:tc>
          <w:tcPr>
            <w:tcW w:w="1810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6E25EF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≥20 mm</w:t>
            </w:r>
          </w:p>
        </w:tc>
        <w:tc>
          <w:tcPr>
            <w:tcW w:w="1472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17594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1.499</w:t>
            </w:r>
          </w:p>
        </w:tc>
        <w:tc>
          <w:tcPr>
            <w:tcW w:w="221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CD3F66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1.499/1.251 = 1.2</w:t>
            </w:r>
          </w:p>
        </w:tc>
        <w:tc>
          <w:tcPr>
            <w:tcW w:w="1304" w:type="dxa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5F579617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7490D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89" w:type="dxa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25ED273C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Shape</w:t>
            </w:r>
          </w:p>
        </w:tc>
        <w:tc>
          <w:tcPr>
            <w:tcW w:w="1810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C39E4F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Irregular</w:t>
            </w:r>
          </w:p>
        </w:tc>
        <w:tc>
          <w:tcPr>
            <w:tcW w:w="1472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D65356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1.617</w:t>
            </w:r>
          </w:p>
        </w:tc>
        <w:tc>
          <w:tcPr>
            <w:tcW w:w="221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13DB58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17/1.251 = 1.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304" w:type="dxa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4D3D4069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6BBFB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89" w:type="dxa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165E0DF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Vascularity</w:t>
            </w:r>
          </w:p>
        </w:tc>
        <w:tc>
          <w:tcPr>
            <w:tcW w:w="1810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F77BCD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Scattered vessels</w:t>
            </w:r>
          </w:p>
        </w:tc>
        <w:tc>
          <w:tcPr>
            <w:tcW w:w="1472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11B3AC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1.239</w:t>
            </w:r>
          </w:p>
        </w:tc>
        <w:tc>
          <w:tcPr>
            <w:tcW w:w="221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CCA8B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1.239/1.251 = 1.0</w:t>
            </w:r>
          </w:p>
        </w:tc>
        <w:tc>
          <w:tcPr>
            <w:tcW w:w="1304" w:type="dxa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1453C191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0E4AD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89" w:type="dxa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132567E2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95F2F1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Dominant vessel/Rich</w:t>
            </w:r>
          </w:p>
        </w:tc>
        <w:tc>
          <w:tcPr>
            <w:tcW w:w="1472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7693E0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2.251</w:t>
            </w:r>
          </w:p>
        </w:tc>
        <w:tc>
          <w:tcPr>
            <w:tcW w:w="221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CC036F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2.251/1.251 = 1.8</w:t>
            </w:r>
          </w:p>
        </w:tc>
        <w:tc>
          <w:tcPr>
            <w:tcW w:w="1304" w:type="dxa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7D5AAA16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</w:tr>
      <w:tr w14:paraId="3D964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89" w:type="dxa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242933A6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Echo pattern</w:t>
            </w:r>
          </w:p>
        </w:tc>
        <w:tc>
          <w:tcPr>
            <w:tcW w:w="1810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739161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Type II</w:t>
            </w:r>
          </w:p>
        </w:tc>
        <w:tc>
          <w:tcPr>
            <w:tcW w:w="1472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EC0B7D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1.285</w:t>
            </w:r>
          </w:p>
        </w:tc>
        <w:tc>
          <w:tcPr>
            <w:tcW w:w="221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7EE9B0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1.285/1.251 = 1.0</w:t>
            </w:r>
          </w:p>
        </w:tc>
        <w:tc>
          <w:tcPr>
            <w:tcW w:w="1304" w:type="dxa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1EF3047C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</w:tr>
      <w:tr w14:paraId="75E49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89" w:type="dxa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5A10E44A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10" w:type="dxa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EA2502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Type III/IV</w:t>
            </w:r>
          </w:p>
        </w:tc>
        <w:tc>
          <w:tcPr>
            <w:tcW w:w="1472" w:type="dxa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E2C79F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2.488</w:t>
            </w:r>
          </w:p>
        </w:tc>
        <w:tc>
          <w:tcPr>
            <w:tcW w:w="2219" w:type="dxa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6B0304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2.488/1.251 = 2.0</w:t>
            </w:r>
          </w:p>
        </w:tc>
        <w:tc>
          <w:tcPr>
            <w:tcW w:w="1304" w:type="dxa"/>
            <w:tcBorders>
              <w:bottom w:val="single" w:color="auto" w:sz="8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5973F03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</w:tr>
    </w:tbl>
    <w:p w14:paraId="41987CD3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  <w:t>Note: The smallest coefficient (age ≥50 years, β = 1.251) was used as the reference for point assignment. All divisions were rounded to the nearest integer.*</w:t>
      </w:r>
    </w:p>
    <w:p w14:paraId="0B84853E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</w:pPr>
      <w:bookmarkStart w:id="0" w:name="_GoBack"/>
      <w:bookmarkEnd w:id="0"/>
    </w:p>
    <w:p w14:paraId="1A60BE74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  <w:t>Table S</w:t>
      </w:r>
      <w:r>
        <w:rPr>
          <w:rFonts w:hint="eastAsia" w:ascii="Times New Roman" w:hAnsi="Times New Roman" w:cs="Times New Roman"/>
          <w:sz w:val="24"/>
          <w:szCs w:val="32"/>
          <w:vertAlign w:val="baseline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  <w:t>. Sensitivity analysis excluding follow-up-only cases</w:t>
      </w:r>
    </w:p>
    <w:tbl>
      <w:tblPr>
        <w:tblStyle w:val="2"/>
        <w:tblW w:w="84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5"/>
        <w:gridCol w:w="910"/>
        <w:gridCol w:w="1287"/>
        <w:gridCol w:w="1260"/>
        <w:gridCol w:w="1647"/>
        <w:gridCol w:w="1160"/>
        <w:gridCol w:w="1170"/>
      </w:tblGrid>
      <w:tr w14:paraId="4F1AF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6FF34CBD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Cohort</w:t>
            </w:r>
          </w:p>
        </w:tc>
        <w:tc>
          <w:tcPr>
            <w:tcW w:w="9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06F2DD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 xml:space="preserve">Lesions </w:t>
            </w:r>
          </w:p>
          <w:p w14:paraId="44A17A8A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(n)</w:t>
            </w:r>
          </w:p>
        </w:tc>
        <w:tc>
          <w:tcPr>
            <w:tcW w:w="128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F635CF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 xml:space="preserve">Malignant </w:t>
            </w:r>
          </w:p>
          <w:p w14:paraId="3007FC79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(n</w:t>
            </w:r>
            <w:r>
              <w:rPr>
                <w:rFonts w:hint="eastAsia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，%</w:t>
            </w: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92C63F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 xml:space="preserve">Benign </w:t>
            </w:r>
          </w:p>
          <w:p w14:paraId="7EC190A0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(n</w:t>
            </w:r>
            <w:r>
              <w:rPr>
                <w:rFonts w:hint="eastAsia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，%</w:t>
            </w: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16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660E40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 xml:space="preserve">AUC </w:t>
            </w:r>
          </w:p>
          <w:p w14:paraId="16BBCD8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(95% CI)</w:t>
            </w:r>
          </w:p>
        </w:tc>
        <w:tc>
          <w:tcPr>
            <w:tcW w:w="11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025D50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 xml:space="preserve">Sensitivity </w:t>
            </w:r>
          </w:p>
          <w:p w14:paraId="184CEF02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(%)</w:t>
            </w:r>
          </w:p>
        </w:tc>
        <w:tc>
          <w:tcPr>
            <w:tcW w:w="1170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998D4B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 xml:space="preserve">Specificity </w:t>
            </w:r>
          </w:p>
          <w:p w14:paraId="6EF9A8F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4"/>
                <w:vertAlign w:val="baseline"/>
                <w:lang w:val="en-US" w:eastAsia="zh-CN"/>
              </w:rPr>
              <w:t>(%)</w:t>
            </w:r>
          </w:p>
        </w:tc>
      </w:tr>
      <w:tr w14:paraId="66522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025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015EF38A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Training</w:t>
            </w:r>
          </w:p>
        </w:tc>
        <w:tc>
          <w:tcPr>
            <w:tcW w:w="910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E47DE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335</w:t>
            </w:r>
          </w:p>
        </w:tc>
        <w:tc>
          <w:tcPr>
            <w:tcW w:w="1287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C9B97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115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（34.3%）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8B5241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220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（65.7%）</w:t>
            </w:r>
          </w:p>
        </w:tc>
        <w:tc>
          <w:tcPr>
            <w:tcW w:w="1647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3F6E2F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0.822 (0.776–0.868)</w:t>
            </w:r>
          </w:p>
        </w:tc>
        <w:tc>
          <w:tcPr>
            <w:tcW w:w="1160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430CFF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77.4</w:t>
            </w:r>
          </w:p>
        </w:tc>
        <w:tc>
          <w:tcPr>
            <w:tcW w:w="1170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26329FA2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81.8</w:t>
            </w:r>
          </w:p>
        </w:tc>
      </w:tr>
      <w:tr w14:paraId="2FD76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025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3BD53D26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Validation</w:t>
            </w:r>
          </w:p>
        </w:tc>
        <w:tc>
          <w:tcPr>
            <w:tcW w:w="910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A76222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88</w:t>
            </w:r>
          </w:p>
        </w:tc>
        <w:tc>
          <w:tcPr>
            <w:tcW w:w="1287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248839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31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（35.2%）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F9A0A8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57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（64.8%）</w:t>
            </w:r>
          </w:p>
        </w:tc>
        <w:tc>
          <w:tcPr>
            <w:tcW w:w="1647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BCFF1D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0.787 (0.668–0.886)</w:t>
            </w:r>
          </w:p>
        </w:tc>
        <w:tc>
          <w:tcPr>
            <w:tcW w:w="1160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6EE379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74.2</w:t>
            </w:r>
          </w:p>
        </w:tc>
        <w:tc>
          <w:tcPr>
            <w:tcW w:w="1170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315AB581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71.9</w:t>
            </w:r>
          </w:p>
        </w:tc>
      </w:tr>
    </w:tbl>
    <w:p w14:paraId="187B3827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</w:pPr>
    </w:p>
    <w:p w14:paraId="3904B4B6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1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4"/>
          <w:vertAlign w:val="baseline"/>
          <w:lang w:val="en-US" w:eastAsia="zh-CN"/>
        </w:rPr>
        <w:t>Table S</w:t>
      </w:r>
      <w:r>
        <w:rPr>
          <w:rFonts w:hint="eastAsia" w:ascii="Times New Roman" w:hAnsi="Times New Roman" w:cs="Times New Roman"/>
          <w:sz w:val="21"/>
          <w:szCs w:val="24"/>
          <w:vertAlign w:val="baseline"/>
          <w:lang w:val="en-US" w:eastAsia="zh-CN"/>
        </w:rPr>
        <w:t>5</w:t>
      </w:r>
      <w:r>
        <w:rPr>
          <w:rFonts w:hint="default" w:ascii="Times New Roman" w:hAnsi="Times New Roman" w:cs="Times New Roman"/>
          <w:sz w:val="21"/>
          <w:szCs w:val="24"/>
          <w:vertAlign w:val="baseline"/>
          <w:lang w:val="en-US" w:eastAsia="zh-CN"/>
        </w:rPr>
        <w:t xml:space="preserve"> Pairwise Interobserver Agreement (Weighted Kappa) by Reader Pair and Experience Level</w:t>
      </w:r>
    </w:p>
    <w:tbl>
      <w:tblPr>
        <w:tblStyle w:val="2"/>
        <w:tblW w:w="85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23"/>
        <w:gridCol w:w="1675"/>
        <w:gridCol w:w="2205"/>
        <w:gridCol w:w="2606"/>
      </w:tblGrid>
      <w:tr w14:paraId="03E46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0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68274323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  <w:t>Reader Pair</w:t>
            </w:r>
          </w:p>
        </w:tc>
        <w:tc>
          <w:tcPr>
            <w:tcW w:w="167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96F644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  <w:t>Experience Level</w:t>
            </w:r>
          </w:p>
        </w:tc>
        <w:tc>
          <w:tcPr>
            <w:tcW w:w="22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7D664D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  <w:t xml:space="preserve">BI-RADS κ </w:t>
            </w:r>
          </w:p>
          <w:p w14:paraId="10DF3E64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  <w:t>(95% CI)</w:t>
            </w:r>
          </w:p>
        </w:tc>
        <w:tc>
          <w:tcPr>
            <w:tcW w:w="260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D1E5BD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  <w:t xml:space="preserve">MSCBLs Scoring κ </w:t>
            </w:r>
          </w:p>
          <w:p w14:paraId="5263724E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32"/>
                <w:vertAlign w:val="baseline"/>
                <w:lang w:val="en-US" w:eastAsia="zh-CN"/>
              </w:rPr>
              <w:t>(95% CI)</w:t>
            </w:r>
          </w:p>
        </w:tc>
      </w:tr>
      <w:tr w14:paraId="493F7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23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6F90DC8F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R1</w:t>
            </w: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 xml:space="preserve"> vs 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R2</w:t>
            </w:r>
          </w:p>
        </w:tc>
        <w:tc>
          <w:tcPr>
            <w:tcW w:w="1675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7D08E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Junior</w:t>
            </w:r>
          </w:p>
        </w:tc>
        <w:tc>
          <w:tcPr>
            <w:tcW w:w="2205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3CCB3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0.61 (0.52-0.70)</w:t>
            </w:r>
          </w:p>
        </w:tc>
        <w:tc>
          <w:tcPr>
            <w:tcW w:w="2606" w:type="dxa"/>
            <w:tcBorders>
              <w:top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14D01977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0.74 (0.66-0.82)</w:t>
            </w:r>
          </w:p>
        </w:tc>
      </w:tr>
      <w:tr w14:paraId="5C4B9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23" w:type="dxa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13880B37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R3 vs R4</w:t>
            </w:r>
          </w:p>
        </w:tc>
        <w:tc>
          <w:tcPr>
            <w:tcW w:w="167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24AFFD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Intermediate</w:t>
            </w:r>
          </w:p>
        </w:tc>
        <w:tc>
          <w:tcPr>
            <w:tcW w:w="220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9C8488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0.68 (0.59-0.77)</w:t>
            </w:r>
          </w:p>
        </w:tc>
        <w:tc>
          <w:tcPr>
            <w:tcW w:w="2606" w:type="dxa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571DA99B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0.79 (0.71-0.87)</w:t>
            </w:r>
          </w:p>
        </w:tc>
      </w:tr>
      <w:tr w14:paraId="6F9DD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23" w:type="dxa"/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72885777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R5</w:t>
            </w: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 xml:space="preserve">vs 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R6</w:t>
            </w:r>
          </w:p>
        </w:tc>
        <w:tc>
          <w:tcPr>
            <w:tcW w:w="167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E3CF68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Senior</w:t>
            </w:r>
          </w:p>
        </w:tc>
        <w:tc>
          <w:tcPr>
            <w:tcW w:w="220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EA9A24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0.75 (0.67-0.83)</w:t>
            </w:r>
          </w:p>
        </w:tc>
        <w:tc>
          <w:tcPr>
            <w:tcW w:w="2606" w:type="dxa"/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70B0BE9E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0.82 (0.75-0.89)</w:t>
            </w:r>
          </w:p>
        </w:tc>
      </w:tr>
      <w:tr w14:paraId="1CE8D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23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0" w:type="dxa"/>
              <w:bottom w:w="50" w:type="dxa"/>
              <w:right w:w="80" w:type="dxa"/>
            </w:tcMar>
            <w:vAlign w:val="center"/>
          </w:tcPr>
          <w:p w14:paraId="43FF6C75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All readers</w:t>
            </w:r>
          </w:p>
        </w:tc>
        <w:tc>
          <w:tcPr>
            <w:tcW w:w="1675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E52B0B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Overall*</w:t>
            </w:r>
          </w:p>
        </w:tc>
        <w:tc>
          <w:tcPr>
            <w:tcW w:w="2205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0DFBCA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0.69 (0.62-0.76)</w:t>
            </w:r>
          </w:p>
        </w:tc>
        <w:tc>
          <w:tcPr>
            <w:tcW w:w="2606" w:type="dxa"/>
            <w:tcBorders>
              <w:bottom w:val="single" w:color="auto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0" w:type="dxa"/>
            </w:tcMar>
            <w:vAlign w:val="center"/>
          </w:tcPr>
          <w:p w14:paraId="20A8597B">
            <w:pPr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0.78 (0.72-0.84)</w:t>
            </w:r>
          </w:p>
        </w:tc>
      </w:tr>
    </w:tbl>
    <w:p w14:paraId="6D5488AA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  <w:t>*Overall agreement calculated using Fleiss' kappa for multiple raters.</w:t>
      </w:r>
    </w:p>
    <w:p w14:paraId="6F060BD2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</w:pPr>
    </w:p>
    <w:tbl>
      <w:tblPr>
        <w:tblStyle w:val="3"/>
        <w:tblpPr w:leftFromText="180" w:rightFromText="180" w:vertAnchor="text" w:horzAnchor="page" w:tblpX="1780" w:tblpY="-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6B32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 w14:paraId="7920A45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宋体" w:cs="Times New Roman"/>
                <w:b w:val="0"/>
                <w:bCs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204720" cy="1322705"/>
                  <wp:effectExtent l="0" t="0" r="5080" b="444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4720" cy="1322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 w14:paraId="523C53D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宋体" w:cs="Times New Roman"/>
                <w:b w:val="0"/>
                <w:bCs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203450" cy="1322070"/>
                  <wp:effectExtent l="0" t="0" r="0" b="5080"/>
                  <wp:docPr id="2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450" cy="1322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B25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 w14:paraId="36F70F3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 xml:space="preserve"> a . </w:t>
            </w:r>
            <w:r>
              <w:rPr>
                <w:rFonts w:hint="default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>ROC</w:t>
            </w: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>curve</w:t>
            </w: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 xml:space="preserve"> in training cohort</w:t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 w14:paraId="2E3920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 xml:space="preserve"> b . </w:t>
            </w:r>
            <w:r>
              <w:rPr>
                <w:rFonts w:hint="default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>ROC</w:t>
            </w: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>curve</w:t>
            </w: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 xml:space="preserve"> in validation cohort</w:t>
            </w:r>
          </w:p>
        </w:tc>
      </w:tr>
      <w:tr w14:paraId="12DC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</w:tcPr>
          <w:p w14:paraId="0637AD4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2"/>
                <w:lang w:val="en-US" w:eastAsia="zh-CN" w:bidi="ar"/>
              </w:rPr>
              <w:t xml:space="preserve"> Figure S1. ROC curves of sensitivity analysis in training and validation cohorts</w:t>
            </w:r>
          </w:p>
        </w:tc>
      </w:tr>
    </w:tbl>
    <w:p w14:paraId="6C15C54D">
      <w:pPr>
        <w:numPr>
          <w:ilvl w:val="0"/>
          <w:numId w:val="0"/>
        </w:numPr>
        <w:snapToGrid w:val="0"/>
        <w:spacing w:line="360" w:lineRule="auto"/>
        <w:jc w:val="left"/>
        <w:rPr>
          <w:rFonts w:hint="default" w:ascii="Times New Roman" w:hAnsi="Times New Roman" w:cs="Times New Roman"/>
          <w:sz w:val="24"/>
          <w:szCs w:val="32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A690E"/>
    <w:rsid w:val="03D17F42"/>
    <w:rsid w:val="12BC4F04"/>
    <w:rsid w:val="13E470BD"/>
    <w:rsid w:val="1FBB50B2"/>
    <w:rsid w:val="202B7863"/>
    <w:rsid w:val="24F26533"/>
    <w:rsid w:val="333D4673"/>
    <w:rsid w:val="3DAC3E6B"/>
    <w:rsid w:val="3E3B3FA5"/>
    <w:rsid w:val="44677C2B"/>
    <w:rsid w:val="54AC1CF4"/>
    <w:rsid w:val="66682803"/>
    <w:rsid w:val="719C5A56"/>
    <w:rsid w:val="743B50B2"/>
    <w:rsid w:val="7646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三线表"/>
    <w:basedOn w:val="2"/>
    <w:qFormat/>
    <w:uiPriority w:val="99"/>
    <w:pPr>
      <w:spacing w:after="0" w:line="240" w:lineRule="auto"/>
    </w:p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472</Words>
  <Characters>2339</Characters>
  <Lines>0</Lines>
  <Paragraphs>0</Paragraphs>
  <TotalTime>3</TotalTime>
  <ScaleCrop>false</ScaleCrop>
  <LinksUpToDate>false</LinksUpToDate>
  <CharactersWithSpaces>2594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JYY</dc:creator>
  <cp:lastModifiedBy>英子</cp:lastModifiedBy>
  <dcterms:modified xsi:type="dcterms:W3CDTF">2026-03-09T15:05:58Z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eyJoZGlkIjoiNzc3YzNjNjg5MzUxOThiZTc2MTQxZWMyZjA4OTJmNjkiLCJ1c2VySWQiOiIzNDE3NzQ5NTAifQ==</vt:lpwstr>
  </property>
  <property fmtid="{D5CDD505-2E9C-101B-9397-08002B2CF9AE}" pid="4" name="ICV">
    <vt:lpwstr>ABCEFF46CE0049358999D597A68026AA_12</vt:lpwstr>
  </property>
</Properties>
</file>