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F321C">
      <w:pPr>
        <w:jc w:val="left"/>
        <w:rPr>
          <w:rFonts w:hint="eastAsia" w:ascii="Times New Roman" w:hAnsi="Times New Roman" w:cs="Times New Roman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Supplementary material</w:t>
      </w:r>
    </w:p>
    <w:p w14:paraId="3E408F38">
      <w:pPr>
        <w:jc w:val="left"/>
        <w:rPr>
          <w:rFonts w:hint="eastAsia" w:ascii="Times New Roman" w:hAnsi="Times New Roman" w:cs="Times New Roman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8660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6"/>
        <w:gridCol w:w="2864"/>
      </w:tblGrid>
      <w:tr w14:paraId="4DBA0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866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87F0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Supplementary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S1.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Interobserver reproducibility of microstructural parameters assessed by intraclass correlation coefficients (ICCs).</w:t>
            </w:r>
          </w:p>
        </w:tc>
      </w:tr>
      <w:tr w14:paraId="1DF51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349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Feature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FE9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ICC</w:t>
            </w:r>
          </w:p>
        </w:tc>
      </w:tr>
      <w:tr w14:paraId="44E05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D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05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0.967</w:t>
            </w:r>
          </w:p>
        </w:tc>
      </w:tr>
      <w:tr w14:paraId="020C4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2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3B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</w:tr>
      <w:tr w14:paraId="49449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9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18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0.975</w:t>
            </w:r>
          </w:p>
        </w:tc>
      </w:tr>
      <w:tr w14:paraId="034C2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60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Cellularity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9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0.962</w:t>
            </w:r>
          </w:p>
        </w:tc>
      </w:tr>
      <w:tr w14:paraId="3D43F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4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ADC_25HZ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B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0.927</w:t>
            </w:r>
          </w:p>
        </w:tc>
      </w:tr>
      <w:tr w14:paraId="7E597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8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ADC_50HZ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B6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0.869</w:t>
            </w:r>
          </w:p>
        </w:tc>
      </w:tr>
      <w:tr w14:paraId="27AB7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59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ADC_PGSE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B7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0.959</w:t>
            </w:r>
          </w:p>
        </w:tc>
      </w:tr>
      <w:tr w14:paraId="0900F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0B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ADC_Zoomit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F2F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0.977</w:t>
            </w:r>
          </w:p>
        </w:tc>
      </w:tr>
    </w:tbl>
    <w:p w14:paraId="2D5EA25F">
      <w:pP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1"/>
          <w14:textFill>
            <w14:solidFill>
              <w14:schemeClr w14:val="tx1"/>
            </w14:solidFill>
          </w14:textFill>
        </w:rPr>
      </w:pPr>
    </w:p>
    <w:p w14:paraId="1CED4FDF">
      <w:pP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1"/>
          <w14:textFill>
            <w14:solidFill>
              <w14:schemeClr w14:val="tx1"/>
            </w14:solidFill>
          </w14:textFill>
        </w:rPr>
      </w:pPr>
    </w:p>
    <w:p w14:paraId="19D037C4">
      <w:pP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1"/>
          <w14:textFill>
            <w14:solidFill>
              <w14:schemeClr w14:val="tx1"/>
            </w14:solidFill>
          </w14:textFill>
        </w:rPr>
      </w:pPr>
    </w:p>
    <w:p w14:paraId="7DD91F8E">
      <w:pP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1"/>
          <w14:textFill>
            <w14:solidFill>
              <w14:schemeClr w14:val="tx1"/>
            </w14:solidFill>
          </w14:textFill>
        </w:rPr>
      </w:pPr>
    </w:p>
    <w:p w14:paraId="7FDC07BD">
      <w:pP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1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96" w:type="dxa"/>
        <w:tblInd w:w="-4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7"/>
        <w:gridCol w:w="1922"/>
        <w:gridCol w:w="986"/>
        <w:gridCol w:w="1039"/>
        <w:gridCol w:w="1054"/>
        <w:gridCol w:w="1379"/>
        <w:gridCol w:w="1479"/>
      </w:tblGrid>
      <w:tr w14:paraId="6D179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tblHeader/>
        </w:trPr>
        <w:tc>
          <w:tcPr>
            <w:tcW w:w="94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BB4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Supplementary 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Effect size and post-hoc power analysis for continuous variables</w:t>
            </w:r>
          </w:p>
        </w:tc>
      </w:tr>
      <w:tr w14:paraId="15E17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tblHeader/>
        </w:trPr>
        <w:tc>
          <w:tcPr>
            <w:tcW w:w="163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417F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</w:t>
            </w:r>
          </w:p>
        </w:tc>
        <w:tc>
          <w:tcPr>
            <w:tcW w:w="192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CC0CC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Test</w:t>
            </w:r>
          </w:p>
        </w:tc>
        <w:tc>
          <w:tcPr>
            <w:tcW w:w="98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B93C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Effect Size (r)</w:t>
            </w:r>
          </w:p>
        </w:tc>
        <w:tc>
          <w:tcPr>
            <w:tcW w:w="103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6212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 Statistic</w:t>
            </w:r>
          </w:p>
        </w:tc>
        <w:tc>
          <w:tcPr>
            <w:tcW w:w="10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B424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  <w:tc>
          <w:tcPr>
            <w:tcW w:w="137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E006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Post-hoc Power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8E68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Power Level</w:t>
            </w:r>
          </w:p>
        </w:tc>
      </w:tr>
      <w:tr w14:paraId="2AD1C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327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259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Mann–Whitney U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37D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15D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D3A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F12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55B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Very high</w:t>
            </w:r>
          </w:p>
        </w:tc>
      </w:tr>
      <w:tr w14:paraId="55ACD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66D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ADC_Zoomit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B74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Mann–Whitney U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BBF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5CF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A45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DF2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606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Very high</w:t>
            </w:r>
          </w:p>
        </w:tc>
      </w:tr>
      <w:tr w14:paraId="76187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819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Dex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912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Mann–Whitney U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2FF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75A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3.276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7A9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A28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8B8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Very high</w:t>
            </w:r>
          </w:p>
        </w:tc>
      </w:tr>
      <w:tr w14:paraId="2AD93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27E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Vin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A38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Mann–Whitney U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43B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875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269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BAC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7F0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Very high</w:t>
            </w:r>
          </w:p>
        </w:tc>
      </w:tr>
      <w:tr w14:paraId="7D4DA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5D4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ADC_PGSE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D4A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Mann–Whitney U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1B7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5B5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422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01C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87D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</w:t>
            </w:r>
          </w:p>
        </w:tc>
      </w:tr>
      <w:tr w14:paraId="4F72B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B09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ADC_25Hz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1C9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Mann–Whitney U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D7C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BF8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B03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1ED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238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</w:tr>
      <w:tr w14:paraId="1AD6A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A25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ADC_50Hz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128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Mann–Whitney U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9A8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BC9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3AC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84C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DEF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</w:tr>
      <w:tr w14:paraId="727B3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9962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Cellularity</w:t>
            </w:r>
          </w:p>
        </w:tc>
        <w:tc>
          <w:tcPr>
            <w:tcW w:w="192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4474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Mann–Whitney U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7D7C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0.225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47A6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1.624</w:t>
            </w:r>
          </w:p>
        </w:tc>
        <w:tc>
          <w:tcPr>
            <w:tcW w:w="105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B02F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0.104</w:t>
            </w:r>
          </w:p>
        </w:tc>
        <w:tc>
          <w:tcPr>
            <w:tcW w:w="137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EB97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3401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Moderate</w:t>
            </w:r>
          </w:p>
        </w:tc>
      </w:tr>
    </w:tbl>
    <w:p w14:paraId="6C566714">
      <w:pP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1"/>
          <w14:textFill>
            <w14:solidFill>
              <w14:schemeClr w14:val="tx1"/>
            </w14:solidFill>
          </w14:textFill>
        </w:rPr>
      </w:pPr>
    </w:p>
    <w:p w14:paraId="54259792">
      <w:pP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1"/>
          <w14:textFill>
            <w14:solidFill>
              <w14:schemeClr w14:val="tx1"/>
            </w14:solidFill>
          </w14:textFill>
        </w:rPr>
      </w:pPr>
    </w:p>
    <w:p w14:paraId="53C888B1">
      <w:pP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1"/>
          <w14:textFill>
            <w14:solidFill>
              <w14:schemeClr w14:val="tx1"/>
            </w14:solidFill>
          </w14:textFill>
        </w:rPr>
      </w:pPr>
    </w:p>
    <w:p w14:paraId="7D71617E">
      <w:pP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1"/>
          <w14:textFill>
            <w14:solidFill>
              <w14:schemeClr w14:val="tx1"/>
            </w14:solidFill>
          </w14:textFill>
        </w:rPr>
      </w:pPr>
    </w:p>
    <w:p w14:paraId="295E2FA5">
      <w:pP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1"/>
          <w14:textFill>
            <w14:solidFill>
              <w14:schemeClr w14:val="tx1"/>
            </w14:solidFill>
          </w14:textFill>
        </w:rPr>
      </w:pPr>
    </w:p>
    <w:p w14:paraId="53D523E8">
      <w:pPr>
        <w:jc w:val="center"/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Supplementary Table S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.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Pairwise comparison of AUC values using DeLong’s test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for correlated ROC curves</w:t>
      </w:r>
    </w:p>
    <w:tbl>
      <w:tblPr>
        <w:tblStyle w:val="5"/>
        <w:tblW w:w="8438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0"/>
        <w:gridCol w:w="1401"/>
        <w:gridCol w:w="1130"/>
        <w:gridCol w:w="1694"/>
        <w:gridCol w:w="1523"/>
      </w:tblGrid>
      <w:tr w14:paraId="23794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6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AE0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Comparison</w:t>
            </w:r>
          </w:p>
        </w:tc>
        <w:tc>
          <w:tcPr>
            <w:tcW w:w="140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F78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AUC 1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BD3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AUC 2</w:t>
            </w:r>
          </w:p>
        </w:tc>
        <w:tc>
          <w:tcPr>
            <w:tcW w:w="169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D7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 Statistic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68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</w:tr>
      <w:tr w14:paraId="59722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57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Vin vs Dex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252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865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0.766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1DB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-0.379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E31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0.705</w:t>
            </w:r>
          </w:p>
        </w:tc>
      </w:tr>
      <w:tr w14:paraId="49F7E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87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Vin vs d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E27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CDF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6F9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-0.936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7A0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0.349</w:t>
            </w:r>
          </w:p>
        </w:tc>
      </w:tr>
      <w:tr w14:paraId="62E7D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26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Vin vs Cellularity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C2C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345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5A9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3.235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A00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6DA1F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82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Vin vs ADC_25Hz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287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140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A8F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C71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0.505</w:t>
            </w:r>
          </w:p>
        </w:tc>
      </w:tr>
      <w:tr w14:paraId="7E124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05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Vin vs ADC_50Hz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80A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9A7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C81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6F4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0.485</w:t>
            </w:r>
          </w:p>
        </w:tc>
      </w:tr>
      <w:tr w14:paraId="31AA5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1D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Vin vs ADC_PGSE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DCD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7B1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5FD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7EE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0.654</w:t>
            </w:r>
          </w:p>
        </w:tc>
      </w:tr>
      <w:tr w14:paraId="1037B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BA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Vin vs ADC_Zoomit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EAB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3DD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A89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-0.901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1B8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0.368</w:t>
            </w:r>
          </w:p>
        </w:tc>
      </w:tr>
      <w:tr w14:paraId="38412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52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Dex vs d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D1D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F25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DCC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-2.174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FDB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</w:p>
        </w:tc>
      </w:tr>
      <w:tr w14:paraId="422A9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D2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Dex vs ADC_25Hz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609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4CD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75E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849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0.361</w:t>
            </w:r>
          </w:p>
        </w:tc>
      </w:tr>
      <w:tr w14:paraId="245ED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4C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Dex vs ADC_50Hz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0EF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266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8F5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5CE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0.318</w:t>
            </w:r>
          </w:p>
        </w:tc>
      </w:tr>
      <w:tr w14:paraId="19367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4E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Dex vs ADC_PGSE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A5F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B8F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E98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437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0.486</w:t>
            </w:r>
          </w:p>
        </w:tc>
      </w:tr>
      <w:tr w14:paraId="552B1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79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Dex vs ADC_Zoomit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75E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8B7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F95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-0.44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3B9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</w:t>
            </w:r>
          </w:p>
        </w:tc>
      </w:tr>
      <w:tr w14:paraId="785D5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AB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 vs Cellularity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27C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806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0.632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AA9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971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0.094</w:t>
            </w:r>
          </w:p>
        </w:tc>
      </w:tr>
      <w:tr w14:paraId="2CEC6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229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 vs ADC_25Hz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B05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D2F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7D4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FFA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0.146</w:t>
            </w:r>
          </w:p>
        </w:tc>
      </w:tr>
      <w:tr w14:paraId="518E8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EE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 vs ADC_50Hz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54D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0D6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0.655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F13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4C0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0.123</w:t>
            </w:r>
          </w:p>
        </w:tc>
      </w:tr>
      <w:tr w14:paraId="053DD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6B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 vs ADC_PGSE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08C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7CB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3DD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F0D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0.227</w:t>
            </w:r>
          </w:p>
        </w:tc>
      </w:tr>
      <w:tr w14:paraId="78D68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91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 vs ADC_Zoomit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2F1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E5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0E5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5F0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0.934</w:t>
            </w:r>
          </w:p>
        </w:tc>
      </w:tr>
      <w:tr w14:paraId="21878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B6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ADC_Zoomit vs ADC_25Hz 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AF4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A4B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563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DB1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</w:tr>
      <w:tr w14:paraId="175FE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CE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ADC_Zoomit vs ADC_50Hz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ED8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2D4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6C5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C46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</w:tr>
      <w:tr w14:paraId="7732F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8C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ADC_Zoomit vs ADC_PGSE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8B2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43A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0.808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6AA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3.012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D85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</w:p>
        </w:tc>
      </w:tr>
      <w:tr w14:paraId="4C129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6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331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ADC_Zoomit vs Cellularity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65C6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0.632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C7C0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0.808</w:t>
            </w:r>
          </w:p>
        </w:tc>
        <w:tc>
          <w:tcPr>
            <w:tcW w:w="169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4C6B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1.894</w:t>
            </w:r>
          </w:p>
        </w:tc>
        <w:tc>
          <w:tcPr>
            <w:tcW w:w="152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34C5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0.058</w:t>
            </w:r>
          </w:p>
        </w:tc>
      </w:tr>
    </w:tbl>
    <w:p w14:paraId="35DD4390">
      <w:pP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1"/>
          <w14:textFill>
            <w14:solidFill>
              <w14:schemeClr w14:val="tx1"/>
            </w14:solidFill>
          </w14:textFill>
        </w:rPr>
      </w:pPr>
    </w:p>
    <w:p w14:paraId="465F29D9">
      <w:pP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1"/>
          <w14:textFill>
            <w14:solidFill>
              <w14:schemeClr w14:val="tx1"/>
            </w14:solidFill>
          </w14:textFill>
        </w:rPr>
      </w:pPr>
    </w:p>
    <w:tbl>
      <w:tblPr>
        <w:tblW w:w="9210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2490"/>
        <w:gridCol w:w="4482"/>
      </w:tblGrid>
      <w:tr w14:paraId="2308A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9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93AF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Supplementary Table S4.</w:t>
            </w:r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Feature coefficients of the combined logistic regression model.</w:t>
            </w:r>
          </w:p>
        </w:tc>
      </w:tr>
      <w:tr w14:paraId="657AE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top"/>
          </w:tcPr>
          <w:p w14:paraId="64E4CC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Feature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top"/>
          </w:tcPr>
          <w:p w14:paraId="2B5DAF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Regression Coefficient</w:t>
            </w:r>
          </w:p>
        </w:tc>
        <w:tc>
          <w:tcPr>
            <w:tcW w:w="403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top"/>
          </w:tcPr>
          <w:p w14:paraId="6C22A1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Absolute Coefficient</w:t>
            </w:r>
          </w:p>
        </w:tc>
      </w:tr>
      <w:tr w14:paraId="048B8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2453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BI_RADS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53D3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1.189275639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4A04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1.189275639</w:t>
            </w:r>
          </w:p>
        </w:tc>
      </w:tr>
      <w:tr w14:paraId="274FA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D6CF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DWI_signal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AD0EF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-0.922204769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13B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0.922204769</w:t>
            </w:r>
          </w:p>
        </w:tc>
      </w:tr>
      <w:tr w14:paraId="7730E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0B17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36DC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0.763788724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A4C5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0.763788724</w:t>
            </w:r>
          </w:p>
        </w:tc>
      </w:tr>
      <w:tr w14:paraId="06734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0F3D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edema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DE6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0.720224652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E1C7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0.720224652</w:t>
            </w:r>
          </w:p>
        </w:tc>
      </w:tr>
      <w:tr w14:paraId="33DBC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FE8C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ADC_Zoomit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3719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-0.618989834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1DE3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0.618989834</w:t>
            </w:r>
          </w:p>
        </w:tc>
      </w:tr>
      <w:tr w14:paraId="12129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085F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5D77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0.544767808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6AA9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0.544767808</w:t>
            </w:r>
          </w:p>
        </w:tc>
      </w:tr>
      <w:tr w14:paraId="11EF7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67147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E255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0.512591623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127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0.512591623</w:t>
            </w:r>
          </w:p>
        </w:tc>
      </w:tr>
      <w:tr w14:paraId="1ECC5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9596D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morphology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8DAB0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0.472745918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36C6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0.472745918</w:t>
            </w:r>
          </w:p>
        </w:tc>
      </w:tr>
      <w:tr w14:paraId="5039E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458C5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AC7D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0.424681439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C7DB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0.424681439</w:t>
            </w:r>
          </w:p>
        </w:tc>
      </w:tr>
      <w:tr w14:paraId="36049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740E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ED3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-0.376606845</w:t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323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0.376606845</w:t>
            </w:r>
          </w:p>
        </w:tc>
      </w:tr>
      <w:tr w14:paraId="7099A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bottom"/>
          </w:tcPr>
          <w:p w14:paraId="097A6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Maximum_diameter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bottom"/>
          </w:tcPr>
          <w:p w14:paraId="7A595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0.062458282</w:t>
            </w:r>
          </w:p>
        </w:tc>
        <w:tc>
          <w:tcPr>
            <w:tcW w:w="403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bottom"/>
          </w:tcPr>
          <w:p w14:paraId="185B8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0.062458282</w:t>
            </w:r>
          </w:p>
        </w:tc>
      </w:tr>
    </w:tbl>
    <w:p w14:paraId="69632395">
      <w:pP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1"/>
          <w14:textFill>
            <w14:solidFill>
              <w14:schemeClr w14:val="tx1"/>
            </w14:solidFill>
          </w14:textFill>
        </w:rPr>
      </w:pPr>
    </w:p>
    <w:p w14:paraId="73C815B9">
      <w:pP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2405" cy="4042410"/>
            <wp:effectExtent l="0" t="0" r="4445" b="5715"/>
            <wp:docPr id="1" name="图片 1" descr="roc_compari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oc_compariso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4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DFFC3">
      <w:pP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Supplementary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Fig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1. ROC curve comparison of logistic regression models. ROC curves comparing the diagnostic performance of the combined logistic regression model, the multivariable model based on diffusion-derived parameters, and individual univariable models derived from clinical and imaging features. The combined model demonstrated the highest diagnostic performance. The dashed diagonal line represents the performance of a random classifier.</w:t>
      </w:r>
    </w:p>
    <w:p w14:paraId="4BC01569">
      <w:pP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1DA906B4">
      <w:pP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4B0A6659">
      <w:pP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656E2F3D">
      <w:pP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38B09337">
      <w:pP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48B216CB">
      <w:pP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6ABDDE89">
      <w:pP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59D93D1E">
      <w:pP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2CC0570C">
      <w:pPr>
        <w:keepNext w:val="0"/>
        <w:keepLines w:val="0"/>
        <w:widowControl/>
        <w:suppressLineNumbers w:val="0"/>
        <w:snapToGrid w:val="0"/>
        <w:ind w:left="0" w:leftChars="0" w:right="0" w:rightChars="0" w:firstLine="0" w:firstLineChars="0"/>
        <w:jc w:val="left"/>
        <w:textAlignment w:val="center"/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809490" cy="4186555"/>
            <wp:effectExtent l="0" t="0" r="635" b="4445"/>
            <wp:docPr id="2" name="图片 2" descr="performance_comparison_radar_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performance_comparison_radar_chart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09490" cy="418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0A622">
      <w:pPr>
        <w:keepNext w:val="0"/>
        <w:keepLines w:val="0"/>
        <w:widowControl/>
        <w:suppressLineNumbers w:val="0"/>
        <w:snapToGrid w:val="0"/>
        <w:ind w:left="0" w:leftChars="0" w:right="0" w:rightChars="0" w:firstLine="0" w:firstLineChars="0"/>
        <w:jc w:val="left"/>
        <w:textAlignment w:val="center"/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6CF9919F">
      <w:pPr>
        <w:keepNext w:val="0"/>
        <w:keepLines w:val="0"/>
        <w:widowControl/>
        <w:suppressLineNumbers w:val="0"/>
        <w:snapToGrid w:val="0"/>
        <w:ind w:left="0" w:leftChars="0" w:right="0" w:rightChars="0" w:firstLine="0" w:firstLineChars="0"/>
        <w:jc w:val="left"/>
        <w:textAlignment w:val="center"/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0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2088C957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Supplementary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Fig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2.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Radar chart comparing the performance metrics of different logistic regression models.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Radar plot showing the comparison of diagnostic performance metrics among the combined logistic regression model, the multivariable logistic regression model based on diffusion-derived parameters, and selected top-performing univariable models (TIC, BI-RADS, and DWI signal). The evaluated metrics include accuracy, precision, recall, F1 score, sensitivity, specificity, and AUC. The combined model integrating clinical/imaging features and diffusion-derived parameters achieved the highest overall performance.</w:t>
      </w:r>
    </w:p>
    <w:p w14:paraId="22221027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2D6C5D28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drawing>
          <wp:inline distT="0" distB="0" distL="114300" distR="114300">
            <wp:extent cx="5264785" cy="4890135"/>
            <wp:effectExtent l="0" t="0" r="2540" b="5715"/>
            <wp:docPr id="7" name="图片 7" descr="94044f733b919c28a674704c9a032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4044f733b919c28a674704c9a0322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48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1AC95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Supplementary Fig. S3. Correlation heatmap of selected clinical, conventional MRI, and diffusion-derived parameters included in the combined model. Warmer colors indicate stronger positive correlations between variables.</w:t>
      </w:r>
    </w:p>
    <w:p w14:paraId="290FF34B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A0C7F2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drawing>
          <wp:inline distT="0" distB="0" distL="114300" distR="114300">
            <wp:extent cx="4410710" cy="2748915"/>
            <wp:effectExtent l="0" t="0" r="8890" b="3810"/>
            <wp:docPr id="4" name="图片 3" descr="9d676387456152561aa242b0c670a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9d676387456152561aa242b0c670a2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1071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0E10E">
      <w:pP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Supplementary Fig. 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. Relative contribution of selected features in the combined logistic regression model based on absolute regression coefficients.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E49E3"/>
    <w:rsid w:val="02D271A1"/>
    <w:rsid w:val="25610E28"/>
    <w:rsid w:val="25C47481"/>
    <w:rsid w:val="2E9F5C62"/>
    <w:rsid w:val="2EAE2E0C"/>
    <w:rsid w:val="346335F4"/>
    <w:rsid w:val="456E4075"/>
    <w:rsid w:val="546E63C3"/>
    <w:rsid w:val="554B1C6F"/>
    <w:rsid w:val="7ADF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GB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../NUL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429</Words>
  <Characters>2523</Characters>
  <Lines>0</Lines>
  <Paragraphs>0</Paragraphs>
  <TotalTime>101</TotalTime>
  <ScaleCrop>false</ScaleCrop>
  <LinksUpToDate>false</LinksUpToDate>
  <CharactersWithSpaces>2756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2026-03-03T14:29:00Z</dcterms:created>
  <dc:creator>PC</dc:creator>
  <cp:lastModifiedBy>Dr</cp:lastModifiedBy>
  <dcterms:modified xsi:type="dcterms:W3CDTF">2026-05-08T02:08:48Z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eyJoZGlkIjoiMzEwNTM5NzYwMDRjMzkwZTVkZjY2ODkwMGIxNGU0OTUiLCJ1c2VySWQiOiIzMjkwNTkyNjAifQ==</vt:lpwstr>
  </property>
  <property fmtid="{D5CDD505-2E9C-101B-9397-08002B2CF9AE}" pid="4" name="ICV">
    <vt:lpwstr>BFAC2E7BBC9A48E0A9D366CAE1228558_12</vt:lpwstr>
  </property>
</Properties>
</file>