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587FE">
      <w:pPr>
        <w:spacing w:line="48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Supplementary</w:t>
      </w:r>
    </w:p>
    <w:p w14:paraId="124A9674">
      <w:pPr>
        <w:adjustRightInd w:val="0"/>
        <w:snapToGrid w:val="0"/>
        <w:spacing w:line="480" w:lineRule="auto"/>
        <w:rPr>
          <w:rFonts w:ascii="Times New Roman" w:hAnsi="Times New Roman" w:cs="Times New Roman"/>
          <w:sz w:val="28"/>
          <w:szCs w:val="21"/>
        </w:rPr>
      </w:pPr>
      <w:r>
        <w:rPr>
          <w:rFonts w:ascii="Times New Roman" w:hAnsi="Times New Roman" w:cs="Times New Roman"/>
          <w:b/>
          <w:sz w:val="28"/>
          <w:szCs w:val="21"/>
        </w:rPr>
        <w:t>Detailed CT imaging protocols</w:t>
      </w:r>
      <w:r>
        <w:rPr>
          <w:rFonts w:ascii="Times New Roman" w:hAnsi="Times New Roman" w:cs="Times New Roman"/>
          <w:sz w:val="28"/>
          <w:szCs w:val="21"/>
        </w:rPr>
        <w:t xml:space="preserve"> </w:t>
      </w:r>
    </w:p>
    <w:p w14:paraId="527A8B26">
      <w:pPr>
        <w:adjustRightInd w:val="0"/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</w:p>
    <w:p w14:paraId="423914AF">
      <w:pPr>
        <w:numPr>
          <w:ilvl w:val="0"/>
          <w:numId w:val="1"/>
        </w:num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 xml:space="preserve">Preparation before scanning: </w:t>
      </w:r>
    </w:p>
    <w:p w14:paraId="22DB5C49">
      <w:pPr>
        <w:adjustRightInd w:val="0"/>
        <w:snapToGrid w:val="0"/>
        <w:spacing w:line="480" w:lineRule="auto"/>
        <w:ind w:left="420" w:leftChars="200"/>
        <w:rPr>
          <w:rFonts w:ascii="Times New Roman" w:hAnsi="Times New Roman" w:cs="Times New Roman"/>
          <w:sz w:val="24"/>
          <w:szCs w:val="20"/>
        </w:rPr>
      </w:pPr>
      <w:r>
        <w:rPr>
          <w:rFonts w:hint="eastAsia" w:ascii="Times New Roman" w:hAnsi="Times New Roman" w:cs="Times New Roman"/>
          <w:sz w:val="24"/>
          <w:szCs w:val="20"/>
        </w:rPr>
        <w:t>P</w:t>
      </w:r>
      <w:r>
        <w:rPr>
          <w:rFonts w:ascii="Times New Roman" w:hAnsi="Times New Roman" w:cs="Times New Roman"/>
          <w:sz w:val="24"/>
          <w:szCs w:val="20"/>
        </w:rPr>
        <w:t>atients were trained to hold their breath before scanning.</w:t>
      </w:r>
    </w:p>
    <w:p w14:paraId="547026C6">
      <w:pPr>
        <w:widowControl/>
        <w:numPr>
          <w:ilvl w:val="0"/>
          <w:numId w:val="1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>The position and mode of scanning: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</w:p>
    <w:p w14:paraId="6D8C53FE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hint="eastAsia" w:ascii="Times New Roman" w:hAnsi="Times New Roman" w:cs="Times New Roman"/>
          <w:sz w:val="24"/>
          <w:szCs w:val="20"/>
        </w:rPr>
        <w:t>S</w:t>
      </w:r>
      <w:r>
        <w:rPr>
          <w:rFonts w:ascii="Times New Roman" w:hAnsi="Times New Roman" w:cs="Times New Roman"/>
          <w:sz w:val="24"/>
          <w:szCs w:val="20"/>
        </w:rPr>
        <w:t>upine position, hands holding head, cross-sectional spiral scanning.</w:t>
      </w:r>
    </w:p>
    <w:p w14:paraId="3B7F1DDA">
      <w:pPr>
        <w:widowControl/>
        <w:numPr>
          <w:ilvl w:val="0"/>
          <w:numId w:val="1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>Scanning angle:</w:t>
      </w:r>
    </w:p>
    <w:p w14:paraId="16A9014D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90 degrees right angle to the CT scanning bed.</w:t>
      </w:r>
    </w:p>
    <w:p w14:paraId="6CA396ED">
      <w:pPr>
        <w:widowControl/>
        <w:numPr>
          <w:ilvl w:val="0"/>
          <w:numId w:val="1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>Scanning range: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</w:p>
    <w:p w14:paraId="5AE1E587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hint="eastAsia" w:ascii="Times New Roman" w:hAnsi="Times New Roman" w:cs="Times New Roman"/>
          <w:sz w:val="24"/>
          <w:szCs w:val="20"/>
        </w:rPr>
        <w:t>F</w:t>
      </w:r>
      <w:r>
        <w:rPr>
          <w:rFonts w:ascii="Times New Roman" w:hAnsi="Times New Roman" w:cs="Times New Roman"/>
          <w:sz w:val="24"/>
          <w:szCs w:val="20"/>
        </w:rPr>
        <w:t>rom the tip of the lung to the bottom of the lung.</w:t>
      </w:r>
    </w:p>
    <w:p w14:paraId="272F4762">
      <w:pPr>
        <w:widowControl/>
        <w:numPr>
          <w:ilvl w:val="0"/>
          <w:numId w:val="1"/>
        </w:numPr>
        <w:snapToGrid w:val="0"/>
        <w:spacing w:line="480" w:lineRule="auto"/>
        <w:textAlignment w:val="baseline"/>
        <w:rPr>
          <w:rFonts w:ascii="Times New Roman Bold" w:hAnsi="Times New Roman Bold" w:cs="Times New Roman Bold"/>
          <w:b/>
          <w:bCs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 xml:space="preserve">Scanners: </w:t>
      </w:r>
    </w:p>
    <w:p w14:paraId="5BD23E2F">
      <w:pPr>
        <w:widowControl/>
        <w:numPr>
          <w:ilvl w:val="0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  <w:u w:val="single"/>
        </w:rPr>
        <w:t>Primary center:</w:t>
      </w:r>
      <w:r>
        <w:rPr>
          <w:rFonts w:hint="eastAsia" w:ascii="Times New Roman" w:hAnsi="Times New Roman" w:cs="Times New Roman"/>
          <w:sz w:val="24"/>
          <w:szCs w:val="20"/>
        </w:rPr>
        <w:t xml:space="preserve"> </w:t>
      </w:r>
    </w:p>
    <w:p w14:paraId="2BA88B22">
      <w:pPr>
        <w:widowControl/>
        <w:numPr>
          <w:ilvl w:val="1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kern w:val="0"/>
          <w:sz w:val="24"/>
          <w:szCs w:val="20"/>
        </w:rPr>
        <w:t>Ingenuity 64 (Philips Healthcare, Best, The Netherlands)</w:t>
      </w:r>
    </w:p>
    <w:p w14:paraId="7BEE6D11">
      <w:pPr>
        <w:widowControl/>
        <w:numPr>
          <w:ilvl w:val="1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kern w:val="0"/>
          <w:sz w:val="24"/>
          <w:szCs w:val="20"/>
        </w:rPr>
        <w:t>Sensation 16 (Siemens Medical Solutions, Forchheim, Germany)</w:t>
      </w:r>
    </w:p>
    <w:p w14:paraId="04DB1D97">
      <w:pPr>
        <w:widowControl/>
        <w:numPr>
          <w:ilvl w:val="1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kern w:val="0"/>
          <w:sz w:val="24"/>
          <w:szCs w:val="20"/>
        </w:rPr>
        <w:t xml:space="preserve">SOMATOM Definition Flash </w:t>
      </w:r>
      <w:r>
        <w:rPr>
          <w:rFonts w:ascii="Times New Roman" w:hAnsi="Times New Roman" w:cs="Times New Roman"/>
          <w:sz w:val="24"/>
          <w:szCs w:val="20"/>
        </w:rPr>
        <w:t>64 (Siemens Medical Solutions, Forchheim, Germany)</w:t>
      </w:r>
    </w:p>
    <w:p w14:paraId="650AD96F">
      <w:pPr>
        <w:widowControl/>
        <w:numPr>
          <w:ilvl w:val="0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  <w:u w:val="single"/>
        </w:rPr>
        <w:t>External center 1: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</w:p>
    <w:p w14:paraId="6C445E46">
      <w:pPr>
        <w:widowControl/>
        <w:numPr>
          <w:ilvl w:val="1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Revolution 256</w:t>
      </w:r>
      <w:r>
        <w:rPr>
          <w:rFonts w:hint="eastAsia"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(GE Healthcare, Boston, U.S.A)</w:t>
      </w:r>
    </w:p>
    <w:p w14:paraId="15E1934D">
      <w:pPr>
        <w:widowControl/>
        <w:numPr>
          <w:ilvl w:val="1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Edge (Siemens Medical Solutions, Forchheim, Germany)</w:t>
      </w:r>
    </w:p>
    <w:p w14:paraId="09DCABCC">
      <w:pPr>
        <w:widowControl/>
        <w:numPr>
          <w:ilvl w:val="1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IQON 64 (Philips Healthcare, Best, The Netherlands).</w:t>
      </w:r>
    </w:p>
    <w:p w14:paraId="71B754C6">
      <w:pPr>
        <w:widowControl/>
        <w:numPr>
          <w:ilvl w:val="0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  <w:u w:val="single"/>
        </w:rPr>
        <w:t xml:space="preserve">External center 2: </w:t>
      </w:r>
    </w:p>
    <w:p w14:paraId="213C1B74">
      <w:pPr>
        <w:widowControl/>
        <w:numPr>
          <w:ilvl w:val="1"/>
          <w:numId w:val="2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Brilliance iCT 256 </w:t>
      </w:r>
      <w:r>
        <w:rPr>
          <w:rFonts w:hint="eastAsia" w:ascii="Times New Roman" w:hAnsi="Times New Roman" w:cs="Times New Roman"/>
          <w:sz w:val="24"/>
          <w:szCs w:val="20"/>
        </w:rPr>
        <w:t>(</w:t>
      </w:r>
      <w:r>
        <w:rPr>
          <w:rFonts w:ascii="Times New Roman" w:hAnsi="Times New Roman" w:cs="Times New Roman"/>
          <w:sz w:val="24"/>
          <w:szCs w:val="20"/>
        </w:rPr>
        <w:t>Philips Healthcare, Best, The Netherlands</w:t>
      </w:r>
      <w:r>
        <w:rPr>
          <w:rFonts w:hint="eastAsia" w:ascii="Times New Roman" w:hAnsi="Times New Roman" w:cs="Times New Roman"/>
          <w:sz w:val="24"/>
          <w:szCs w:val="20"/>
        </w:rPr>
        <w:t>)</w:t>
      </w:r>
      <w:r>
        <w:rPr>
          <w:rFonts w:ascii="Times New Roman" w:hAnsi="Times New Roman" w:cs="Times New Roman"/>
          <w:sz w:val="24"/>
          <w:szCs w:val="20"/>
        </w:rPr>
        <w:t>.</w:t>
      </w:r>
    </w:p>
    <w:p w14:paraId="19F5FDCB">
      <w:pPr>
        <w:widowControl/>
        <w:numPr>
          <w:ilvl w:val="0"/>
          <w:numId w:val="3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 xml:space="preserve">Field of view (FOV): </w:t>
      </w:r>
    </w:p>
    <w:p w14:paraId="0D16279F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35cm*35cm*35cm</w:t>
      </w:r>
      <w:r>
        <w:rPr>
          <w:rFonts w:hint="eastAsia" w:ascii="Times New Roman" w:hAnsi="Times New Roman" w:cs="Times New Roman"/>
          <w:sz w:val="24"/>
          <w:szCs w:val="20"/>
        </w:rPr>
        <w:t>~</w:t>
      </w:r>
      <w:r>
        <w:rPr>
          <w:rFonts w:ascii="Times New Roman" w:hAnsi="Times New Roman" w:cs="Times New Roman"/>
          <w:sz w:val="24"/>
          <w:szCs w:val="20"/>
        </w:rPr>
        <w:t>40cm*40cm*40cm, depending on the shape of the patient, the skin of the chest wall should be included.</w:t>
      </w:r>
    </w:p>
    <w:p w14:paraId="25FAAE31">
      <w:pPr>
        <w:widowControl/>
        <w:numPr>
          <w:ilvl w:val="0"/>
          <w:numId w:val="3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>Scanning parameters:</w:t>
      </w:r>
      <w:r>
        <w:rPr>
          <w:rFonts w:hint="eastAsia" w:ascii="Times New Roman Bold" w:hAnsi="Times New Roman Bold" w:cs="Times New Roman Bold"/>
          <w:b/>
          <w:bCs/>
          <w:sz w:val="24"/>
          <w:szCs w:val="20"/>
        </w:rPr>
        <w:t xml:space="preserve"> </w:t>
      </w:r>
    </w:p>
    <w:p w14:paraId="1CF966D1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hint="eastAsia" w:ascii="Times New Roman" w:hAnsi="Times New Roman" w:cs="Times New Roman"/>
          <w:sz w:val="24"/>
          <w:szCs w:val="20"/>
        </w:rPr>
        <w:t>S</w:t>
      </w:r>
      <w:r>
        <w:rPr>
          <w:rFonts w:ascii="Times New Roman" w:hAnsi="Times New Roman" w:cs="Times New Roman"/>
          <w:sz w:val="24"/>
          <w:szCs w:val="20"/>
        </w:rPr>
        <w:t>lice thickness</w:t>
      </w:r>
      <w:r>
        <w:rPr>
          <w:rFonts w:hint="eastAsia" w:ascii="Times New Roman" w:hAnsi="Times New Roman" w:cs="Times New Roman"/>
          <w:sz w:val="24"/>
          <w:szCs w:val="20"/>
        </w:rPr>
        <w:t xml:space="preserve">: </w:t>
      </w:r>
      <w:r>
        <w:rPr>
          <w:rFonts w:ascii="Times New Roman" w:hAnsi="Times New Roman" w:cs="Times New Roman"/>
          <w:sz w:val="24"/>
          <w:szCs w:val="20"/>
        </w:rPr>
        <w:t>1mm-3mm</w:t>
      </w:r>
      <w:r>
        <w:rPr>
          <w:rFonts w:hint="eastAsia" w:ascii="Times New Roman" w:hAnsi="Times New Roman" w:cs="Times New Roman"/>
          <w:sz w:val="24"/>
          <w:szCs w:val="20"/>
        </w:rPr>
        <w:t>; gap:</w:t>
      </w:r>
      <w:r>
        <w:rPr>
          <w:rFonts w:ascii="Times New Roman" w:hAnsi="Times New Roman" w:cs="Times New Roman"/>
          <w:sz w:val="24"/>
          <w:szCs w:val="20"/>
        </w:rPr>
        <w:t xml:space="preserve"> 1-3mm; matrix</w:t>
      </w:r>
      <w:r>
        <w:rPr>
          <w:rFonts w:hint="eastAsia" w:ascii="Times New Roman" w:hAnsi="Times New Roman" w:cs="Times New Roman"/>
          <w:sz w:val="24"/>
          <w:szCs w:val="20"/>
        </w:rPr>
        <w:t xml:space="preserve">: </w:t>
      </w:r>
      <w:r>
        <w:rPr>
          <w:rFonts w:ascii="Times New Roman" w:hAnsi="Times New Roman" w:cs="Times New Roman"/>
          <w:sz w:val="24"/>
          <w:szCs w:val="20"/>
        </w:rPr>
        <w:t>512 × 512</w:t>
      </w:r>
      <w:r>
        <w:rPr>
          <w:rFonts w:hint="eastAsia" w:ascii="Times New Roman" w:hAnsi="Times New Roman" w:cs="Times New Roman"/>
          <w:sz w:val="24"/>
          <w:szCs w:val="20"/>
        </w:rPr>
        <w:t>;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hint="eastAsia" w:ascii="Times New Roman" w:hAnsi="Times New Roman" w:cs="Times New Roman"/>
          <w:sz w:val="24"/>
          <w:szCs w:val="20"/>
        </w:rPr>
        <w:t xml:space="preserve">voltage: </w:t>
      </w:r>
      <w:r>
        <w:rPr>
          <w:rFonts w:ascii="Times New Roman" w:hAnsi="Times New Roman" w:cs="Times New Roman"/>
          <w:sz w:val="24"/>
          <w:szCs w:val="20"/>
        </w:rPr>
        <w:t>100-120kV</w:t>
      </w:r>
      <w:r>
        <w:rPr>
          <w:rFonts w:hint="eastAsia" w:ascii="Times New Roman" w:hAnsi="Times New Roman" w:cs="Times New Roman"/>
          <w:sz w:val="24"/>
          <w:szCs w:val="20"/>
        </w:rPr>
        <w:t>;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hint="eastAsia" w:ascii="Times New Roman" w:hAnsi="Times New Roman" w:cs="Times New Roman"/>
          <w:sz w:val="24"/>
          <w:szCs w:val="20"/>
        </w:rPr>
        <w:t xml:space="preserve">electric current: </w:t>
      </w:r>
      <w:r>
        <w:rPr>
          <w:rFonts w:ascii="Times New Roman" w:hAnsi="Times New Roman" w:cs="Times New Roman"/>
          <w:sz w:val="24"/>
          <w:szCs w:val="20"/>
        </w:rPr>
        <w:t>automatic mA (100-300mA)</w:t>
      </w:r>
      <w:r>
        <w:rPr>
          <w:rFonts w:hint="eastAsia" w:ascii="Times New Roman" w:hAnsi="Times New Roman" w:cs="Times New Roman"/>
          <w:sz w:val="24"/>
          <w:szCs w:val="20"/>
        </w:rPr>
        <w:t xml:space="preserve">; revolutions: </w:t>
      </w:r>
      <w:r>
        <w:rPr>
          <w:rFonts w:ascii="Times New Roman" w:hAnsi="Times New Roman" w:cs="Times New Roman"/>
          <w:sz w:val="24"/>
          <w:szCs w:val="20"/>
        </w:rPr>
        <w:t>0.5-1.0s/r.</w:t>
      </w:r>
    </w:p>
    <w:p w14:paraId="26EA31AD">
      <w:pPr>
        <w:widowControl/>
        <w:numPr>
          <w:ilvl w:val="0"/>
          <w:numId w:val="3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>Reconstruction algorithm: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</w:p>
    <w:p w14:paraId="018073D9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hint="eastAsia" w:ascii="Times New Roman" w:hAnsi="Times New Roman" w:cs="Times New Roman"/>
          <w:sz w:val="24"/>
          <w:szCs w:val="20"/>
        </w:rPr>
        <w:t>H</w:t>
      </w:r>
      <w:r>
        <w:rPr>
          <w:rFonts w:ascii="Times New Roman" w:hAnsi="Times New Roman" w:cs="Times New Roman"/>
          <w:sz w:val="24"/>
          <w:szCs w:val="20"/>
        </w:rPr>
        <w:t>igh resolution algorithm.</w:t>
      </w:r>
    </w:p>
    <w:p w14:paraId="37E8EF93">
      <w:pPr>
        <w:widowControl/>
        <w:numPr>
          <w:ilvl w:val="0"/>
          <w:numId w:val="3"/>
        </w:numPr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 Bold" w:hAnsi="Times New Roman Bold" w:cs="Times New Roman Bold"/>
          <w:b/>
          <w:bCs/>
          <w:sz w:val="24"/>
          <w:szCs w:val="20"/>
        </w:rPr>
        <w:t>Observation parameters: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</w:p>
    <w:p w14:paraId="7E3BA687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hint="eastAsia" w:ascii="Times New Roman" w:hAnsi="Times New Roman" w:cs="Times New Roman"/>
          <w:sz w:val="24"/>
          <w:szCs w:val="20"/>
        </w:rPr>
        <w:t>L</w:t>
      </w:r>
      <w:r>
        <w:rPr>
          <w:rFonts w:ascii="Times New Roman" w:hAnsi="Times New Roman" w:cs="Times New Roman"/>
          <w:sz w:val="24"/>
          <w:szCs w:val="20"/>
        </w:rPr>
        <w:t>ung window width: 1600-2000 HU, lung window level: -800- -600 HU.</w:t>
      </w:r>
    </w:p>
    <w:p w14:paraId="0CA9DF01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32ABBBD7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70556054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055FB99D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9C299D6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4781896F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1F5CA144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6864D3D5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39975B76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33DE4114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26454C6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CD5B97B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25C03B3C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3CAA76CC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2EED5979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23F5149D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75CF0CD8">
      <w:pPr>
        <w:spacing w:line="480" w:lineRule="auto"/>
        <w:jc w:val="left"/>
        <w:rPr>
          <w:rFonts w:hint="eastAsia" w:ascii="Times New Roman" w:hAnsi="Times New Roman"/>
          <w:kern w:val="2"/>
          <w:sz w:val="24"/>
          <w:lang w:val="en-US" w:eastAsia="zh-CN"/>
        </w:rPr>
      </w:pPr>
      <w:r>
        <w:rPr>
          <w:rFonts w:ascii="Times New Roman" w:hAnsi="Times New Roman"/>
          <w:kern w:val="2"/>
          <w:sz w:val="24"/>
        </w:rPr>
        <w:t xml:space="preserve">Table </w:t>
      </w:r>
      <w:r>
        <w:rPr>
          <w:rFonts w:hint="eastAsia" w:ascii="Times New Roman" w:hAnsi="Times New Roman"/>
          <w:kern w:val="2"/>
          <w:sz w:val="24"/>
          <w:lang w:val="en-US" w:eastAsia="zh-CN"/>
        </w:rPr>
        <w:t>S</w:t>
      </w:r>
      <w:r>
        <w:rPr>
          <w:rFonts w:ascii="Times New Roman" w:hAnsi="Times New Roman"/>
          <w:kern w:val="2"/>
          <w:sz w:val="24"/>
        </w:rPr>
        <w:t>1: Characteristics in the primary cohort and two external validation cohorts</w:t>
      </w:r>
      <w:r>
        <w:rPr>
          <w:rFonts w:hint="eastAsia" w:ascii="Times New Roman" w:hAnsi="Times New Roman"/>
          <w:kern w:val="2"/>
          <w:sz w:val="24"/>
          <w:lang w:val="en-US" w:eastAsia="zh-CN"/>
        </w:rPr>
        <w:t xml:space="preserve"> for </w:t>
      </w:r>
    </w:p>
    <w:p w14:paraId="481FE477">
      <w:pPr>
        <w:widowControl/>
        <w:snapToGrid w:val="0"/>
        <w:spacing w:line="480" w:lineRule="auto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benign nodules</w:t>
      </w:r>
    </w:p>
    <w:tbl>
      <w:tblPr>
        <w:tblStyle w:val="17"/>
        <w:tblW w:w="8505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1556"/>
        <w:gridCol w:w="1744"/>
        <w:gridCol w:w="1710"/>
        <w:gridCol w:w="1672"/>
      </w:tblGrid>
      <w:tr w14:paraId="684B83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823" w:type="dxa"/>
            <w:tcBorders>
              <w:top w:val="single" w:color="auto" w:sz="4" w:space="0"/>
              <w:bottom w:val="single" w:color="000000" w:sz="4" w:space="0"/>
            </w:tcBorders>
          </w:tcPr>
          <w:p w14:paraId="49294216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1556" w:type="dxa"/>
            <w:tcBorders>
              <w:top w:val="single" w:color="auto" w:sz="4" w:space="0"/>
              <w:bottom w:val="single" w:color="000000" w:sz="4" w:space="0"/>
            </w:tcBorders>
          </w:tcPr>
          <w:p w14:paraId="60FAEAF7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PTC</w:t>
            </w:r>
            <w:r>
              <w:rPr>
                <w:rFonts w:ascii="IBM Plex Sans" w:hAnsi="IBM Plex Sans"/>
                <w:color w:val="212529"/>
                <w:kern w:val="2"/>
                <w:sz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4"/>
              </w:rPr>
              <w:t>*</w:t>
            </w:r>
          </w:p>
          <w:p w14:paraId="1FCFE06C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(n=954)</w:t>
            </w:r>
          </w:p>
        </w:tc>
        <w:tc>
          <w:tcPr>
            <w:tcW w:w="1744" w:type="dxa"/>
            <w:tcBorders>
              <w:top w:val="single" w:color="auto" w:sz="4" w:space="0"/>
              <w:bottom w:val="single" w:color="000000" w:sz="4" w:space="0"/>
            </w:tcBorders>
          </w:tcPr>
          <w:p w14:paraId="690DA9FE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IVC</w:t>
            </w:r>
            <w:r>
              <w:rPr>
                <w:rFonts w:ascii="IBM Plex Sans" w:hAnsi="IBM Plex Sans"/>
                <w:color w:val="212529"/>
                <w:kern w:val="2"/>
                <w:sz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4"/>
              </w:rPr>
              <w:t>†</w:t>
            </w:r>
          </w:p>
          <w:p w14:paraId="494ED1EB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(n=240)</w:t>
            </w:r>
          </w:p>
        </w:tc>
        <w:tc>
          <w:tcPr>
            <w:tcW w:w="1710" w:type="dxa"/>
            <w:tcBorders>
              <w:top w:val="single" w:color="auto" w:sz="4" w:space="0"/>
              <w:bottom w:val="single" w:color="000000" w:sz="4" w:space="0"/>
            </w:tcBorders>
          </w:tcPr>
          <w:p w14:paraId="6112DA98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EVC1‡</w:t>
            </w:r>
          </w:p>
          <w:p w14:paraId="4FD12D00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(n=101)</w:t>
            </w:r>
          </w:p>
        </w:tc>
        <w:tc>
          <w:tcPr>
            <w:tcW w:w="1672" w:type="dxa"/>
            <w:tcBorders>
              <w:top w:val="single" w:color="auto" w:sz="4" w:space="0"/>
              <w:bottom w:val="single" w:color="000000" w:sz="4" w:space="0"/>
            </w:tcBorders>
          </w:tcPr>
          <w:p w14:paraId="2D9EEBE1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EVC2§</w:t>
            </w:r>
          </w:p>
          <w:p w14:paraId="396A4FE6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(n=40)</w:t>
            </w:r>
          </w:p>
        </w:tc>
      </w:tr>
      <w:tr w14:paraId="23704D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823" w:type="dxa"/>
            <w:tcBorders>
              <w:top w:val="single" w:color="000000" w:sz="4" w:space="0"/>
            </w:tcBorders>
            <w:shd w:val="clear" w:color="auto" w:fill="auto"/>
          </w:tcPr>
          <w:p w14:paraId="6741A92A">
            <w:pPr>
              <w:spacing w:line="480" w:lineRule="auto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Age ( years)</w:t>
            </w:r>
          </w:p>
        </w:tc>
        <w:tc>
          <w:tcPr>
            <w:tcW w:w="1556" w:type="dxa"/>
            <w:tcBorders>
              <w:top w:val="single" w:color="000000" w:sz="4" w:space="0"/>
            </w:tcBorders>
            <w:shd w:val="clear" w:color="auto" w:fill="auto"/>
          </w:tcPr>
          <w:p w14:paraId="0DE00925">
            <w:pPr>
              <w:spacing w:line="480" w:lineRule="auto"/>
              <w:ind w:firstLine="120" w:firstLineChars="50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</w:rPr>
              <w:t>5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1.85</w:t>
            </w:r>
            <w:r>
              <w:rPr>
                <w:rFonts w:ascii="Times New Roman" w:hAnsi="Times New Roman"/>
                <w:kern w:val="2"/>
                <w:sz w:val="24"/>
              </w:rPr>
              <w:t>±</w:t>
            </w:r>
            <w:r>
              <w:rPr>
                <w:rFonts w:hint="eastAsia" w:ascii="Times New Roman" w:hAnsi="Times New Roman"/>
                <w:kern w:val="2"/>
                <w:sz w:val="24"/>
              </w:rPr>
              <w:t>1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2.32</w:t>
            </w:r>
          </w:p>
        </w:tc>
        <w:tc>
          <w:tcPr>
            <w:tcW w:w="1744" w:type="dxa"/>
            <w:tcBorders>
              <w:top w:val="single" w:color="000000" w:sz="4" w:space="0"/>
            </w:tcBorders>
            <w:shd w:val="clear" w:color="auto" w:fill="auto"/>
          </w:tcPr>
          <w:p w14:paraId="1B9F2474">
            <w:pPr>
              <w:spacing w:line="480" w:lineRule="auto"/>
              <w:ind w:firstLine="120" w:firstLineChars="50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5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2.46</w:t>
            </w:r>
            <w:r>
              <w:rPr>
                <w:rFonts w:ascii="Times New Roman" w:hAnsi="Times New Roman"/>
                <w:kern w:val="2"/>
                <w:sz w:val="24"/>
              </w:rPr>
              <w:t xml:space="preserve"> ± 1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1.79</w:t>
            </w:r>
          </w:p>
        </w:tc>
        <w:tc>
          <w:tcPr>
            <w:tcW w:w="1710" w:type="dxa"/>
            <w:tcBorders>
              <w:top w:val="single" w:color="000000" w:sz="4" w:space="0"/>
            </w:tcBorders>
            <w:shd w:val="clear" w:color="auto" w:fill="auto"/>
          </w:tcPr>
          <w:p w14:paraId="3218485B">
            <w:pPr>
              <w:spacing w:line="480" w:lineRule="auto"/>
              <w:ind w:firstLine="240" w:firstLineChars="100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</w:rPr>
              <w:t>5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1.21</w:t>
            </w:r>
            <w:r>
              <w:rPr>
                <w:rFonts w:ascii="Times New Roman" w:hAnsi="Times New Roman"/>
                <w:kern w:val="2"/>
                <w:sz w:val="24"/>
              </w:rPr>
              <w:t>±</w:t>
            </w:r>
            <w:r>
              <w:rPr>
                <w:rFonts w:hint="eastAsia" w:ascii="Times New Roman" w:hAnsi="Times New Roman"/>
                <w:kern w:val="2"/>
                <w:sz w:val="24"/>
              </w:rPr>
              <w:t>1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5.31</w:t>
            </w:r>
          </w:p>
        </w:tc>
        <w:tc>
          <w:tcPr>
            <w:tcW w:w="1672" w:type="dxa"/>
            <w:tcBorders>
              <w:top w:val="single" w:color="000000" w:sz="4" w:space="0"/>
            </w:tcBorders>
            <w:shd w:val="clear" w:color="auto" w:fill="auto"/>
          </w:tcPr>
          <w:p w14:paraId="1A5E2C30">
            <w:pPr>
              <w:spacing w:line="480" w:lineRule="auto"/>
              <w:ind w:firstLine="120" w:firstLineChars="50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54.07</w:t>
            </w:r>
            <w:r>
              <w:rPr>
                <w:rFonts w:ascii="Times New Roman" w:hAnsi="Times New Roman"/>
                <w:kern w:val="2"/>
                <w:sz w:val="24"/>
              </w:rPr>
              <w:t xml:space="preserve"> ± 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12.96</w:t>
            </w:r>
          </w:p>
        </w:tc>
      </w:tr>
      <w:tr w14:paraId="558F96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823" w:type="dxa"/>
          </w:tcPr>
          <w:p w14:paraId="0DFBFC48">
            <w:pPr>
              <w:spacing w:line="480" w:lineRule="auto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Gender</w:t>
            </w:r>
          </w:p>
        </w:tc>
        <w:tc>
          <w:tcPr>
            <w:tcW w:w="1556" w:type="dxa"/>
          </w:tcPr>
          <w:p w14:paraId="588F8439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1744" w:type="dxa"/>
          </w:tcPr>
          <w:p w14:paraId="7B49E3CD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1710" w:type="dxa"/>
          </w:tcPr>
          <w:p w14:paraId="3197C0C3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</w:p>
        </w:tc>
        <w:tc>
          <w:tcPr>
            <w:tcW w:w="1672" w:type="dxa"/>
          </w:tcPr>
          <w:p w14:paraId="462353CF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</w:p>
        </w:tc>
      </w:tr>
      <w:tr w14:paraId="1C928E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823" w:type="dxa"/>
          </w:tcPr>
          <w:p w14:paraId="04B83D6D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Male</w:t>
            </w:r>
          </w:p>
        </w:tc>
        <w:tc>
          <w:tcPr>
            <w:tcW w:w="1556" w:type="dxa"/>
          </w:tcPr>
          <w:p w14:paraId="43DE13BD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478</w:t>
            </w:r>
          </w:p>
        </w:tc>
        <w:tc>
          <w:tcPr>
            <w:tcW w:w="1744" w:type="dxa"/>
          </w:tcPr>
          <w:p w14:paraId="7CF7B455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108</w:t>
            </w:r>
          </w:p>
        </w:tc>
        <w:tc>
          <w:tcPr>
            <w:tcW w:w="1710" w:type="dxa"/>
          </w:tcPr>
          <w:p w14:paraId="4B92ADBC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43</w:t>
            </w:r>
          </w:p>
        </w:tc>
        <w:tc>
          <w:tcPr>
            <w:tcW w:w="1672" w:type="dxa"/>
          </w:tcPr>
          <w:p w14:paraId="09868B63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18</w:t>
            </w:r>
          </w:p>
        </w:tc>
      </w:tr>
      <w:tr w14:paraId="23F058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823" w:type="dxa"/>
          </w:tcPr>
          <w:p w14:paraId="7E00D031">
            <w:pPr>
              <w:spacing w:line="480" w:lineRule="auto"/>
              <w:jc w:val="center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</w:rPr>
              <w:t>Female</w:t>
            </w:r>
          </w:p>
        </w:tc>
        <w:tc>
          <w:tcPr>
            <w:tcW w:w="1556" w:type="dxa"/>
          </w:tcPr>
          <w:p w14:paraId="6F66AB4A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476</w:t>
            </w:r>
          </w:p>
        </w:tc>
        <w:tc>
          <w:tcPr>
            <w:tcW w:w="1744" w:type="dxa"/>
          </w:tcPr>
          <w:p w14:paraId="465C7A46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132</w:t>
            </w:r>
          </w:p>
        </w:tc>
        <w:tc>
          <w:tcPr>
            <w:tcW w:w="1710" w:type="dxa"/>
          </w:tcPr>
          <w:p w14:paraId="5BD30557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58</w:t>
            </w:r>
          </w:p>
        </w:tc>
        <w:tc>
          <w:tcPr>
            <w:tcW w:w="1672" w:type="dxa"/>
          </w:tcPr>
          <w:p w14:paraId="509419BC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22</w:t>
            </w:r>
          </w:p>
        </w:tc>
      </w:tr>
      <w:tr w14:paraId="26FDB2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823" w:type="dxa"/>
            <w:tcBorders>
              <w:bottom w:val="single" w:color="000000" w:sz="4" w:space="0"/>
            </w:tcBorders>
          </w:tcPr>
          <w:p w14:paraId="3EFDDFA4">
            <w:pPr>
              <w:spacing w:line="480" w:lineRule="auto"/>
              <w:rPr>
                <w:rFonts w:ascii="Times New Roman" w:hAnsi="Times New Roman"/>
                <w:kern w:val="2"/>
                <w:sz w:val="24"/>
              </w:rPr>
            </w:pPr>
            <w:r>
              <w:rPr>
                <w:rFonts w:hint="eastAsia" w:ascii="Times New Roman" w:hAnsi="Times New Roman"/>
                <w:kern w:val="2"/>
                <w:sz w:val="24"/>
              </w:rPr>
              <w:t>Maximum d</w:t>
            </w:r>
            <w:r>
              <w:rPr>
                <w:rFonts w:ascii="Times New Roman" w:hAnsi="Times New Roman"/>
                <w:kern w:val="2"/>
                <w:sz w:val="24"/>
              </w:rPr>
              <w:t>iameter (mm)</w:t>
            </w:r>
          </w:p>
        </w:tc>
        <w:tc>
          <w:tcPr>
            <w:tcW w:w="1556" w:type="dxa"/>
            <w:tcBorders>
              <w:bottom w:val="single" w:color="000000" w:sz="4" w:space="0"/>
            </w:tcBorders>
          </w:tcPr>
          <w:p w14:paraId="654EA89C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4.68</w:t>
            </w:r>
            <w:r>
              <w:rPr>
                <w:rFonts w:ascii="Times New Roman" w:hAnsi="Times New Roman"/>
                <w:kern w:val="2"/>
                <w:sz w:val="24"/>
              </w:rPr>
              <w:t>±</w:t>
            </w:r>
            <w:r>
              <w:rPr>
                <w:rFonts w:hint="eastAsia" w:ascii="Times New Roman" w:hAnsi="Times New Roman"/>
                <w:kern w:val="2"/>
                <w:sz w:val="24"/>
              </w:rPr>
              <w:t>1.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53</w:t>
            </w:r>
          </w:p>
        </w:tc>
        <w:tc>
          <w:tcPr>
            <w:tcW w:w="1744" w:type="dxa"/>
            <w:tcBorders>
              <w:bottom w:val="single" w:color="000000" w:sz="4" w:space="0"/>
            </w:tcBorders>
          </w:tcPr>
          <w:p w14:paraId="404852C4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4.60</w:t>
            </w:r>
            <w:r>
              <w:rPr>
                <w:rFonts w:ascii="Times New Roman" w:hAnsi="Times New Roman"/>
                <w:kern w:val="2"/>
                <w:sz w:val="24"/>
              </w:rPr>
              <w:t>±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1.37</w:t>
            </w:r>
          </w:p>
        </w:tc>
        <w:tc>
          <w:tcPr>
            <w:tcW w:w="1710" w:type="dxa"/>
            <w:tcBorders>
              <w:bottom w:val="single" w:color="000000" w:sz="4" w:space="0"/>
            </w:tcBorders>
          </w:tcPr>
          <w:p w14:paraId="09DDCBFD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4.58</w:t>
            </w:r>
            <w:r>
              <w:rPr>
                <w:rFonts w:ascii="Times New Roman" w:hAnsi="Times New Roman"/>
                <w:kern w:val="2"/>
                <w:sz w:val="24"/>
              </w:rPr>
              <w:t>±</w:t>
            </w:r>
            <w:r>
              <w:rPr>
                <w:rFonts w:hint="eastAsia" w:ascii="Times New Roman" w:hAnsi="Times New Roman"/>
                <w:kern w:val="2"/>
                <w:sz w:val="24"/>
              </w:rPr>
              <w:t>1.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51</w:t>
            </w:r>
          </w:p>
        </w:tc>
        <w:tc>
          <w:tcPr>
            <w:tcW w:w="1672" w:type="dxa"/>
            <w:tcBorders>
              <w:bottom w:val="single" w:color="000000" w:sz="4" w:space="0"/>
            </w:tcBorders>
          </w:tcPr>
          <w:p w14:paraId="3947FD31">
            <w:pPr>
              <w:spacing w:line="480" w:lineRule="auto"/>
              <w:jc w:val="center"/>
              <w:rPr>
                <w:rFonts w:hint="default" w:ascii="Times New Roman" w:hAnsi="Times New Roman" w:eastAsia="等线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4.70</w:t>
            </w:r>
            <w:r>
              <w:rPr>
                <w:rFonts w:ascii="Times New Roman" w:hAnsi="Times New Roman"/>
                <w:kern w:val="2"/>
                <w:sz w:val="24"/>
              </w:rPr>
              <w:t>±</w:t>
            </w:r>
            <w:r>
              <w:rPr>
                <w:rFonts w:hint="eastAsia" w:ascii="Times New Roman" w:hAnsi="Times New Roman"/>
                <w:kern w:val="2"/>
                <w:sz w:val="24"/>
              </w:rPr>
              <w:t>1.</w:t>
            </w:r>
            <w:r>
              <w:rPr>
                <w:rFonts w:hint="eastAsia" w:ascii="Times New Roman" w:hAnsi="Times New Roman"/>
                <w:kern w:val="2"/>
                <w:sz w:val="24"/>
                <w:lang w:val="en-US" w:eastAsia="zh-CN"/>
              </w:rPr>
              <w:t>31</w:t>
            </w:r>
          </w:p>
        </w:tc>
      </w:tr>
    </w:tbl>
    <w:p w14:paraId="37E0182F">
      <w:pPr>
        <w:widowControl/>
        <w:snapToGrid w:val="0"/>
        <w:spacing w:line="480" w:lineRule="auto"/>
        <w:textAlignment w:val="baseline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/>
          <w:kern w:val="2"/>
          <w:sz w:val="24"/>
        </w:rPr>
        <w:t>* PTC= primary training cohort</w:t>
      </w:r>
      <w:r>
        <w:rPr>
          <w:rFonts w:hint="eastAsia" w:ascii="Times New Roman" w:hAnsi="Times New Roman"/>
          <w:kern w:val="2"/>
          <w:sz w:val="24"/>
        </w:rPr>
        <w:t xml:space="preserve">, </w:t>
      </w:r>
      <w:r>
        <w:rPr>
          <w:rFonts w:ascii="Times New Roman" w:hAnsi="Times New Roman"/>
          <w:kern w:val="2"/>
          <w:sz w:val="24"/>
        </w:rPr>
        <w:t>†IVC= internal validation cohort</w:t>
      </w:r>
      <w:r>
        <w:rPr>
          <w:rFonts w:hint="eastAsia" w:ascii="Times New Roman" w:hAnsi="Times New Roman"/>
          <w:kern w:val="2"/>
          <w:sz w:val="24"/>
        </w:rPr>
        <w:t xml:space="preserve">, </w:t>
      </w:r>
      <w:r>
        <w:rPr>
          <w:rFonts w:ascii="Times New Roman" w:hAnsi="Times New Roman"/>
          <w:kern w:val="2"/>
          <w:sz w:val="24"/>
        </w:rPr>
        <w:t>‡EVC1= external validation cohort 1</w:t>
      </w:r>
      <w:r>
        <w:rPr>
          <w:rFonts w:hint="eastAsia" w:ascii="Times New Roman" w:hAnsi="Times New Roman"/>
          <w:kern w:val="2"/>
          <w:sz w:val="24"/>
        </w:rPr>
        <w:t xml:space="preserve">, </w:t>
      </w:r>
      <w:r>
        <w:rPr>
          <w:rFonts w:ascii="Times New Roman" w:hAnsi="Times New Roman"/>
          <w:kern w:val="2"/>
          <w:sz w:val="24"/>
        </w:rPr>
        <w:t xml:space="preserve">§EVC2= external validation cohort 2. </w:t>
      </w:r>
    </w:p>
    <w:p w14:paraId="388BFC86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2539536F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444E8639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6ABD4587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62E9CC64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31049E5C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13CA17A0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D17C69B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1DE8F76C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6DB244F0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4666835D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140CBB1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1A0C93E3">
      <w:pPr>
        <w:pStyle w:val="39"/>
        <w:spacing w:before="0" w:beforeAutospacing="0" w:after="240" w:afterAutospacing="0"/>
        <w:rPr>
          <w:rFonts w:hint="default"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 xml:space="preserve">Table </w:t>
      </w:r>
      <w:r>
        <w:rPr>
          <w:rFonts w:hint="eastAsia"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>S2</w:t>
      </w:r>
      <w:r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 xml:space="preserve">. Diagnostic performance of the seven subgroups </w:t>
      </w:r>
      <w:r>
        <w:rPr>
          <w:rFonts w:hint="eastAsia"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 xml:space="preserve">in </w:t>
      </w:r>
      <w:r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>the primary cohort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8"/>
        <w:gridCol w:w="830"/>
        <w:gridCol w:w="756"/>
        <w:gridCol w:w="756"/>
        <w:gridCol w:w="748"/>
        <w:gridCol w:w="756"/>
        <w:gridCol w:w="756"/>
        <w:gridCol w:w="842"/>
      </w:tblGrid>
      <w:tr w14:paraId="62018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47E5164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E081D9B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10mm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49F22EF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9mm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20B929F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8mm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28270CB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7mm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A668B0C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6mm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02F156E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5mm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4ECF99A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≤</w:t>
            </w: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4mm</w:t>
            </w:r>
          </w:p>
        </w:tc>
      </w:tr>
      <w:tr w14:paraId="6B0C9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855A280">
            <w:pPr>
              <w:pStyle w:val="39"/>
              <w:spacing w:before="0" w:beforeAutospacing="0" w:after="240" w:afterAutospacing="0"/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Correctly Diagnosed</w:t>
            </w: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 xml:space="preserve"> cases</w:t>
            </w:r>
            <w:r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 xml:space="preserve"> (n)</w:t>
            </w:r>
          </w:p>
          <w:p w14:paraId="329B3E11">
            <w:pPr>
              <w:pStyle w:val="39"/>
              <w:spacing w:before="0" w:beforeAutospacing="0" w:after="240" w:afterAutospacing="0"/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6C5BDFA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54EAF86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109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1E32E9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139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37583A1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150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4F94361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155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F8B6F64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139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7F0E552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70</w:t>
            </w:r>
          </w:p>
        </w:tc>
      </w:tr>
      <w:tr w14:paraId="3B725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6F479C">
            <w:pPr>
              <w:pStyle w:val="39"/>
              <w:spacing w:before="0" w:beforeAutospacing="0" w:after="240" w:afterAutospacing="0"/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Total Cases (</w:t>
            </w: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n</w:t>
            </w:r>
            <w:r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)</w:t>
            </w:r>
          </w:p>
          <w:p w14:paraId="4ABCFCA7">
            <w:pPr>
              <w:pStyle w:val="39"/>
              <w:spacing w:before="0" w:beforeAutospacing="0" w:after="240" w:afterAutospacing="0"/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1B9464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CAAE6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3DFEF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EDBC67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E9924E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7C6E20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CC3D5C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115</w:t>
            </w:r>
          </w:p>
        </w:tc>
      </w:tr>
      <w:tr w14:paraId="4DC7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1E5891F">
            <w:pPr>
              <w:pStyle w:val="39"/>
              <w:spacing w:before="0" w:beforeAutospacing="0" w:after="240" w:afterAutospacing="0"/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Accuracy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4C9286A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0.734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E408874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0.752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AA42308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0.790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8FB0E6C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0.711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AF568B4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0.686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0CC93D0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0.656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3C726BF">
            <w:pPr>
              <w:pStyle w:val="39"/>
              <w:spacing w:before="0" w:beforeAutospacing="0" w:after="240" w:afterAutospacing="0"/>
              <w:rPr>
                <w:rFonts w:hint="default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kern w:val="2"/>
                <w:sz w:val="24"/>
                <w:szCs w:val="24"/>
                <w:lang w:val="en-US" w:eastAsia="zh-CN" w:bidi="ar-SA"/>
                <w14:ligatures w14:val="none"/>
              </w:rPr>
              <w:t>0.609</w:t>
            </w:r>
          </w:p>
        </w:tc>
      </w:tr>
    </w:tbl>
    <w:p w14:paraId="3F39334B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BFE30FC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3662BA06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7429166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7C452D83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026CF26A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17E68CB7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AE6F5DD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1C35CC8E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19F7F238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37DA27F8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57032E75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130AB278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0C8B20D9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2DA1478D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33B2B5F1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080C4F50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4EDF807E">
      <w:pPr>
        <w:widowControl/>
        <w:snapToGrid w:val="0"/>
        <w:spacing w:line="480" w:lineRule="auto"/>
        <w:ind w:left="420" w:leftChars="200"/>
        <w:textAlignment w:val="baseline"/>
        <w:rPr>
          <w:rFonts w:hint="eastAsia" w:ascii="Times New Roman" w:hAnsi="Times New Roman" w:cs="Times New Roman" w:eastAsiaTheme="minorEastAsia"/>
          <w:sz w:val="24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0"/>
          <w:lang w:eastAsia="zh-CN"/>
        </w:rPr>
        <w:drawing>
          <wp:inline distT="0" distB="0" distL="114300" distR="114300">
            <wp:extent cx="5264785" cy="5622925"/>
            <wp:effectExtent l="0" t="0" r="12065" b="15875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62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14663">
      <w:pPr>
        <w:spacing w:line="480" w:lineRule="auto"/>
        <w:rPr>
          <w:rFonts w:ascii="Times New Roman" w:hAnsi="Times New Roman"/>
          <w:b/>
          <w:bCs/>
          <w:kern w:val="2"/>
          <w:sz w:val="24"/>
        </w:rPr>
      </w:pPr>
      <w:r>
        <w:rPr>
          <w:rFonts w:hint="eastAsia" w:ascii="Times New Roman" w:hAnsi="Times New Roman"/>
          <w:kern w:val="2"/>
          <w:sz w:val="24"/>
          <w:lang w:val="en-US" w:eastAsia="zh-CN"/>
        </w:rPr>
        <w:t xml:space="preserve">Figure S1 </w:t>
      </w:r>
      <w:r>
        <w:rPr>
          <w:rFonts w:ascii="Times New Roman" w:hAnsi="Times New Roman"/>
          <w:b/>
          <w:bCs/>
          <w:kern w:val="2"/>
          <w:sz w:val="24"/>
        </w:rPr>
        <w:t>Network architectures of the deep learning components for pulmonary nodule analysis.</w:t>
      </w:r>
    </w:p>
    <w:p w14:paraId="5E6D76DF">
      <w:pPr>
        <w:spacing w:line="480" w:lineRule="auto"/>
        <w:rPr>
          <w:rFonts w:ascii="Times New Roman" w:hAnsi="Times New Roman"/>
          <w:b/>
          <w:bCs/>
          <w:kern w:val="2"/>
          <w:sz w:val="24"/>
        </w:rPr>
      </w:pPr>
    </w:p>
    <w:p w14:paraId="2B8D99A9">
      <w:pPr>
        <w:spacing w:line="480" w:lineRule="auto"/>
        <w:rPr>
          <w:rFonts w:ascii="Times New Roman" w:hAnsi="Times New Roman"/>
          <w:b/>
          <w:bCs/>
          <w:kern w:val="2"/>
          <w:sz w:val="24"/>
        </w:rPr>
      </w:pPr>
    </w:p>
    <w:p w14:paraId="4298B8D9">
      <w:pPr>
        <w:spacing w:line="480" w:lineRule="auto"/>
        <w:rPr>
          <w:rFonts w:ascii="Times New Roman" w:hAnsi="Times New Roman"/>
          <w:b/>
          <w:bCs/>
          <w:kern w:val="2"/>
          <w:sz w:val="24"/>
        </w:rPr>
      </w:pPr>
    </w:p>
    <w:p w14:paraId="4478A831">
      <w:pPr>
        <w:spacing w:line="480" w:lineRule="auto"/>
        <w:rPr>
          <w:rFonts w:ascii="Times New Roman" w:hAnsi="Times New Roman"/>
          <w:b/>
          <w:bCs/>
          <w:kern w:val="2"/>
          <w:sz w:val="24"/>
        </w:rPr>
      </w:pPr>
    </w:p>
    <w:p w14:paraId="383E37BB">
      <w:pPr>
        <w:spacing w:line="480" w:lineRule="auto"/>
        <w:rPr>
          <w:rFonts w:ascii="Times New Roman" w:hAnsi="Times New Roman"/>
          <w:b/>
          <w:bCs/>
          <w:kern w:val="2"/>
          <w:sz w:val="24"/>
        </w:rPr>
      </w:pPr>
    </w:p>
    <w:p w14:paraId="1588FE4F">
      <w:pPr>
        <w:spacing w:line="480" w:lineRule="auto"/>
        <w:rPr>
          <w:rFonts w:hint="eastAsia" w:ascii="Times New Roman" w:hAnsi="Times New Roman" w:eastAsiaTheme="minorEastAsia"/>
          <w:b/>
          <w:bCs/>
          <w:kern w:val="2"/>
          <w:sz w:val="24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kern w:val="2"/>
          <w:sz w:val="24"/>
          <w:lang w:val="en-US" w:eastAsia="zh-CN"/>
        </w:rPr>
        <w:drawing>
          <wp:inline distT="0" distB="0" distL="114300" distR="114300">
            <wp:extent cx="3879215" cy="3868420"/>
            <wp:effectExtent l="0" t="0" r="0" b="0"/>
            <wp:docPr id="2" name="图片 2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79215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A74CE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hint="eastAsia"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>Figure S2.</w:t>
      </w:r>
      <w:r>
        <w:rPr>
          <w:rFonts w:ascii="Times New Roman" w:hAnsi="Times New Roman" w:cs="Times New Roman" w:eastAsiaTheme="minorEastAsia"/>
          <w:b/>
          <w:bCs w:val="0"/>
          <w:kern w:val="2"/>
          <w:sz w:val="24"/>
          <w:szCs w:val="24"/>
          <w:lang w:val="en-US" w:eastAsia="zh-CN" w:bidi="ar-SA"/>
          <w14:ligatures w14:val="none"/>
        </w:rPr>
        <w:t>Grad-CAM visualization of the deep learning model for pulmonary nodule evaluation.</w:t>
      </w:r>
      <w:r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 xml:space="preserve"> </w:t>
      </w:r>
    </w:p>
    <w:p w14:paraId="00253C7B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0"/>
        <w:textAlignment w:val="auto"/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>(a, b) Malignant Nodule Case: A 61-year-old female with stage IV rectal cancer presenting with a 10 mm pulmonary nodule, where the model predicts a high pulmonary metastasis probability of 0.999. The corresponding Grad-CAM heatmap (b) demonstrates a highly localized, high-intensity red activation core that is precisely confined within the lesion proper and its immediate heterogeneous margin features, indicating the model's dense focus on intrinsic tumor tissue.</w:t>
      </w:r>
    </w:p>
    <w:p w14:paraId="3DB254D5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0"/>
        <w:textAlignment w:val="auto"/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 xml:space="preserve">(c, d) Benign Nodule Case: A 51-year-old female with no history of malignancy presenting with an 8 mm pulmonary nodule, where the model predicts a very low metastasis probability of 0.004. In contrast, the heatmap (d) displays a more diffuse and displaced attention pattern, where the high-activation zones conspicuously shift away from the center of the lesion, prioritizing the peri-nodular lung parenchyma and the peripheral regions containing </w:t>
      </w:r>
      <w:r>
        <w:rPr>
          <w:rFonts w:hint="default"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 xml:space="preserve"> long fibrotic bands</w:t>
      </w:r>
      <w:r>
        <w:rPr>
          <w:rFonts w:ascii="Times New Roman" w:hAnsi="Times New Roman" w:cs="Times New Roman" w:eastAsiaTheme="minorEastAsia"/>
          <w:bCs/>
          <w:kern w:val="2"/>
          <w:sz w:val="24"/>
          <w:szCs w:val="24"/>
          <w:lang w:val="en-US" w:eastAsia="zh-CN" w:bidi="ar-SA"/>
          <w14:ligatures w14:val="none"/>
        </w:rPr>
        <w:t>.</w:t>
      </w:r>
    </w:p>
    <w:p w14:paraId="080DCBCE">
      <w:pPr>
        <w:spacing w:line="480" w:lineRule="auto"/>
        <w:rPr>
          <w:rFonts w:hint="eastAsia" w:ascii="Times New Roman" w:hAnsi="Times New Roman" w:eastAsiaTheme="minorEastAsia"/>
          <w:b/>
          <w:bCs/>
          <w:kern w:val="2"/>
          <w:sz w:val="24"/>
          <w:lang w:val="en-US" w:eastAsia="zh-CN"/>
        </w:rPr>
      </w:pPr>
    </w:p>
    <w:p w14:paraId="5F09824A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02CA5650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01EFC8A7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254D23E9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7D950939">
      <w:pPr>
        <w:widowControl/>
        <w:snapToGrid w:val="0"/>
        <w:spacing w:line="480" w:lineRule="auto"/>
        <w:ind w:left="420" w:leftChars="200"/>
        <w:textAlignment w:val="baseline"/>
        <w:rPr>
          <w:rFonts w:ascii="Times New Roman" w:hAnsi="Times New Roman" w:cs="Times New Roman"/>
          <w:sz w:val="24"/>
          <w:szCs w:val="20"/>
        </w:rPr>
      </w:pPr>
    </w:p>
    <w:p w14:paraId="76FC4F52">
      <w:pPr>
        <w:spacing w:line="480" w:lineRule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Bold">
    <w:panose1 w:val="02020803070505020304"/>
    <w:charset w:val="00"/>
    <w:family w:val="auto"/>
    <w:pitch w:val="default"/>
    <w:sig w:usb0="00000000" w:usb1="00000000" w:usb2="00000001" w:usb3="00000000" w:csb0="400001BF" w:csb1="DFF70000"/>
  </w:font>
  <w:font w:name="IBM Plex San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433B6"/>
    <w:multiLevelType w:val="singleLevel"/>
    <w:tmpl w:val="EFF433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74B2753D"/>
    <w:multiLevelType w:val="multilevel"/>
    <w:tmpl w:val="74B2753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7EAE9AD7"/>
    <w:multiLevelType w:val="multilevel"/>
    <w:tmpl w:val="7EAE9AD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C7D"/>
    <w:rsid w:val="000942F5"/>
    <w:rsid w:val="00136C7D"/>
    <w:rsid w:val="001A761F"/>
    <w:rsid w:val="00251B7D"/>
    <w:rsid w:val="003F6117"/>
    <w:rsid w:val="00523ADB"/>
    <w:rsid w:val="00531901"/>
    <w:rsid w:val="00563302"/>
    <w:rsid w:val="00567875"/>
    <w:rsid w:val="005C0070"/>
    <w:rsid w:val="0077434D"/>
    <w:rsid w:val="00806182"/>
    <w:rsid w:val="009F6380"/>
    <w:rsid w:val="00BA7704"/>
    <w:rsid w:val="00CD6876"/>
    <w:rsid w:val="00E87C10"/>
    <w:rsid w:val="00F758BB"/>
    <w:rsid w:val="00F760CE"/>
    <w:rsid w:val="0D695B94"/>
    <w:rsid w:val="11184407"/>
    <w:rsid w:val="44193381"/>
    <w:rsid w:val="67494D3A"/>
    <w:rsid w:val="76D2001F"/>
    <w:rsid w:val="772C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1"/>
    <w:qFormat/>
    <w:uiPriority w:val="99"/>
    <w:rPr>
      <w:sz w:val="18"/>
      <w:szCs w:val="18"/>
    </w:rPr>
  </w:style>
  <w:style w:type="paragraph" w:customStyle="1" w:styleId="39">
    <w:name w:val="u-mb-16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457</Words>
  <Characters>2688</Characters>
  <Lines>40</Lines>
  <Paragraphs>39</Paragraphs>
  <TotalTime>8</TotalTime>
  <ScaleCrop>false</ScaleCrop>
  <LinksUpToDate>false</LinksUpToDate>
  <CharactersWithSpaces>3066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2025-04-13T14:29:00Z</dcterms:created>
  <dc:creator>良 徐</dc:creator>
  <cp:lastModifiedBy>半打阳光</cp:lastModifiedBy>
  <dcterms:modified xsi:type="dcterms:W3CDTF">2026-06-15T04:17:06Z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eyJoZGlkIjoiZDk4MzcxMGQ0YmQ4Zjk1OTY3ODI0NDcyYzk2NTBiZmYiLCJ1c2VySWQiOiIzMzYyNDc1NDgifQ==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E00A0A5D4F604430926076A174C0A6BE_12</vt:lpwstr>
  </property>
</Properties>
</file>