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4"/>
        </w:rPr>
        <w:t>STROBE Statement—Checklist of items that should be included in reports of observational studies</w:t>
      </w:r>
    </w:p>
    <w:p>
      <w:pPr>
        <w:jc w:val="center"/>
      </w:pPr>
      <w:r>
        <w:rPr>
          <w:rFonts w:ascii="Arial" w:hAnsi="Arial"/>
          <w:sz w:val="16"/>
        </w:rPr>
        <w:t>Manuscript: Radiomics-Based Causal Machine Learning for Exploratory Treatment-Effect Estimation of Neoadjuvant Chemotherapy Cycle Intensity in Osteosarcoma: A Proof-of-Concept Study</w:t>
      </w:r>
    </w:p>
    <w:tbl>
      <w:tblPr>
        <w:tblStyle w:val="TableGrid"/>
        <w:tblW w:type="auto" w:w="0"/>
        <w:jc w:val="center"/>
        <w:tblLook w:firstColumn="1" w:firstRow="1" w:lastColumn="0" w:lastRow="0" w:noHBand="0" w:noVBand="1" w:val="04A0"/>
      </w:tblPr>
      <w:tblGrid>
        <w:gridCol w:w="3108"/>
        <w:gridCol w:w="3108"/>
        <w:gridCol w:w="3108"/>
        <w:gridCol w:w="3108"/>
        <w:gridCol w:w="3108"/>
      </w:tblGrid>
      <w:tr>
        <w:trPr>
          <w:tblHeader w:val="true"/>
          <w:cantSplit/>
        </w:trPr>
        <w:tc>
          <w:tcPr>
            <w:tcW w:type="dxa" w:w="1944"/>
            <w:vAlign w:val="center"/>
          </w:tcPr>
          <w:p>
            <w:pPr>
              <w:spacing w:after="0" w:before="0"/>
            </w:pPr>
            <w:r>
              <w:rPr>
                <w:rFonts w:ascii="Arial" w:hAnsi="Arial"/>
                <w:b/>
                <w:sz w:val="15"/>
              </w:rPr>
              <w:t>Section</w:t>
            </w:r>
          </w:p>
        </w:tc>
        <w:tc>
          <w:tcPr>
            <w:tcW w:type="dxa" w:w="792"/>
            <w:vAlign w:val="center"/>
          </w:tcPr>
          <w:p>
            <w:pPr>
              <w:spacing w:after="0" w:before="0"/>
            </w:pPr>
            <w:r>
              <w:rPr>
                <w:rFonts w:ascii="Arial" w:hAnsi="Arial"/>
                <w:b/>
                <w:sz w:val="15"/>
              </w:rPr>
              <w:t>Item No.</w:t>
            </w:r>
          </w:p>
        </w:tc>
        <w:tc>
          <w:tcPr>
            <w:tcW w:type="dxa" w:w="5112"/>
            <w:vAlign w:val="center"/>
          </w:tcPr>
          <w:p>
            <w:pPr>
              <w:spacing w:after="0" w:before="0"/>
            </w:pPr>
            <w:r>
              <w:rPr>
                <w:rFonts w:ascii="Arial" w:hAnsi="Arial"/>
                <w:b/>
                <w:sz w:val="15"/>
              </w:rPr>
              <w:t>Recommendation</w:t>
            </w:r>
          </w:p>
        </w:tc>
        <w:tc>
          <w:tcPr>
            <w:tcW w:type="dxa" w:w="2880"/>
            <w:vAlign w:val="center"/>
          </w:tcPr>
          <w:p>
            <w:pPr>
              <w:spacing w:after="0" w:before="0"/>
            </w:pPr>
            <w:r>
              <w:rPr>
                <w:rFonts w:ascii="Arial" w:hAnsi="Arial"/>
                <w:b/>
                <w:sz w:val="15"/>
              </w:rPr>
              <w:t>Page / section where reported</w:t>
            </w:r>
          </w:p>
        </w:tc>
        <w:tc>
          <w:tcPr>
            <w:tcW w:type="dxa" w:w="5112"/>
            <w:vAlign w:val="center"/>
          </w:tcPr>
          <w:p>
            <w:pPr>
              <w:spacing w:after="0" w:before="0"/>
            </w:pPr>
            <w:r>
              <w:rPr>
                <w:rFonts w:ascii="Arial" w:hAnsi="Arial"/>
                <w:b/>
                <w:sz w:val="15"/>
              </w:rPr>
              <w:t>Relevant text from manuscript</w:t>
            </w:r>
          </w:p>
        </w:tc>
      </w:tr>
      <w:tr>
        <w:trPr>
          <w:cantSplit/>
        </w:trPr>
        <w:tc>
          <w:tcPr>
            <w:tcW w:type="dxa" w:w="1944"/>
            <w:vAlign w:val="top"/>
          </w:tcPr>
          <w:p>
            <w:pPr>
              <w:spacing w:after="0" w:before="0"/>
            </w:pPr>
            <w:r>
              <w:rPr>
                <w:rFonts w:ascii="Arial" w:hAnsi="Arial" w:eastAsia="Arial"/>
                <w:sz w:val="13"/>
              </w:rPr>
              <w:t>Title and abstract</w:t>
            </w:r>
          </w:p>
        </w:tc>
        <w:tc>
          <w:tcPr>
            <w:tcW w:type="dxa" w:w="792"/>
            <w:vAlign w:val="top"/>
          </w:tcPr>
          <w:p>
            <w:pPr>
              <w:spacing w:after="0" w:before="0"/>
            </w:pPr>
            <w:r>
              <w:rPr>
                <w:rFonts w:ascii="Arial" w:hAnsi="Arial" w:eastAsia="Arial"/>
                <w:sz w:val="13"/>
              </w:rPr>
              <w:t>1a</w:t>
            </w:r>
          </w:p>
        </w:tc>
        <w:tc>
          <w:tcPr>
            <w:tcW w:type="dxa" w:w="5112"/>
            <w:vAlign w:val="top"/>
          </w:tcPr>
          <w:p>
            <w:pPr>
              <w:spacing w:after="0" w:before="0"/>
            </w:pPr>
            <w:r>
              <w:rPr>
                <w:rFonts w:ascii="Arial" w:hAnsi="Arial" w:eastAsia="Arial"/>
                <w:sz w:val="13"/>
              </w:rPr>
              <w:t>Indicate the study design with a commonly used term in the title or the abstract.</w:t>
            </w:r>
          </w:p>
        </w:tc>
        <w:tc>
          <w:tcPr>
            <w:tcW w:type="dxa" w:w="2880"/>
            <w:vAlign w:val="top"/>
          </w:tcPr>
          <w:p>
            <w:pPr>
              <w:spacing w:after="0" w:before="0"/>
            </w:pPr>
            <w:r>
              <w:rPr>
                <w:rFonts w:ascii="Arial" w:hAnsi="Arial" w:eastAsia="Arial"/>
                <w:sz w:val="13"/>
              </w:rPr>
              <w:t>Title; Abstract</w:t>
            </w:r>
          </w:p>
        </w:tc>
        <w:tc>
          <w:tcPr>
            <w:tcW w:type="dxa" w:w="5112"/>
            <w:vAlign w:val="top"/>
          </w:tcPr>
          <w:p>
            <w:pPr>
              <w:spacing w:after="0" w:before="0"/>
            </w:pPr>
            <w:r>
              <w:rPr>
                <w:rFonts w:ascii="Arial" w:hAnsi="Arial" w:eastAsia="Arial"/>
                <w:sz w:val="13"/>
              </w:rPr>
              <w:t>The title identifies the study as a proof-of-concept study. The abstract states that this is a retrospective single-center study including 34 patients.</w:t>
            </w:r>
          </w:p>
        </w:tc>
      </w:tr>
      <w:tr>
        <w:trPr>
          <w:cantSplit/>
        </w:trPr>
        <w:tc>
          <w:tcPr>
            <w:tcW w:type="dxa" w:w="1944"/>
            <w:vAlign w:val="top"/>
          </w:tcPr>
          <w:p>
            <w:pPr>
              <w:spacing w:after="0" w:before="0"/>
            </w:pPr>
            <w:r>
              <w:rPr>
                <w:rFonts w:ascii="Arial" w:hAnsi="Arial" w:eastAsia="Arial"/>
                <w:sz w:val="13"/>
              </w:rPr>
              <w:t>Title and abstract</w:t>
            </w:r>
          </w:p>
        </w:tc>
        <w:tc>
          <w:tcPr>
            <w:tcW w:type="dxa" w:w="792"/>
            <w:vAlign w:val="top"/>
          </w:tcPr>
          <w:p>
            <w:pPr>
              <w:spacing w:after="0" w:before="0"/>
            </w:pPr>
            <w:r>
              <w:rPr>
                <w:rFonts w:ascii="Arial" w:hAnsi="Arial" w:eastAsia="Arial"/>
                <w:sz w:val="13"/>
              </w:rPr>
              <w:t>1b</w:t>
            </w:r>
          </w:p>
        </w:tc>
        <w:tc>
          <w:tcPr>
            <w:tcW w:type="dxa" w:w="5112"/>
            <w:vAlign w:val="top"/>
          </w:tcPr>
          <w:p>
            <w:pPr>
              <w:spacing w:after="0" w:before="0"/>
            </w:pPr>
            <w:r>
              <w:rPr>
                <w:rFonts w:ascii="Arial" w:hAnsi="Arial" w:eastAsia="Arial"/>
                <w:sz w:val="13"/>
              </w:rPr>
              <w:t>Provide in the abstract an informative and balanced summary of what was done and what was found.</w:t>
            </w:r>
          </w:p>
        </w:tc>
        <w:tc>
          <w:tcPr>
            <w:tcW w:type="dxa" w:w="2880"/>
            <w:vAlign w:val="top"/>
          </w:tcPr>
          <w:p>
            <w:pPr>
              <w:spacing w:after="0" w:before="0"/>
            </w:pPr>
            <w:r>
              <w:rPr>
                <w:rFonts w:ascii="Arial" w:hAnsi="Arial" w:eastAsia="Arial"/>
                <w:sz w:val="13"/>
              </w:rPr>
              <w:t>Abstract</w:t>
            </w:r>
          </w:p>
        </w:tc>
        <w:tc>
          <w:tcPr>
            <w:tcW w:type="dxa" w:w="5112"/>
            <w:vAlign w:val="top"/>
          </w:tcPr>
          <w:p>
            <w:pPr>
              <w:spacing w:after="0" w:before="0"/>
            </w:pPr>
            <w:r>
              <w:rPr>
                <w:rFonts w:ascii="Arial" w:hAnsi="Arial" w:eastAsia="Arial"/>
                <w:sz w:val="13"/>
              </w:rPr>
              <w:t>The abstract summarizes the background, objective, methods, main exploratory findings, and cautious conclusion, including instability of ATE estimates and non-actionable interpretation.</w:t>
            </w:r>
          </w:p>
        </w:tc>
      </w:tr>
      <w:tr>
        <w:trPr>
          <w:cantSplit/>
        </w:trPr>
        <w:tc>
          <w:tcPr>
            <w:tcW w:type="dxa" w:w="1944"/>
            <w:vAlign w:val="top"/>
          </w:tcPr>
          <w:p>
            <w:pPr>
              <w:spacing w:after="0" w:before="0"/>
            </w:pPr>
            <w:r>
              <w:rPr>
                <w:rFonts w:ascii="Arial" w:hAnsi="Arial" w:eastAsia="Arial"/>
                <w:sz w:val="13"/>
              </w:rPr>
              <w:t>Introduction: Background/rationale</w:t>
            </w:r>
          </w:p>
        </w:tc>
        <w:tc>
          <w:tcPr>
            <w:tcW w:type="dxa" w:w="792"/>
            <w:vAlign w:val="top"/>
          </w:tcPr>
          <w:p>
            <w:pPr>
              <w:spacing w:after="0" w:before="0"/>
            </w:pPr>
            <w:r>
              <w:rPr>
                <w:rFonts w:ascii="Arial" w:hAnsi="Arial" w:eastAsia="Arial"/>
                <w:sz w:val="13"/>
              </w:rPr>
              <w:t>2</w:t>
            </w:r>
          </w:p>
        </w:tc>
        <w:tc>
          <w:tcPr>
            <w:tcW w:type="dxa" w:w="5112"/>
            <w:vAlign w:val="top"/>
          </w:tcPr>
          <w:p>
            <w:pPr>
              <w:spacing w:after="0" w:before="0"/>
            </w:pPr>
            <w:r>
              <w:rPr>
                <w:rFonts w:ascii="Arial" w:hAnsi="Arial" w:eastAsia="Arial"/>
                <w:sz w:val="13"/>
              </w:rPr>
              <w:t>Explain the scientific background and rationale for the investigation being reported.</w:t>
            </w:r>
          </w:p>
        </w:tc>
        <w:tc>
          <w:tcPr>
            <w:tcW w:type="dxa" w:w="2880"/>
            <w:vAlign w:val="top"/>
          </w:tcPr>
          <w:p>
            <w:pPr>
              <w:spacing w:after="0" w:before="0"/>
            </w:pPr>
            <w:r>
              <w:rPr>
                <w:rFonts w:ascii="Arial" w:hAnsi="Arial" w:eastAsia="Arial"/>
                <w:sz w:val="13"/>
              </w:rPr>
              <w:t>Section 1, Background</w:t>
            </w:r>
          </w:p>
        </w:tc>
        <w:tc>
          <w:tcPr>
            <w:tcW w:type="dxa" w:w="5112"/>
            <w:vAlign w:val="top"/>
          </w:tcPr>
          <w:p>
            <w:pPr>
              <w:spacing w:after="0" w:before="0"/>
            </w:pPr>
            <w:r>
              <w:rPr>
                <w:rFonts w:ascii="Arial" w:hAnsi="Arial" w:eastAsia="Arial"/>
                <w:sz w:val="13"/>
              </w:rPr>
              <w:t>The Background explains causal inference, radiomics, osteosarcoma treatment context, uncertainty regarding NAC cycle intensity, and rationale for exploratory treatment-effect estimation.</w:t>
            </w:r>
          </w:p>
        </w:tc>
      </w:tr>
      <w:tr>
        <w:trPr>
          <w:cantSplit/>
        </w:trPr>
        <w:tc>
          <w:tcPr>
            <w:tcW w:type="dxa" w:w="1944"/>
            <w:vAlign w:val="top"/>
          </w:tcPr>
          <w:p>
            <w:pPr>
              <w:spacing w:after="0" w:before="0"/>
            </w:pPr>
            <w:r>
              <w:rPr>
                <w:rFonts w:ascii="Arial" w:hAnsi="Arial" w:eastAsia="Arial"/>
                <w:sz w:val="13"/>
              </w:rPr>
              <w:t>Introduction: Objectives</w:t>
            </w:r>
          </w:p>
        </w:tc>
        <w:tc>
          <w:tcPr>
            <w:tcW w:type="dxa" w:w="792"/>
            <w:vAlign w:val="top"/>
          </w:tcPr>
          <w:p>
            <w:pPr>
              <w:spacing w:after="0" w:before="0"/>
            </w:pPr>
            <w:r>
              <w:rPr>
                <w:rFonts w:ascii="Arial" w:hAnsi="Arial" w:eastAsia="Arial"/>
                <w:sz w:val="13"/>
              </w:rPr>
              <w:t>3</w:t>
            </w:r>
          </w:p>
        </w:tc>
        <w:tc>
          <w:tcPr>
            <w:tcW w:type="dxa" w:w="5112"/>
            <w:vAlign w:val="top"/>
          </w:tcPr>
          <w:p>
            <w:pPr>
              <w:spacing w:after="0" w:before="0"/>
            </w:pPr>
            <w:r>
              <w:rPr>
                <w:rFonts w:ascii="Arial" w:hAnsi="Arial" w:eastAsia="Arial"/>
                <w:sz w:val="13"/>
              </w:rPr>
              <w:t>State specific objectives, including any prespecified hypotheses.</w:t>
            </w:r>
          </w:p>
        </w:tc>
        <w:tc>
          <w:tcPr>
            <w:tcW w:type="dxa" w:w="2880"/>
            <w:vAlign w:val="top"/>
          </w:tcPr>
          <w:p>
            <w:pPr>
              <w:spacing w:after="0" w:before="0"/>
            </w:pPr>
            <w:r>
              <w:rPr>
                <w:rFonts w:ascii="Arial" w:hAnsi="Arial" w:eastAsia="Arial"/>
                <w:sz w:val="13"/>
              </w:rPr>
              <w:t>Section 1, final paragraph</w:t>
            </w:r>
          </w:p>
        </w:tc>
        <w:tc>
          <w:tcPr>
            <w:tcW w:type="dxa" w:w="5112"/>
            <w:vAlign w:val="top"/>
          </w:tcPr>
          <w:p>
            <w:pPr>
              <w:spacing w:after="0" w:before="0"/>
            </w:pPr>
            <w:r>
              <w:rPr>
                <w:rFonts w:ascii="Arial" w:hAnsi="Arial" w:eastAsia="Arial"/>
                <w:sz w:val="13"/>
              </w:rPr>
              <w:t>Objectives are listed: explore feasibility of estimating ATE, generate ITE estimates through counterfactual outcome modeling, and evaluate the interpretability and methodological potential of the framework.</w:t>
            </w:r>
          </w:p>
        </w:tc>
      </w:tr>
      <w:tr>
        <w:trPr>
          <w:cantSplit/>
        </w:trPr>
        <w:tc>
          <w:tcPr>
            <w:tcW w:type="dxa" w:w="1944"/>
            <w:vAlign w:val="top"/>
          </w:tcPr>
          <w:p>
            <w:pPr>
              <w:spacing w:after="0" w:before="0"/>
            </w:pPr>
            <w:r>
              <w:rPr>
                <w:rFonts w:ascii="Arial" w:hAnsi="Arial" w:eastAsia="Arial"/>
                <w:sz w:val="13"/>
              </w:rPr>
              <w:t>Methods: Study design</w:t>
            </w:r>
          </w:p>
        </w:tc>
        <w:tc>
          <w:tcPr>
            <w:tcW w:type="dxa" w:w="792"/>
            <w:vAlign w:val="top"/>
          </w:tcPr>
          <w:p>
            <w:pPr>
              <w:spacing w:after="0" w:before="0"/>
            </w:pPr>
            <w:r>
              <w:rPr>
                <w:rFonts w:ascii="Arial" w:hAnsi="Arial" w:eastAsia="Arial"/>
                <w:sz w:val="13"/>
              </w:rPr>
              <w:t>4</w:t>
            </w:r>
          </w:p>
        </w:tc>
        <w:tc>
          <w:tcPr>
            <w:tcW w:type="dxa" w:w="5112"/>
            <w:vAlign w:val="top"/>
          </w:tcPr>
          <w:p>
            <w:pPr>
              <w:spacing w:after="0" w:before="0"/>
            </w:pPr>
            <w:r>
              <w:rPr>
                <w:rFonts w:ascii="Arial" w:hAnsi="Arial" w:eastAsia="Arial"/>
                <w:sz w:val="13"/>
              </w:rPr>
              <w:t>Present key elements of study design early in the paper.</w:t>
            </w:r>
          </w:p>
        </w:tc>
        <w:tc>
          <w:tcPr>
            <w:tcW w:type="dxa" w:w="2880"/>
            <w:vAlign w:val="top"/>
          </w:tcPr>
          <w:p>
            <w:pPr>
              <w:spacing w:after="0" w:before="0"/>
            </w:pPr>
            <w:r>
              <w:rPr>
                <w:rFonts w:ascii="Arial" w:hAnsi="Arial" w:eastAsia="Arial"/>
                <w:sz w:val="13"/>
              </w:rPr>
              <w:t>Sections 2.1 and 2.2</w:t>
            </w:r>
          </w:p>
        </w:tc>
        <w:tc>
          <w:tcPr>
            <w:tcW w:type="dxa" w:w="5112"/>
            <w:vAlign w:val="top"/>
          </w:tcPr>
          <w:p>
            <w:pPr>
              <w:spacing w:after="0" w:before="0"/>
            </w:pPr>
            <w:r>
              <w:rPr>
                <w:rFonts w:ascii="Arial" w:hAnsi="Arial" w:eastAsia="Arial"/>
                <w:sz w:val="13"/>
              </w:rPr>
              <w:t>The study is described as a retrospective single-center cohort and proof-of-concept causal machine learning framework.</w:t>
            </w:r>
          </w:p>
        </w:tc>
      </w:tr>
      <w:tr>
        <w:trPr>
          <w:cantSplit/>
        </w:trPr>
        <w:tc>
          <w:tcPr>
            <w:tcW w:type="dxa" w:w="1944"/>
            <w:vAlign w:val="top"/>
          </w:tcPr>
          <w:p>
            <w:pPr>
              <w:spacing w:after="0" w:before="0"/>
            </w:pPr>
            <w:r>
              <w:rPr>
                <w:rFonts w:ascii="Arial" w:hAnsi="Arial" w:eastAsia="Arial"/>
                <w:sz w:val="13"/>
              </w:rPr>
              <w:t>Methods: Setting</w:t>
            </w:r>
          </w:p>
        </w:tc>
        <w:tc>
          <w:tcPr>
            <w:tcW w:type="dxa" w:w="792"/>
            <w:vAlign w:val="top"/>
          </w:tcPr>
          <w:p>
            <w:pPr>
              <w:spacing w:after="0" w:before="0"/>
            </w:pPr>
            <w:r>
              <w:rPr>
                <w:rFonts w:ascii="Arial" w:hAnsi="Arial" w:eastAsia="Arial"/>
                <w:sz w:val="13"/>
              </w:rPr>
              <w:t>5</w:t>
            </w:r>
          </w:p>
        </w:tc>
        <w:tc>
          <w:tcPr>
            <w:tcW w:type="dxa" w:w="5112"/>
            <w:vAlign w:val="top"/>
          </w:tcPr>
          <w:p>
            <w:pPr>
              <w:spacing w:after="0" w:before="0"/>
            </w:pPr>
            <w:r>
              <w:rPr>
                <w:rFonts w:ascii="Arial" w:hAnsi="Arial" w:eastAsia="Arial"/>
                <w:sz w:val="13"/>
              </w:rPr>
              <w:t>Describe the setting, locations, and relevant dates, including periods of recruitment, exposure, follow-up, and data collection.</w:t>
            </w:r>
          </w:p>
        </w:tc>
        <w:tc>
          <w:tcPr>
            <w:tcW w:type="dxa" w:w="2880"/>
            <w:vAlign w:val="top"/>
          </w:tcPr>
          <w:p>
            <w:pPr>
              <w:spacing w:after="0" w:before="0"/>
            </w:pPr>
            <w:r>
              <w:rPr>
                <w:rFonts w:ascii="Arial" w:hAnsi="Arial" w:eastAsia="Arial"/>
                <w:sz w:val="13"/>
              </w:rPr>
              <w:t>Section 2.1</w:t>
            </w:r>
          </w:p>
        </w:tc>
        <w:tc>
          <w:tcPr>
            <w:tcW w:type="dxa" w:w="5112"/>
            <w:vAlign w:val="top"/>
          </w:tcPr>
          <w:p>
            <w:pPr>
              <w:spacing w:after="0" w:before="0"/>
            </w:pPr>
            <w:r>
              <w:rPr>
                <w:rFonts w:ascii="Arial" w:hAnsi="Arial" w:eastAsia="Arial"/>
                <w:sz w:val="13"/>
              </w:rPr>
              <w:t>Patients diagnosed at Shanghai Changzheng Hospital between January 2014 and December 2022 were included.</w:t>
            </w:r>
          </w:p>
        </w:tc>
      </w:tr>
      <w:tr>
        <w:trPr>
          <w:cantSplit/>
        </w:trPr>
        <w:tc>
          <w:tcPr>
            <w:tcW w:type="dxa" w:w="1944"/>
            <w:vAlign w:val="top"/>
          </w:tcPr>
          <w:p>
            <w:pPr>
              <w:spacing w:after="0" w:before="0"/>
            </w:pPr>
            <w:r>
              <w:rPr>
                <w:rFonts w:ascii="Arial" w:hAnsi="Arial" w:eastAsia="Arial"/>
                <w:sz w:val="13"/>
              </w:rPr>
              <w:t>Methods: Participants</w:t>
            </w:r>
          </w:p>
        </w:tc>
        <w:tc>
          <w:tcPr>
            <w:tcW w:type="dxa" w:w="792"/>
            <w:vAlign w:val="top"/>
          </w:tcPr>
          <w:p>
            <w:pPr>
              <w:spacing w:after="0" w:before="0"/>
            </w:pPr>
            <w:r>
              <w:rPr>
                <w:rFonts w:ascii="Arial" w:hAnsi="Arial" w:eastAsia="Arial"/>
                <w:sz w:val="13"/>
              </w:rPr>
              <w:t>6a</w:t>
            </w:r>
          </w:p>
        </w:tc>
        <w:tc>
          <w:tcPr>
            <w:tcW w:type="dxa" w:w="5112"/>
            <w:vAlign w:val="top"/>
          </w:tcPr>
          <w:p>
            <w:pPr>
              <w:spacing w:after="0" w:before="0"/>
            </w:pPr>
            <w:r>
              <w:rPr>
                <w:rFonts w:ascii="Arial" w:hAnsi="Arial" w:eastAsia="Arial"/>
                <w:sz w:val="13"/>
              </w:rPr>
              <w:t>Cohort study—Give eligibility criteria, and sources and methods of selection of participants. Describe methods of follow-up.</w:t>
            </w:r>
          </w:p>
        </w:tc>
        <w:tc>
          <w:tcPr>
            <w:tcW w:type="dxa" w:w="2880"/>
            <w:vAlign w:val="top"/>
          </w:tcPr>
          <w:p>
            <w:pPr>
              <w:spacing w:after="0" w:before="0"/>
            </w:pPr>
            <w:r>
              <w:rPr>
                <w:rFonts w:ascii="Arial" w:hAnsi="Arial" w:eastAsia="Arial"/>
                <w:sz w:val="13"/>
              </w:rPr>
              <w:t>Section 2.1; Figure 1</w:t>
            </w:r>
          </w:p>
        </w:tc>
        <w:tc>
          <w:tcPr>
            <w:tcW w:type="dxa" w:w="5112"/>
            <w:vAlign w:val="top"/>
          </w:tcPr>
          <w:p>
            <w:pPr>
              <w:spacing w:after="0" w:before="0"/>
            </w:pPr>
            <w:r>
              <w:rPr>
                <w:rFonts w:ascii="Arial" w:hAnsi="Arial" w:eastAsia="Arial"/>
                <w:sz w:val="13"/>
              </w:rPr>
              <w:t>Inclusion and exclusion criteria are reported, including conventional intramedullary osteosarcoma, NAC followed by surgery, available baseline MRI, and absence of distant metastasis at initial evaluation. Patient selection is summarized in Figure 1.</w:t>
            </w:r>
          </w:p>
        </w:tc>
      </w:tr>
      <w:tr>
        <w:trPr>
          <w:cantSplit/>
        </w:trPr>
        <w:tc>
          <w:tcPr>
            <w:tcW w:type="dxa" w:w="1944"/>
            <w:vAlign w:val="top"/>
          </w:tcPr>
          <w:p>
            <w:pPr>
              <w:spacing w:after="0" w:before="0"/>
            </w:pPr>
            <w:r>
              <w:rPr>
                <w:rFonts w:ascii="Arial" w:hAnsi="Arial" w:eastAsia="Arial"/>
                <w:sz w:val="13"/>
              </w:rPr>
              <w:t>Methods: Participants</w:t>
            </w:r>
          </w:p>
        </w:tc>
        <w:tc>
          <w:tcPr>
            <w:tcW w:type="dxa" w:w="792"/>
            <w:vAlign w:val="top"/>
          </w:tcPr>
          <w:p>
            <w:pPr>
              <w:spacing w:after="0" w:before="0"/>
            </w:pPr>
            <w:r>
              <w:rPr>
                <w:rFonts w:ascii="Arial" w:hAnsi="Arial" w:eastAsia="Arial"/>
                <w:sz w:val="13"/>
              </w:rPr>
              <w:t>6b</w:t>
            </w:r>
          </w:p>
        </w:tc>
        <w:tc>
          <w:tcPr>
            <w:tcW w:type="dxa" w:w="5112"/>
            <w:vAlign w:val="top"/>
          </w:tcPr>
          <w:p>
            <w:pPr>
              <w:spacing w:after="0" w:before="0"/>
            </w:pPr>
            <w:r>
              <w:rPr>
                <w:rFonts w:ascii="Arial" w:hAnsi="Arial" w:eastAsia="Arial"/>
                <w:sz w:val="13"/>
              </w:rPr>
              <w:t>Cohort study—For matched studies, give matching criteria and number of exposed and unexposed.</w:t>
            </w:r>
          </w:p>
        </w:tc>
        <w:tc>
          <w:tcPr>
            <w:tcW w:type="dxa" w:w="2880"/>
            <w:vAlign w:val="top"/>
          </w:tcPr>
          <w:p>
            <w:pPr>
              <w:spacing w:after="0" w:before="0"/>
            </w:pPr>
            <w:r>
              <w:rPr>
                <w:rFonts w:ascii="Arial" w:hAnsi="Arial" w:eastAsia="Arial"/>
                <w:sz w:val="13"/>
              </w:rPr>
              <w:t>Not applicable</w:t>
            </w:r>
          </w:p>
        </w:tc>
        <w:tc>
          <w:tcPr>
            <w:tcW w:type="dxa" w:w="5112"/>
            <w:vAlign w:val="top"/>
          </w:tcPr>
          <w:p>
            <w:pPr>
              <w:spacing w:after="0" w:before="0"/>
            </w:pPr>
            <w:r>
              <w:rPr>
                <w:rFonts w:ascii="Arial" w:hAnsi="Arial" w:eastAsia="Arial"/>
                <w:sz w:val="13"/>
              </w:rPr>
              <w:t>This was not a matched cohort study.</w:t>
            </w:r>
          </w:p>
        </w:tc>
      </w:tr>
      <w:tr>
        <w:trPr>
          <w:cantSplit/>
        </w:trPr>
        <w:tc>
          <w:tcPr>
            <w:tcW w:type="dxa" w:w="1944"/>
            <w:vAlign w:val="top"/>
          </w:tcPr>
          <w:p>
            <w:pPr>
              <w:spacing w:after="0" w:before="0"/>
            </w:pPr>
            <w:r>
              <w:rPr>
                <w:rFonts w:ascii="Arial" w:hAnsi="Arial" w:eastAsia="Arial"/>
                <w:sz w:val="13"/>
              </w:rPr>
              <w:t>Methods: Variables</w:t>
            </w:r>
          </w:p>
        </w:tc>
        <w:tc>
          <w:tcPr>
            <w:tcW w:type="dxa" w:w="792"/>
            <w:vAlign w:val="top"/>
          </w:tcPr>
          <w:p>
            <w:pPr>
              <w:spacing w:after="0" w:before="0"/>
            </w:pPr>
            <w:r>
              <w:rPr>
                <w:rFonts w:ascii="Arial" w:hAnsi="Arial" w:eastAsia="Arial"/>
                <w:sz w:val="13"/>
              </w:rPr>
              <w:t>7</w:t>
            </w:r>
          </w:p>
        </w:tc>
        <w:tc>
          <w:tcPr>
            <w:tcW w:type="dxa" w:w="5112"/>
            <w:vAlign w:val="top"/>
          </w:tcPr>
          <w:p>
            <w:pPr>
              <w:spacing w:after="0" w:before="0"/>
            </w:pPr>
            <w:r>
              <w:rPr>
                <w:rFonts w:ascii="Arial" w:hAnsi="Arial" w:eastAsia="Arial"/>
                <w:sz w:val="13"/>
              </w:rPr>
              <w:t>Clearly define all outcomes, exposures, predictors, potential confounders, and effect modifiers. Give diagnostic criteria, if applicable.</w:t>
            </w:r>
          </w:p>
        </w:tc>
        <w:tc>
          <w:tcPr>
            <w:tcW w:type="dxa" w:w="2880"/>
            <w:vAlign w:val="top"/>
          </w:tcPr>
          <w:p>
            <w:pPr>
              <w:spacing w:after="0" w:before="0"/>
            </w:pPr>
            <w:r>
              <w:rPr>
                <w:rFonts w:ascii="Arial" w:hAnsi="Arial" w:eastAsia="Arial"/>
                <w:sz w:val="13"/>
              </w:rPr>
              <w:t>Sections 2.1–2.4</w:t>
            </w:r>
          </w:p>
        </w:tc>
        <w:tc>
          <w:tcPr>
            <w:tcW w:type="dxa" w:w="5112"/>
            <w:vAlign w:val="top"/>
          </w:tcPr>
          <w:p>
            <w:pPr>
              <w:spacing w:after="0" w:before="0"/>
            </w:pPr>
            <w:r>
              <w:rPr>
                <w:rFonts w:ascii="Arial" w:hAnsi="Arial" w:eastAsia="Arial"/>
                <w:sz w:val="13"/>
              </w:rPr>
              <w:t>Diagnosis, NAC cycle groups, OS outcome, radiomic features, clinical covariates, causal estimands, and potential outcomes are defined.</w:t>
            </w:r>
          </w:p>
        </w:tc>
      </w:tr>
      <w:tr>
        <w:trPr>
          <w:cantSplit/>
        </w:trPr>
        <w:tc>
          <w:tcPr>
            <w:tcW w:type="dxa" w:w="1944"/>
            <w:vAlign w:val="top"/>
          </w:tcPr>
          <w:p>
            <w:pPr>
              <w:spacing w:after="0" w:before="0"/>
            </w:pPr>
            <w:r>
              <w:rPr>
                <w:rFonts w:ascii="Arial" w:hAnsi="Arial" w:eastAsia="Arial"/>
                <w:sz w:val="13"/>
              </w:rPr>
              <w:t>Methods: Data sources/measurement</w:t>
            </w:r>
          </w:p>
        </w:tc>
        <w:tc>
          <w:tcPr>
            <w:tcW w:type="dxa" w:w="792"/>
            <w:vAlign w:val="top"/>
          </w:tcPr>
          <w:p>
            <w:pPr>
              <w:spacing w:after="0" w:before="0"/>
            </w:pPr>
            <w:r>
              <w:rPr>
                <w:rFonts w:ascii="Arial" w:hAnsi="Arial" w:eastAsia="Arial"/>
                <w:sz w:val="13"/>
              </w:rPr>
              <w:t>8</w:t>
            </w:r>
          </w:p>
        </w:tc>
        <w:tc>
          <w:tcPr>
            <w:tcW w:type="dxa" w:w="5112"/>
            <w:vAlign w:val="top"/>
          </w:tcPr>
          <w:p>
            <w:pPr>
              <w:spacing w:after="0" w:before="0"/>
            </w:pPr>
            <w:r>
              <w:rPr>
                <w:rFonts w:ascii="Arial" w:hAnsi="Arial" w:eastAsia="Arial"/>
                <w:sz w:val="13"/>
              </w:rPr>
              <w:t>For each variable of interest, give sources of data and details of methods of assessment. Describe comparability of assessment methods if there is more than one group.</w:t>
            </w:r>
          </w:p>
        </w:tc>
        <w:tc>
          <w:tcPr>
            <w:tcW w:type="dxa" w:w="2880"/>
            <w:vAlign w:val="top"/>
          </w:tcPr>
          <w:p>
            <w:pPr>
              <w:spacing w:after="0" w:before="0"/>
            </w:pPr>
            <w:r>
              <w:rPr>
                <w:rFonts w:ascii="Arial" w:hAnsi="Arial" w:eastAsia="Arial"/>
                <w:sz w:val="13"/>
              </w:rPr>
              <w:t>Sections 2.1–2.3</w:t>
            </w:r>
          </w:p>
        </w:tc>
        <w:tc>
          <w:tcPr>
            <w:tcW w:type="dxa" w:w="5112"/>
            <w:vAlign w:val="top"/>
          </w:tcPr>
          <w:p>
            <w:pPr>
              <w:spacing w:after="0" w:before="0"/>
            </w:pPr>
            <w:r>
              <w:rPr>
                <w:rFonts w:ascii="Arial" w:hAnsi="Arial" w:eastAsia="Arial"/>
                <w:sz w:val="13"/>
              </w:rPr>
              <w:t>Clinical data source, MRI acquisition, ROI delineation, PyRadiomics feature extraction, and LASSO feature selection are described. Imaging limitations are acknowledged.</w:t>
            </w:r>
          </w:p>
        </w:tc>
      </w:tr>
      <w:tr>
        <w:trPr>
          <w:cantSplit/>
        </w:trPr>
        <w:tc>
          <w:tcPr>
            <w:tcW w:type="dxa" w:w="1944"/>
            <w:vAlign w:val="top"/>
          </w:tcPr>
          <w:p>
            <w:pPr>
              <w:spacing w:after="0" w:before="0"/>
            </w:pPr>
            <w:r>
              <w:rPr>
                <w:rFonts w:ascii="Arial" w:hAnsi="Arial" w:eastAsia="Arial"/>
                <w:sz w:val="13"/>
              </w:rPr>
              <w:t>Methods: Bias</w:t>
            </w:r>
          </w:p>
        </w:tc>
        <w:tc>
          <w:tcPr>
            <w:tcW w:type="dxa" w:w="792"/>
            <w:vAlign w:val="top"/>
          </w:tcPr>
          <w:p>
            <w:pPr>
              <w:spacing w:after="0" w:before="0"/>
            </w:pPr>
            <w:r>
              <w:rPr>
                <w:rFonts w:ascii="Arial" w:hAnsi="Arial" w:eastAsia="Arial"/>
                <w:sz w:val="13"/>
              </w:rPr>
              <w:t>9</w:t>
            </w:r>
          </w:p>
        </w:tc>
        <w:tc>
          <w:tcPr>
            <w:tcW w:type="dxa" w:w="5112"/>
            <w:vAlign w:val="top"/>
          </w:tcPr>
          <w:p>
            <w:pPr>
              <w:spacing w:after="0" w:before="0"/>
            </w:pPr>
            <w:r>
              <w:rPr>
                <w:rFonts w:ascii="Arial" w:hAnsi="Arial" w:eastAsia="Arial"/>
                <w:sz w:val="13"/>
              </w:rPr>
              <w:t>Describe any efforts to address potential sources of bias.</w:t>
            </w:r>
          </w:p>
        </w:tc>
        <w:tc>
          <w:tcPr>
            <w:tcW w:type="dxa" w:w="2880"/>
            <w:vAlign w:val="top"/>
          </w:tcPr>
          <w:p>
            <w:pPr>
              <w:spacing w:after="0" w:before="0"/>
            </w:pPr>
            <w:r>
              <w:rPr>
                <w:rFonts w:ascii="Arial" w:hAnsi="Arial" w:eastAsia="Arial"/>
                <w:sz w:val="13"/>
              </w:rPr>
              <w:t>Sections 2.2–2.4; Discussion; Limitations</w:t>
            </w:r>
          </w:p>
        </w:tc>
        <w:tc>
          <w:tcPr>
            <w:tcW w:type="dxa" w:w="5112"/>
            <w:vAlign w:val="top"/>
          </w:tcPr>
          <w:p>
            <w:pPr>
              <w:spacing w:after="0" w:before="0"/>
            </w:pPr>
            <w:r>
              <w:rPr>
                <w:rFonts w:ascii="Arial" w:hAnsi="Arial" w:eastAsia="Arial"/>
                <w:sz w:val="13"/>
              </w:rPr>
              <w:t>Observed clinical and radiomic covariates were incorporated into causal models. The manuscript discusses unmeasured confounding, treatment-group imbalance, missing outcome information, single-reader segmentation, and scanner variability.</w:t>
            </w:r>
          </w:p>
        </w:tc>
      </w:tr>
      <w:tr>
        <w:trPr>
          <w:cantSplit/>
        </w:trPr>
        <w:tc>
          <w:tcPr>
            <w:tcW w:type="dxa" w:w="1944"/>
            <w:vAlign w:val="top"/>
          </w:tcPr>
          <w:p>
            <w:pPr>
              <w:spacing w:after="0" w:before="0"/>
            </w:pPr>
            <w:r>
              <w:rPr>
                <w:rFonts w:ascii="Arial" w:hAnsi="Arial" w:eastAsia="Arial"/>
                <w:sz w:val="13"/>
              </w:rPr>
              <w:t>Methods: Study size</w:t>
            </w:r>
          </w:p>
        </w:tc>
        <w:tc>
          <w:tcPr>
            <w:tcW w:type="dxa" w:w="792"/>
            <w:vAlign w:val="top"/>
          </w:tcPr>
          <w:p>
            <w:pPr>
              <w:spacing w:after="0" w:before="0"/>
            </w:pPr>
            <w:r>
              <w:rPr>
                <w:rFonts w:ascii="Arial" w:hAnsi="Arial" w:eastAsia="Arial"/>
                <w:sz w:val="13"/>
              </w:rPr>
              <w:t>10</w:t>
            </w:r>
          </w:p>
        </w:tc>
        <w:tc>
          <w:tcPr>
            <w:tcW w:type="dxa" w:w="5112"/>
            <w:vAlign w:val="top"/>
          </w:tcPr>
          <w:p>
            <w:pPr>
              <w:spacing w:after="0" w:before="0"/>
            </w:pPr>
            <w:r>
              <w:rPr>
                <w:rFonts w:ascii="Arial" w:hAnsi="Arial" w:eastAsia="Arial"/>
                <w:sz w:val="13"/>
              </w:rPr>
              <w:t>Explain how the study size was arrived at.</w:t>
            </w:r>
          </w:p>
        </w:tc>
        <w:tc>
          <w:tcPr>
            <w:tcW w:type="dxa" w:w="2880"/>
            <w:vAlign w:val="top"/>
          </w:tcPr>
          <w:p>
            <w:pPr>
              <w:spacing w:after="0" w:before="0"/>
            </w:pPr>
            <w:r>
              <w:rPr>
                <w:rFonts w:ascii="Arial" w:hAnsi="Arial" w:eastAsia="Arial"/>
                <w:sz w:val="13"/>
              </w:rPr>
              <w:t>Section 2.1</w:t>
            </w:r>
          </w:p>
        </w:tc>
        <w:tc>
          <w:tcPr>
            <w:tcW w:type="dxa" w:w="5112"/>
            <w:vAlign w:val="top"/>
          </w:tcPr>
          <w:p>
            <w:pPr>
              <w:spacing w:after="0" w:before="0"/>
            </w:pPr>
            <w:r>
              <w:rPr>
                <w:rFonts w:ascii="Arial" w:hAnsi="Arial" w:eastAsia="Arial"/>
                <w:sz w:val="13"/>
              </w:rPr>
              <w:t>All eligible patients meeting the inclusion criteria during the study period were included to maximize data utilization.</w:t>
            </w:r>
          </w:p>
        </w:tc>
      </w:tr>
      <w:tr>
        <w:trPr>
          <w:cantSplit/>
        </w:trPr>
        <w:tc>
          <w:tcPr>
            <w:tcW w:type="dxa" w:w="1944"/>
            <w:vAlign w:val="top"/>
          </w:tcPr>
          <w:p>
            <w:pPr>
              <w:spacing w:after="0" w:before="0"/>
            </w:pPr>
            <w:r>
              <w:rPr>
                <w:rFonts w:ascii="Arial" w:hAnsi="Arial" w:eastAsia="Arial"/>
                <w:sz w:val="13"/>
              </w:rPr>
              <w:t>Methods: Quantitative variables</w:t>
            </w:r>
          </w:p>
        </w:tc>
        <w:tc>
          <w:tcPr>
            <w:tcW w:type="dxa" w:w="792"/>
            <w:vAlign w:val="top"/>
          </w:tcPr>
          <w:p>
            <w:pPr>
              <w:spacing w:after="0" w:before="0"/>
            </w:pPr>
            <w:r>
              <w:rPr>
                <w:rFonts w:ascii="Arial" w:hAnsi="Arial" w:eastAsia="Arial"/>
                <w:sz w:val="13"/>
              </w:rPr>
              <w:t>11</w:t>
            </w:r>
          </w:p>
        </w:tc>
        <w:tc>
          <w:tcPr>
            <w:tcW w:type="dxa" w:w="5112"/>
            <w:vAlign w:val="top"/>
          </w:tcPr>
          <w:p>
            <w:pPr>
              <w:spacing w:after="0" w:before="0"/>
            </w:pPr>
            <w:r>
              <w:rPr>
                <w:rFonts w:ascii="Arial" w:hAnsi="Arial" w:eastAsia="Arial"/>
                <w:sz w:val="13"/>
              </w:rPr>
              <w:t>Explain how quantitative variables were handled in the analyses. If applicable, describe groupings and why.</w:t>
            </w:r>
          </w:p>
        </w:tc>
        <w:tc>
          <w:tcPr>
            <w:tcW w:type="dxa" w:w="2880"/>
            <w:vAlign w:val="top"/>
          </w:tcPr>
          <w:p>
            <w:pPr>
              <w:spacing w:after="0" w:before="0"/>
            </w:pPr>
            <w:r>
              <w:rPr>
                <w:rFonts w:ascii="Arial" w:hAnsi="Arial" w:eastAsia="Arial"/>
                <w:sz w:val="13"/>
              </w:rPr>
              <w:t>Sections 2.2–2.5</w:t>
            </w:r>
          </w:p>
        </w:tc>
        <w:tc>
          <w:tcPr>
            <w:tcW w:type="dxa" w:w="5112"/>
            <w:vAlign w:val="top"/>
          </w:tcPr>
          <w:p>
            <w:pPr>
              <w:spacing w:after="0" w:before="0"/>
            </w:pPr>
            <w:r>
              <w:rPr>
                <w:rFonts w:ascii="Arial" w:hAnsi="Arial" w:eastAsia="Arial"/>
                <w:sz w:val="13"/>
              </w:rPr>
              <w:t>NAC cycles were categorized as &lt;4 versus ≥4 cycles; OS was dichotomized at a 2-year landmark; continuous variables were summarized and compared using the Wilcoxon rank-sum test; radiomic features were selected using LASSO.</w:t>
            </w:r>
          </w:p>
        </w:tc>
      </w:tr>
      <w:tr>
        <w:trPr>
          <w:cantSplit/>
        </w:trPr>
        <w:tc>
          <w:tcPr>
            <w:tcW w:type="dxa" w:w="1944"/>
            <w:vAlign w:val="top"/>
          </w:tcPr>
          <w:p>
            <w:pPr>
              <w:spacing w:after="0" w:before="0"/>
            </w:pPr>
            <w:r>
              <w:rPr>
                <w:rFonts w:ascii="Arial" w:hAnsi="Arial" w:eastAsia="Arial"/>
                <w:sz w:val="13"/>
              </w:rPr>
              <w:t>Methods: Statistical methods</w:t>
            </w:r>
          </w:p>
        </w:tc>
        <w:tc>
          <w:tcPr>
            <w:tcW w:type="dxa" w:w="792"/>
            <w:vAlign w:val="top"/>
          </w:tcPr>
          <w:p>
            <w:pPr>
              <w:spacing w:after="0" w:before="0"/>
            </w:pPr>
            <w:r>
              <w:rPr>
                <w:rFonts w:ascii="Arial" w:hAnsi="Arial" w:eastAsia="Arial"/>
                <w:sz w:val="13"/>
              </w:rPr>
              <w:t>12a</w:t>
            </w:r>
          </w:p>
        </w:tc>
        <w:tc>
          <w:tcPr>
            <w:tcW w:type="dxa" w:w="5112"/>
            <w:vAlign w:val="top"/>
          </w:tcPr>
          <w:p>
            <w:pPr>
              <w:spacing w:after="0" w:before="0"/>
            </w:pPr>
            <w:r>
              <w:rPr>
                <w:rFonts w:ascii="Arial" w:hAnsi="Arial" w:eastAsia="Arial"/>
                <w:sz w:val="13"/>
              </w:rPr>
              <w:t>Describe all statistical methods, including those used to control for confounding.</w:t>
            </w:r>
          </w:p>
        </w:tc>
        <w:tc>
          <w:tcPr>
            <w:tcW w:type="dxa" w:w="2880"/>
            <w:vAlign w:val="top"/>
          </w:tcPr>
          <w:p>
            <w:pPr>
              <w:spacing w:after="0" w:before="0"/>
            </w:pPr>
            <w:r>
              <w:rPr>
                <w:rFonts w:ascii="Arial" w:hAnsi="Arial" w:eastAsia="Arial"/>
                <w:sz w:val="13"/>
              </w:rPr>
              <w:t>Sections 2.4 and 2.5</w:t>
            </w:r>
          </w:p>
        </w:tc>
        <w:tc>
          <w:tcPr>
            <w:tcW w:type="dxa" w:w="5112"/>
            <w:vAlign w:val="top"/>
          </w:tcPr>
          <w:p>
            <w:pPr>
              <w:spacing w:after="0" w:before="0"/>
            </w:pPr>
            <w:r>
              <w:rPr>
                <w:rFonts w:ascii="Arial" w:hAnsi="Arial" w:eastAsia="Arial"/>
                <w:sz w:val="13"/>
              </w:rPr>
              <w:t>S-Learner, T-Learner, X-Learner, logistic regression propensity score estimation, bootstrap uncertainty estimation, and descriptive statistical tests are described.</w:t>
            </w:r>
          </w:p>
        </w:tc>
      </w:tr>
      <w:tr>
        <w:trPr>
          <w:cantSplit/>
        </w:trPr>
        <w:tc>
          <w:tcPr>
            <w:tcW w:type="dxa" w:w="1944"/>
            <w:vAlign w:val="top"/>
          </w:tcPr>
          <w:p>
            <w:pPr>
              <w:spacing w:after="0" w:before="0"/>
            </w:pPr>
            <w:r>
              <w:rPr>
                <w:rFonts w:ascii="Arial" w:hAnsi="Arial" w:eastAsia="Arial"/>
                <w:sz w:val="13"/>
              </w:rPr>
              <w:t>Methods: Statistical methods</w:t>
            </w:r>
          </w:p>
        </w:tc>
        <w:tc>
          <w:tcPr>
            <w:tcW w:type="dxa" w:w="792"/>
            <w:vAlign w:val="top"/>
          </w:tcPr>
          <w:p>
            <w:pPr>
              <w:spacing w:after="0" w:before="0"/>
            </w:pPr>
            <w:r>
              <w:rPr>
                <w:rFonts w:ascii="Arial" w:hAnsi="Arial" w:eastAsia="Arial"/>
                <w:sz w:val="13"/>
              </w:rPr>
              <w:t>12b</w:t>
            </w:r>
          </w:p>
        </w:tc>
        <w:tc>
          <w:tcPr>
            <w:tcW w:type="dxa" w:w="5112"/>
            <w:vAlign w:val="top"/>
          </w:tcPr>
          <w:p>
            <w:pPr>
              <w:spacing w:after="0" w:before="0"/>
            </w:pPr>
            <w:r>
              <w:rPr>
                <w:rFonts w:ascii="Arial" w:hAnsi="Arial" w:eastAsia="Arial"/>
                <w:sz w:val="13"/>
              </w:rPr>
              <w:t>Describe any methods used to examine subgroups and interactions.</w:t>
            </w:r>
          </w:p>
        </w:tc>
        <w:tc>
          <w:tcPr>
            <w:tcW w:type="dxa" w:w="2880"/>
            <w:vAlign w:val="top"/>
          </w:tcPr>
          <w:p>
            <w:pPr>
              <w:spacing w:after="0" w:before="0"/>
            </w:pPr>
            <w:r>
              <w:rPr>
                <w:rFonts w:ascii="Arial" w:hAnsi="Arial" w:eastAsia="Arial"/>
                <w:sz w:val="13"/>
              </w:rPr>
              <w:t>Not applicable</w:t>
            </w:r>
          </w:p>
        </w:tc>
        <w:tc>
          <w:tcPr>
            <w:tcW w:type="dxa" w:w="5112"/>
            <w:vAlign w:val="top"/>
          </w:tcPr>
          <w:p>
            <w:pPr>
              <w:spacing w:after="0" w:before="0"/>
            </w:pPr>
            <w:r>
              <w:rPr>
                <w:rFonts w:ascii="Arial" w:hAnsi="Arial" w:eastAsia="Arial"/>
                <w:sz w:val="13"/>
              </w:rPr>
              <w:t>No formal subgroup or interaction analysis was performed.</w:t>
            </w:r>
          </w:p>
        </w:tc>
      </w:tr>
      <w:tr>
        <w:trPr>
          <w:cantSplit/>
        </w:trPr>
        <w:tc>
          <w:tcPr>
            <w:tcW w:type="dxa" w:w="1944"/>
            <w:vAlign w:val="top"/>
          </w:tcPr>
          <w:p>
            <w:pPr>
              <w:spacing w:after="0" w:before="0"/>
            </w:pPr>
            <w:r>
              <w:rPr>
                <w:rFonts w:ascii="Arial" w:hAnsi="Arial" w:eastAsia="Arial"/>
                <w:sz w:val="13"/>
              </w:rPr>
              <w:t>Methods: Statistical methods</w:t>
            </w:r>
          </w:p>
        </w:tc>
        <w:tc>
          <w:tcPr>
            <w:tcW w:type="dxa" w:w="792"/>
            <w:vAlign w:val="top"/>
          </w:tcPr>
          <w:p>
            <w:pPr>
              <w:spacing w:after="0" w:before="0"/>
            </w:pPr>
            <w:r>
              <w:rPr>
                <w:rFonts w:ascii="Arial" w:hAnsi="Arial" w:eastAsia="Arial"/>
                <w:sz w:val="13"/>
              </w:rPr>
              <w:t>12c</w:t>
            </w:r>
          </w:p>
        </w:tc>
        <w:tc>
          <w:tcPr>
            <w:tcW w:type="dxa" w:w="5112"/>
            <w:vAlign w:val="top"/>
          </w:tcPr>
          <w:p>
            <w:pPr>
              <w:spacing w:after="0" w:before="0"/>
            </w:pPr>
            <w:r>
              <w:rPr>
                <w:rFonts w:ascii="Arial" w:hAnsi="Arial" w:eastAsia="Arial"/>
                <w:sz w:val="13"/>
              </w:rPr>
              <w:t>Explain how missing data were addressed.</w:t>
            </w:r>
          </w:p>
        </w:tc>
        <w:tc>
          <w:tcPr>
            <w:tcW w:type="dxa" w:w="2880"/>
            <w:vAlign w:val="top"/>
          </w:tcPr>
          <w:p>
            <w:pPr>
              <w:spacing w:after="0" w:before="0"/>
            </w:pPr>
            <w:r>
              <w:rPr>
                <w:rFonts w:ascii="Arial" w:hAnsi="Arial" w:eastAsia="Arial"/>
                <w:sz w:val="13"/>
              </w:rPr>
              <w:t>Sections 2.2, 3.1, and Limitations</w:t>
            </w:r>
          </w:p>
        </w:tc>
        <w:tc>
          <w:tcPr>
            <w:tcW w:type="dxa" w:w="5112"/>
            <w:vAlign w:val="top"/>
          </w:tcPr>
          <w:p>
            <w:pPr>
              <w:spacing w:after="0" w:before="0"/>
            </w:pPr>
            <w:r>
              <w:rPr>
                <w:rFonts w:ascii="Arial" w:hAnsi="Arial" w:eastAsia="Arial"/>
                <w:sz w:val="13"/>
              </w:rPr>
              <w:t>Patients with unavailable 2-year survival status were treated as having missing outcome information. No formal multiple imputation or missing-outcome sensitivity analysis was performed.</w:t>
            </w:r>
          </w:p>
        </w:tc>
      </w:tr>
      <w:tr>
        <w:trPr>
          <w:cantSplit/>
        </w:trPr>
        <w:tc>
          <w:tcPr>
            <w:tcW w:type="dxa" w:w="1944"/>
            <w:vAlign w:val="top"/>
          </w:tcPr>
          <w:p>
            <w:pPr>
              <w:spacing w:after="0" w:before="0"/>
            </w:pPr>
            <w:r>
              <w:rPr>
                <w:rFonts w:ascii="Arial" w:hAnsi="Arial" w:eastAsia="Arial"/>
                <w:sz w:val="13"/>
              </w:rPr>
              <w:t>Methods: Statistical methods</w:t>
            </w:r>
          </w:p>
        </w:tc>
        <w:tc>
          <w:tcPr>
            <w:tcW w:type="dxa" w:w="792"/>
            <w:vAlign w:val="top"/>
          </w:tcPr>
          <w:p>
            <w:pPr>
              <w:spacing w:after="0" w:before="0"/>
            </w:pPr>
            <w:r>
              <w:rPr>
                <w:rFonts w:ascii="Arial" w:hAnsi="Arial" w:eastAsia="Arial"/>
                <w:sz w:val="13"/>
              </w:rPr>
              <w:t>12d</w:t>
            </w:r>
          </w:p>
        </w:tc>
        <w:tc>
          <w:tcPr>
            <w:tcW w:type="dxa" w:w="5112"/>
            <w:vAlign w:val="top"/>
          </w:tcPr>
          <w:p>
            <w:pPr>
              <w:spacing w:after="0" w:before="0"/>
            </w:pPr>
            <w:r>
              <w:rPr>
                <w:rFonts w:ascii="Arial" w:hAnsi="Arial" w:eastAsia="Arial"/>
                <w:sz w:val="13"/>
              </w:rPr>
              <w:t>Cohort study—If applicable, explain how loss to follow-up was addressed.</w:t>
            </w:r>
          </w:p>
        </w:tc>
        <w:tc>
          <w:tcPr>
            <w:tcW w:type="dxa" w:w="2880"/>
            <w:vAlign w:val="top"/>
          </w:tcPr>
          <w:p>
            <w:pPr>
              <w:spacing w:after="0" w:before="0"/>
            </w:pPr>
            <w:r>
              <w:rPr>
                <w:rFonts w:ascii="Arial" w:hAnsi="Arial" w:eastAsia="Arial"/>
                <w:sz w:val="13"/>
              </w:rPr>
              <w:t>Sections 2.2, 3.1, and Limitations</w:t>
            </w:r>
          </w:p>
        </w:tc>
        <w:tc>
          <w:tcPr>
            <w:tcW w:type="dxa" w:w="5112"/>
            <w:vAlign w:val="top"/>
          </w:tcPr>
          <w:p>
            <w:pPr>
              <w:spacing w:after="0" w:before="0"/>
            </w:pPr>
            <w:r>
              <w:rPr>
                <w:rFonts w:ascii="Arial" w:hAnsi="Arial" w:eastAsia="Arial"/>
                <w:sz w:val="13"/>
              </w:rPr>
              <w:t>Missing overall survival information at the 2-year landmark was reported, and its influence was acknowledged as a limitation.</w:t>
            </w:r>
          </w:p>
        </w:tc>
      </w:tr>
      <w:tr>
        <w:trPr>
          <w:cantSplit/>
        </w:trPr>
        <w:tc>
          <w:tcPr>
            <w:tcW w:type="dxa" w:w="1944"/>
            <w:vAlign w:val="top"/>
          </w:tcPr>
          <w:p>
            <w:pPr>
              <w:spacing w:after="0" w:before="0"/>
            </w:pPr>
            <w:r>
              <w:rPr>
                <w:rFonts w:ascii="Arial" w:hAnsi="Arial" w:eastAsia="Arial"/>
                <w:sz w:val="13"/>
              </w:rPr>
              <w:t>Methods: Statistical methods</w:t>
            </w:r>
          </w:p>
        </w:tc>
        <w:tc>
          <w:tcPr>
            <w:tcW w:type="dxa" w:w="792"/>
            <w:vAlign w:val="top"/>
          </w:tcPr>
          <w:p>
            <w:pPr>
              <w:spacing w:after="0" w:before="0"/>
            </w:pPr>
            <w:r>
              <w:rPr>
                <w:rFonts w:ascii="Arial" w:hAnsi="Arial" w:eastAsia="Arial"/>
                <w:sz w:val="13"/>
              </w:rPr>
              <w:t>12e</w:t>
            </w:r>
          </w:p>
        </w:tc>
        <w:tc>
          <w:tcPr>
            <w:tcW w:type="dxa" w:w="5112"/>
            <w:vAlign w:val="top"/>
          </w:tcPr>
          <w:p>
            <w:pPr>
              <w:spacing w:after="0" w:before="0"/>
            </w:pPr>
            <w:r>
              <w:rPr>
                <w:rFonts w:ascii="Arial" w:hAnsi="Arial" w:eastAsia="Arial"/>
                <w:sz w:val="13"/>
              </w:rPr>
              <w:t>Describe any sensitivity analyses.</w:t>
            </w:r>
          </w:p>
        </w:tc>
        <w:tc>
          <w:tcPr>
            <w:tcW w:type="dxa" w:w="2880"/>
            <w:vAlign w:val="top"/>
          </w:tcPr>
          <w:p>
            <w:pPr>
              <w:spacing w:after="0" w:before="0"/>
            </w:pPr>
            <w:r>
              <w:rPr>
                <w:rFonts w:ascii="Arial" w:hAnsi="Arial" w:eastAsia="Arial"/>
                <w:sz w:val="13"/>
              </w:rPr>
              <w:t>Not applicable; Discussion and Limitations</w:t>
            </w:r>
          </w:p>
        </w:tc>
        <w:tc>
          <w:tcPr>
            <w:tcW w:type="dxa" w:w="5112"/>
            <w:vAlign w:val="top"/>
          </w:tcPr>
          <w:p>
            <w:pPr>
              <w:spacing w:after="0" w:before="0"/>
            </w:pPr>
            <w:r>
              <w:rPr>
                <w:rFonts w:ascii="Arial" w:hAnsi="Arial" w:eastAsia="Arial"/>
                <w:sz w:val="13"/>
              </w:rPr>
              <w:t>No formal sensitivity analysis was performed. The absence of formal sensitivity analysis is acknowledged in the Discussion and Limitations.</w:t>
            </w:r>
          </w:p>
        </w:tc>
      </w:tr>
      <w:tr>
        <w:trPr>
          <w:cantSplit/>
        </w:trPr>
        <w:tc>
          <w:tcPr>
            <w:tcW w:type="dxa" w:w="1944"/>
            <w:vAlign w:val="top"/>
          </w:tcPr>
          <w:p>
            <w:pPr>
              <w:spacing w:after="0" w:before="0"/>
            </w:pPr>
            <w:r>
              <w:rPr>
                <w:rFonts w:ascii="Arial" w:hAnsi="Arial" w:eastAsia="Arial"/>
                <w:sz w:val="13"/>
              </w:rPr>
              <w:t>Results: Participants</w:t>
            </w:r>
          </w:p>
        </w:tc>
        <w:tc>
          <w:tcPr>
            <w:tcW w:type="dxa" w:w="792"/>
            <w:vAlign w:val="top"/>
          </w:tcPr>
          <w:p>
            <w:pPr>
              <w:spacing w:after="0" w:before="0"/>
            </w:pPr>
            <w:r>
              <w:rPr>
                <w:rFonts w:ascii="Arial" w:hAnsi="Arial" w:eastAsia="Arial"/>
                <w:sz w:val="13"/>
              </w:rPr>
              <w:t>13a</w:t>
            </w:r>
          </w:p>
        </w:tc>
        <w:tc>
          <w:tcPr>
            <w:tcW w:type="dxa" w:w="5112"/>
            <w:vAlign w:val="top"/>
          </w:tcPr>
          <w:p>
            <w:pPr>
              <w:spacing w:after="0" w:before="0"/>
            </w:pPr>
            <w:r>
              <w:rPr>
                <w:rFonts w:ascii="Arial" w:hAnsi="Arial" w:eastAsia="Arial"/>
                <w:sz w:val="13"/>
              </w:rPr>
              <w:t>Report numbers of individuals at each stage of study.</w:t>
            </w:r>
          </w:p>
        </w:tc>
        <w:tc>
          <w:tcPr>
            <w:tcW w:type="dxa" w:w="2880"/>
            <w:vAlign w:val="top"/>
          </w:tcPr>
          <w:p>
            <w:pPr>
              <w:spacing w:after="0" w:before="0"/>
            </w:pPr>
            <w:r>
              <w:rPr>
                <w:rFonts w:ascii="Arial" w:hAnsi="Arial" w:eastAsia="Arial"/>
                <w:sz w:val="13"/>
              </w:rPr>
              <w:t>Section 3.1; Figure 1</w:t>
            </w:r>
          </w:p>
        </w:tc>
        <w:tc>
          <w:tcPr>
            <w:tcW w:type="dxa" w:w="5112"/>
            <w:vAlign w:val="top"/>
          </w:tcPr>
          <w:p>
            <w:pPr>
              <w:spacing w:after="0" w:before="0"/>
            </w:pPr>
            <w:r>
              <w:rPr>
                <w:rFonts w:ascii="Arial" w:hAnsi="Arial" w:eastAsia="Arial"/>
                <w:sz w:val="13"/>
              </w:rPr>
              <w:t>A total of 34 eligible patients were included and categorized into high-cycle (n=16) and low-cycle (n=18) groups. Participant selection is summarized in Figure 1.</w:t>
            </w:r>
          </w:p>
        </w:tc>
      </w:tr>
      <w:tr>
        <w:trPr>
          <w:cantSplit/>
        </w:trPr>
        <w:tc>
          <w:tcPr>
            <w:tcW w:type="dxa" w:w="1944"/>
            <w:vAlign w:val="top"/>
          </w:tcPr>
          <w:p>
            <w:pPr>
              <w:spacing w:after="0" w:before="0"/>
            </w:pPr>
            <w:r>
              <w:rPr>
                <w:rFonts w:ascii="Arial" w:hAnsi="Arial" w:eastAsia="Arial"/>
                <w:sz w:val="13"/>
              </w:rPr>
              <w:t>Results: Participants</w:t>
            </w:r>
          </w:p>
        </w:tc>
        <w:tc>
          <w:tcPr>
            <w:tcW w:type="dxa" w:w="792"/>
            <w:vAlign w:val="top"/>
          </w:tcPr>
          <w:p>
            <w:pPr>
              <w:spacing w:after="0" w:before="0"/>
            </w:pPr>
            <w:r>
              <w:rPr>
                <w:rFonts w:ascii="Arial" w:hAnsi="Arial" w:eastAsia="Arial"/>
                <w:sz w:val="13"/>
              </w:rPr>
              <w:t>13b</w:t>
            </w:r>
          </w:p>
        </w:tc>
        <w:tc>
          <w:tcPr>
            <w:tcW w:type="dxa" w:w="5112"/>
            <w:vAlign w:val="top"/>
          </w:tcPr>
          <w:p>
            <w:pPr>
              <w:spacing w:after="0" w:before="0"/>
            </w:pPr>
            <w:r>
              <w:rPr>
                <w:rFonts w:ascii="Arial" w:hAnsi="Arial" w:eastAsia="Arial"/>
                <w:sz w:val="13"/>
              </w:rPr>
              <w:t>Give reasons for non-participation at each stage.</w:t>
            </w:r>
          </w:p>
        </w:tc>
        <w:tc>
          <w:tcPr>
            <w:tcW w:type="dxa" w:w="2880"/>
            <w:vAlign w:val="top"/>
          </w:tcPr>
          <w:p>
            <w:pPr>
              <w:spacing w:after="0" w:before="0"/>
            </w:pPr>
            <w:r>
              <w:rPr>
                <w:rFonts w:ascii="Arial" w:hAnsi="Arial" w:eastAsia="Arial"/>
                <w:sz w:val="13"/>
              </w:rPr>
              <w:t>Section 2.1; Figure 1</w:t>
            </w:r>
          </w:p>
        </w:tc>
        <w:tc>
          <w:tcPr>
            <w:tcW w:type="dxa" w:w="5112"/>
            <w:vAlign w:val="top"/>
          </w:tcPr>
          <w:p>
            <w:pPr>
              <w:spacing w:after="0" w:before="0"/>
            </w:pPr>
            <w:r>
              <w:rPr>
                <w:rFonts w:ascii="Arial" w:hAnsi="Arial" w:eastAsia="Arial"/>
                <w:sz w:val="13"/>
              </w:rPr>
              <w:t>Eligibility criteria and exclusion criteria are described; patient selection is summarized in Figure 1.</w:t>
            </w:r>
          </w:p>
        </w:tc>
      </w:tr>
      <w:tr>
        <w:trPr>
          <w:cantSplit/>
        </w:trPr>
        <w:tc>
          <w:tcPr>
            <w:tcW w:type="dxa" w:w="1944"/>
            <w:vAlign w:val="top"/>
          </w:tcPr>
          <w:p>
            <w:pPr>
              <w:spacing w:after="0" w:before="0"/>
            </w:pPr>
            <w:r>
              <w:rPr>
                <w:rFonts w:ascii="Arial" w:hAnsi="Arial" w:eastAsia="Arial"/>
                <w:sz w:val="13"/>
              </w:rPr>
              <w:t>Results: Participants</w:t>
            </w:r>
          </w:p>
        </w:tc>
        <w:tc>
          <w:tcPr>
            <w:tcW w:type="dxa" w:w="792"/>
            <w:vAlign w:val="top"/>
          </w:tcPr>
          <w:p>
            <w:pPr>
              <w:spacing w:after="0" w:before="0"/>
            </w:pPr>
            <w:r>
              <w:rPr>
                <w:rFonts w:ascii="Arial" w:hAnsi="Arial" w:eastAsia="Arial"/>
                <w:sz w:val="13"/>
              </w:rPr>
              <w:t>13c</w:t>
            </w:r>
          </w:p>
        </w:tc>
        <w:tc>
          <w:tcPr>
            <w:tcW w:type="dxa" w:w="5112"/>
            <w:vAlign w:val="top"/>
          </w:tcPr>
          <w:p>
            <w:pPr>
              <w:spacing w:after="0" w:before="0"/>
            </w:pPr>
            <w:r>
              <w:rPr>
                <w:rFonts w:ascii="Arial" w:hAnsi="Arial" w:eastAsia="Arial"/>
                <w:sz w:val="13"/>
              </w:rPr>
              <w:t>Consider use of a flow diagram.</w:t>
            </w:r>
          </w:p>
        </w:tc>
        <w:tc>
          <w:tcPr>
            <w:tcW w:type="dxa" w:w="2880"/>
            <w:vAlign w:val="top"/>
          </w:tcPr>
          <w:p>
            <w:pPr>
              <w:spacing w:after="0" w:before="0"/>
            </w:pPr>
            <w:r>
              <w:rPr>
                <w:rFonts w:ascii="Arial" w:hAnsi="Arial" w:eastAsia="Arial"/>
                <w:sz w:val="13"/>
              </w:rPr>
              <w:t>Figure 1</w:t>
            </w:r>
          </w:p>
        </w:tc>
        <w:tc>
          <w:tcPr>
            <w:tcW w:type="dxa" w:w="5112"/>
            <w:vAlign w:val="top"/>
          </w:tcPr>
          <w:p>
            <w:pPr>
              <w:spacing w:after="0" w:before="0"/>
            </w:pPr>
            <w:r>
              <w:rPr>
                <w:rFonts w:ascii="Arial" w:hAnsi="Arial" w:eastAsia="Arial"/>
                <w:sz w:val="13"/>
              </w:rPr>
              <w:t>A flowchart illustrating patient selection and cohort construction is provided.</w:t>
            </w:r>
          </w:p>
        </w:tc>
      </w:tr>
      <w:tr>
        <w:trPr>
          <w:cantSplit/>
        </w:trPr>
        <w:tc>
          <w:tcPr>
            <w:tcW w:type="dxa" w:w="1944"/>
            <w:vAlign w:val="top"/>
          </w:tcPr>
          <w:p>
            <w:pPr>
              <w:spacing w:after="0" w:before="0"/>
            </w:pPr>
            <w:r>
              <w:rPr>
                <w:rFonts w:ascii="Arial" w:hAnsi="Arial" w:eastAsia="Arial"/>
                <w:sz w:val="13"/>
              </w:rPr>
              <w:t>Results: Descriptive data</w:t>
            </w:r>
          </w:p>
        </w:tc>
        <w:tc>
          <w:tcPr>
            <w:tcW w:type="dxa" w:w="792"/>
            <w:vAlign w:val="top"/>
          </w:tcPr>
          <w:p>
            <w:pPr>
              <w:spacing w:after="0" w:before="0"/>
            </w:pPr>
            <w:r>
              <w:rPr>
                <w:rFonts w:ascii="Arial" w:hAnsi="Arial" w:eastAsia="Arial"/>
                <w:sz w:val="13"/>
              </w:rPr>
              <w:t>14a</w:t>
            </w:r>
          </w:p>
        </w:tc>
        <w:tc>
          <w:tcPr>
            <w:tcW w:type="dxa" w:w="5112"/>
            <w:vAlign w:val="top"/>
          </w:tcPr>
          <w:p>
            <w:pPr>
              <w:spacing w:after="0" w:before="0"/>
            </w:pPr>
            <w:r>
              <w:rPr>
                <w:rFonts w:ascii="Arial" w:hAnsi="Arial" w:eastAsia="Arial"/>
                <w:sz w:val="13"/>
              </w:rPr>
              <w:t>Give characteristics of study participants and information on exposures and potential confounders.</w:t>
            </w:r>
          </w:p>
        </w:tc>
        <w:tc>
          <w:tcPr>
            <w:tcW w:type="dxa" w:w="2880"/>
            <w:vAlign w:val="top"/>
          </w:tcPr>
          <w:p>
            <w:pPr>
              <w:spacing w:after="0" w:before="0"/>
            </w:pPr>
            <w:r>
              <w:rPr>
                <w:rFonts w:ascii="Arial" w:hAnsi="Arial" w:eastAsia="Arial"/>
                <w:sz w:val="13"/>
              </w:rPr>
              <w:t>Section 3.1; Tables 1 and 2</w:t>
            </w:r>
          </w:p>
        </w:tc>
        <w:tc>
          <w:tcPr>
            <w:tcW w:type="dxa" w:w="5112"/>
            <w:vAlign w:val="top"/>
          </w:tcPr>
          <w:p>
            <w:pPr>
              <w:spacing w:after="0" w:before="0"/>
            </w:pPr>
            <w:r>
              <w:rPr>
                <w:rFonts w:ascii="Arial" w:hAnsi="Arial" w:eastAsia="Arial"/>
                <w:sz w:val="13"/>
              </w:rPr>
              <w:t>Baseline characteristics by chemotherapy cycle group and by sex are reported.</w:t>
            </w:r>
          </w:p>
        </w:tc>
      </w:tr>
      <w:tr>
        <w:trPr>
          <w:cantSplit/>
        </w:trPr>
        <w:tc>
          <w:tcPr>
            <w:tcW w:type="dxa" w:w="1944"/>
            <w:vAlign w:val="top"/>
          </w:tcPr>
          <w:p>
            <w:pPr>
              <w:spacing w:after="0" w:before="0"/>
            </w:pPr>
            <w:r>
              <w:rPr>
                <w:rFonts w:ascii="Arial" w:hAnsi="Arial" w:eastAsia="Arial"/>
                <w:sz w:val="13"/>
              </w:rPr>
              <w:t>Results: Descriptive data</w:t>
            </w:r>
          </w:p>
        </w:tc>
        <w:tc>
          <w:tcPr>
            <w:tcW w:type="dxa" w:w="792"/>
            <w:vAlign w:val="top"/>
          </w:tcPr>
          <w:p>
            <w:pPr>
              <w:spacing w:after="0" w:before="0"/>
            </w:pPr>
            <w:r>
              <w:rPr>
                <w:rFonts w:ascii="Arial" w:hAnsi="Arial" w:eastAsia="Arial"/>
                <w:sz w:val="13"/>
              </w:rPr>
              <w:t>14b</w:t>
            </w:r>
          </w:p>
        </w:tc>
        <w:tc>
          <w:tcPr>
            <w:tcW w:type="dxa" w:w="5112"/>
            <w:vAlign w:val="top"/>
          </w:tcPr>
          <w:p>
            <w:pPr>
              <w:spacing w:after="0" w:before="0"/>
            </w:pPr>
            <w:r>
              <w:rPr>
                <w:rFonts w:ascii="Arial" w:hAnsi="Arial" w:eastAsia="Arial"/>
                <w:sz w:val="13"/>
              </w:rPr>
              <w:t>Indicate number of participants with missing data for each variable of interest.</w:t>
            </w:r>
          </w:p>
        </w:tc>
        <w:tc>
          <w:tcPr>
            <w:tcW w:type="dxa" w:w="2880"/>
            <w:vAlign w:val="top"/>
          </w:tcPr>
          <w:p>
            <w:pPr>
              <w:spacing w:after="0" w:before="0"/>
            </w:pPr>
            <w:r>
              <w:rPr>
                <w:rFonts w:ascii="Arial" w:hAnsi="Arial" w:eastAsia="Arial"/>
                <w:sz w:val="13"/>
              </w:rPr>
              <w:t>Section 3.1; Tables 1 and 2; Limitations</w:t>
            </w:r>
          </w:p>
        </w:tc>
        <w:tc>
          <w:tcPr>
            <w:tcW w:type="dxa" w:w="5112"/>
            <w:vAlign w:val="top"/>
          </w:tcPr>
          <w:p>
            <w:pPr>
              <w:spacing w:after="0" w:before="0"/>
            </w:pPr>
            <w:r>
              <w:rPr>
                <w:rFonts w:ascii="Arial" w:hAnsi="Arial" w:eastAsia="Arial"/>
                <w:sz w:val="13"/>
              </w:rPr>
              <w:t>Missing PFS and OS information is reported. OS was unavailable for 7 patients.</w:t>
            </w:r>
          </w:p>
        </w:tc>
      </w:tr>
      <w:tr>
        <w:trPr>
          <w:cantSplit/>
        </w:trPr>
        <w:tc>
          <w:tcPr>
            <w:tcW w:type="dxa" w:w="1944"/>
            <w:vAlign w:val="top"/>
          </w:tcPr>
          <w:p>
            <w:pPr>
              <w:spacing w:after="0" w:before="0"/>
            </w:pPr>
            <w:r>
              <w:rPr>
                <w:rFonts w:ascii="Arial" w:hAnsi="Arial" w:eastAsia="Arial"/>
                <w:sz w:val="13"/>
              </w:rPr>
              <w:t>Results: Descriptive data</w:t>
            </w:r>
          </w:p>
        </w:tc>
        <w:tc>
          <w:tcPr>
            <w:tcW w:type="dxa" w:w="792"/>
            <w:vAlign w:val="top"/>
          </w:tcPr>
          <w:p>
            <w:pPr>
              <w:spacing w:after="0" w:before="0"/>
            </w:pPr>
            <w:r>
              <w:rPr>
                <w:rFonts w:ascii="Arial" w:hAnsi="Arial" w:eastAsia="Arial"/>
                <w:sz w:val="13"/>
              </w:rPr>
              <w:t>14c</w:t>
            </w:r>
          </w:p>
        </w:tc>
        <w:tc>
          <w:tcPr>
            <w:tcW w:type="dxa" w:w="5112"/>
            <w:vAlign w:val="top"/>
          </w:tcPr>
          <w:p>
            <w:pPr>
              <w:spacing w:after="0" w:before="0"/>
            </w:pPr>
            <w:r>
              <w:rPr>
                <w:rFonts w:ascii="Arial" w:hAnsi="Arial" w:eastAsia="Arial"/>
                <w:sz w:val="13"/>
              </w:rPr>
              <w:t>Cohort study—Summarise follow-up time.</w:t>
            </w:r>
          </w:p>
        </w:tc>
        <w:tc>
          <w:tcPr>
            <w:tcW w:type="dxa" w:w="2880"/>
            <w:vAlign w:val="top"/>
          </w:tcPr>
          <w:p>
            <w:pPr>
              <w:spacing w:after="0" w:before="0"/>
            </w:pPr>
            <w:r>
              <w:rPr>
                <w:rFonts w:ascii="Arial" w:hAnsi="Arial" w:eastAsia="Arial"/>
                <w:sz w:val="13"/>
              </w:rPr>
              <w:t>Tables 1 and 2; Limitations</w:t>
            </w:r>
          </w:p>
        </w:tc>
        <w:tc>
          <w:tcPr>
            <w:tcW w:type="dxa" w:w="5112"/>
            <w:vAlign w:val="top"/>
          </w:tcPr>
          <w:p>
            <w:pPr>
              <w:spacing w:after="0" w:before="0"/>
            </w:pPr>
            <w:r>
              <w:rPr>
                <w:rFonts w:ascii="Arial" w:hAnsi="Arial" w:eastAsia="Arial"/>
                <w:sz w:val="13"/>
              </w:rPr>
              <w:t>PFS and OS summary information is reported, and limited follow-up/right-censoring is discussed as a limitation.</w:t>
            </w:r>
          </w:p>
        </w:tc>
      </w:tr>
      <w:tr>
        <w:trPr>
          <w:cantSplit/>
        </w:trPr>
        <w:tc>
          <w:tcPr>
            <w:tcW w:type="dxa" w:w="1944"/>
            <w:vAlign w:val="top"/>
          </w:tcPr>
          <w:p>
            <w:pPr>
              <w:spacing w:after="0" w:before="0"/>
            </w:pPr>
            <w:r>
              <w:rPr>
                <w:rFonts w:ascii="Arial" w:hAnsi="Arial" w:eastAsia="Arial"/>
                <w:sz w:val="13"/>
              </w:rPr>
              <w:t>Results: Outcome data</w:t>
            </w:r>
          </w:p>
        </w:tc>
        <w:tc>
          <w:tcPr>
            <w:tcW w:type="dxa" w:w="792"/>
            <w:vAlign w:val="top"/>
          </w:tcPr>
          <w:p>
            <w:pPr>
              <w:spacing w:after="0" w:before="0"/>
            </w:pPr>
            <w:r>
              <w:rPr>
                <w:rFonts w:ascii="Arial" w:hAnsi="Arial" w:eastAsia="Arial"/>
                <w:sz w:val="13"/>
              </w:rPr>
              <w:t>15</w:t>
            </w:r>
          </w:p>
        </w:tc>
        <w:tc>
          <w:tcPr>
            <w:tcW w:type="dxa" w:w="5112"/>
            <w:vAlign w:val="top"/>
          </w:tcPr>
          <w:p>
            <w:pPr>
              <w:spacing w:after="0" w:before="0"/>
            </w:pPr>
            <w:r>
              <w:rPr>
                <w:rFonts w:ascii="Arial" w:hAnsi="Arial" w:eastAsia="Arial"/>
                <w:sz w:val="13"/>
              </w:rPr>
              <w:t>Cohort study—Report numbers of outcome events or summary measures over time.</w:t>
            </w:r>
          </w:p>
        </w:tc>
        <w:tc>
          <w:tcPr>
            <w:tcW w:type="dxa" w:w="2880"/>
            <w:vAlign w:val="top"/>
          </w:tcPr>
          <w:p>
            <w:pPr>
              <w:spacing w:after="0" w:before="0"/>
            </w:pPr>
            <w:r>
              <w:rPr>
                <w:rFonts w:ascii="Arial" w:hAnsi="Arial" w:eastAsia="Arial"/>
                <w:sz w:val="13"/>
              </w:rPr>
              <w:t>Section 3.1; Tables 1 and 2</w:t>
            </w:r>
          </w:p>
        </w:tc>
        <w:tc>
          <w:tcPr>
            <w:tcW w:type="dxa" w:w="5112"/>
            <w:vAlign w:val="top"/>
          </w:tcPr>
          <w:p>
            <w:pPr>
              <w:spacing w:after="0" w:before="0"/>
            </w:pPr>
            <w:r>
              <w:rPr>
                <w:rFonts w:ascii="Arial" w:hAnsi="Arial" w:eastAsia="Arial"/>
                <w:sz w:val="13"/>
              </w:rPr>
              <w:t>Overall survival and progression-free survival summaries and missing outcome counts are reported.</w:t>
            </w:r>
          </w:p>
        </w:tc>
      </w:tr>
      <w:tr>
        <w:trPr>
          <w:cantSplit/>
        </w:trPr>
        <w:tc>
          <w:tcPr>
            <w:tcW w:type="dxa" w:w="1944"/>
            <w:vAlign w:val="top"/>
          </w:tcPr>
          <w:p>
            <w:pPr>
              <w:spacing w:after="0" w:before="0"/>
            </w:pPr>
            <w:r>
              <w:rPr>
                <w:rFonts w:ascii="Arial" w:hAnsi="Arial" w:eastAsia="Arial"/>
                <w:sz w:val="13"/>
              </w:rPr>
              <w:t>Results: Main results</w:t>
            </w:r>
          </w:p>
        </w:tc>
        <w:tc>
          <w:tcPr>
            <w:tcW w:type="dxa" w:w="792"/>
            <w:vAlign w:val="top"/>
          </w:tcPr>
          <w:p>
            <w:pPr>
              <w:spacing w:after="0" w:before="0"/>
            </w:pPr>
            <w:r>
              <w:rPr>
                <w:rFonts w:ascii="Arial" w:hAnsi="Arial" w:eastAsia="Arial"/>
                <w:sz w:val="13"/>
              </w:rPr>
              <w:t>16a</w:t>
            </w:r>
          </w:p>
        </w:tc>
        <w:tc>
          <w:tcPr>
            <w:tcW w:type="dxa" w:w="5112"/>
            <w:vAlign w:val="top"/>
          </w:tcPr>
          <w:p>
            <w:pPr>
              <w:spacing w:after="0" w:before="0"/>
            </w:pPr>
            <w:r>
              <w:rPr>
                <w:rFonts w:ascii="Arial" w:hAnsi="Arial" w:eastAsia="Arial"/>
                <w:sz w:val="13"/>
              </w:rPr>
              <w:t>Give unadjusted and, if applicable, confounder-adjusted estimates and their precision.</w:t>
            </w:r>
          </w:p>
        </w:tc>
        <w:tc>
          <w:tcPr>
            <w:tcW w:type="dxa" w:w="2880"/>
            <w:vAlign w:val="top"/>
          </w:tcPr>
          <w:p>
            <w:pPr>
              <w:spacing w:after="0" w:before="0"/>
            </w:pPr>
            <w:r>
              <w:rPr>
                <w:rFonts w:ascii="Arial" w:hAnsi="Arial" w:eastAsia="Arial"/>
                <w:sz w:val="13"/>
              </w:rPr>
              <w:t>Table 4; Section 3.3</w:t>
            </w:r>
          </w:p>
        </w:tc>
        <w:tc>
          <w:tcPr>
            <w:tcW w:type="dxa" w:w="5112"/>
            <w:vAlign w:val="top"/>
          </w:tcPr>
          <w:p>
            <w:pPr>
              <w:spacing w:after="0" w:before="0"/>
            </w:pPr>
            <w:r>
              <w:rPr>
                <w:rFonts w:ascii="Arial" w:hAnsi="Arial" w:eastAsia="Arial"/>
                <w:sz w:val="13"/>
              </w:rPr>
              <w:t>Exploratory ATE estimates and 95% confidence intervals from causal meta-learners are reported.</w:t>
            </w:r>
          </w:p>
        </w:tc>
      </w:tr>
      <w:tr>
        <w:trPr>
          <w:cantSplit/>
        </w:trPr>
        <w:tc>
          <w:tcPr>
            <w:tcW w:type="dxa" w:w="1944"/>
            <w:vAlign w:val="top"/>
          </w:tcPr>
          <w:p>
            <w:pPr>
              <w:spacing w:after="0" w:before="0"/>
            </w:pPr>
            <w:r>
              <w:rPr>
                <w:rFonts w:ascii="Arial" w:hAnsi="Arial" w:eastAsia="Arial"/>
                <w:sz w:val="13"/>
              </w:rPr>
              <w:t>Results: Main results</w:t>
            </w:r>
          </w:p>
        </w:tc>
        <w:tc>
          <w:tcPr>
            <w:tcW w:type="dxa" w:w="792"/>
            <w:vAlign w:val="top"/>
          </w:tcPr>
          <w:p>
            <w:pPr>
              <w:spacing w:after="0" w:before="0"/>
            </w:pPr>
            <w:r>
              <w:rPr>
                <w:rFonts w:ascii="Arial" w:hAnsi="Arial" w:eastAsia="Arial"/>
                <w:sz w:val="13"/>
              </w:rPr>
              <w:t>16b</w:t>
            </w:r>
          </w:p>
        </w:tc>
        <w:tc>
          <w:tcPr>
            <w:tcW w:type="dxa" w:w="5112"/>
            <w:vAlign w:val="top"/>
          </w:tcPr>
          <w:p>
            <w:pPr>
              <w:spacing w:after="0" w:before="0"/>
            </w:pPr>
            <w:r>
              <w:rPr>
                <w:rFonts w:ascii="Arial" w:hAnsi="Arial" w:eastAsia="Arial"/>
                <w:sz w:val="13"/>
              </w:rPr>
              <w:t>Report category boundaries when continuous variables were categorized.</w:t>
            </w:r>
          </w:p>
        </w:tc>
        <w:tc>
          <w:tcPr>
            <w:tcW w:type="dxa" w:w="2880"/>
            <w:vAlign w:val="top"/>
          </w:tcPr>
          <w:p>
            <w:pPr>
              <w:spacing w:after="0" w:before="0"/>
            </w:pPr>
            <w:r>
              <w:rPr>
                <w:rFonts w:ascii="Arial" w:hAnsi="Arial" w:eastAsia="Arial"/>
                <w:sz w:val="13"/>
              </w:rPr>
              <w:t>Section 2.2</w:t>
            </w:r>
          </w:p>
        </w:tc>
        <w:tc>
          <w:tcPr>
            <w:tcW w:type="dxa" w:w="5112"/>
            <w:vAlign w:val="top"/>
          </w:tcPr>
          <w:p>
            <w:pPr>
              <w:spacing w:after="0" w:before="0"/>
            </w:pPr>
            <w:r>
              <w:rPr>
                <w:rFonts w:ascii="Arial" w:hAnsi="Arial" w:eastAsia="Arial"/>
                <w:sz w:val="13"/>
              </w:rPr>
              <w:t>NAC cycles were categorized as &lt;4 versus ≥4 cycles; OS was dichotomized at the 2-year landmark.</w:t>
            </w:r>
          </w:p>
        </w:tc>
      </w:tr>
      <w:tr>
        <w:trPr>
          <w:cantSplit/>
        </w:trPr>
        <w:tc>
          <w:tcPr>
            <w:tcW w:type="dxa" w:w="1944"/>
            <w:vAlign w:val="top"/>
          </w:tcPr>
          <w:p>
            <w:pPr>
              <w:spacing w:after="0" w:before="0"/>
            </w:pPr>
            <w:r>
              <w:rPr>
                <w:rFonts w:ascii="Arial" w:hAnsi="Arial" w:eastAsia="Arial"/>
                <w:sz w:val="13"/>
              </w:rPr>
              <w:t>Results: Main results</w:t>
            </w:r>
          </w:p>
        </w:tc>
        <w:tc>
          <w:tcPr>
            <w:tcW w:type="dxa" w:w="792"/>
            <w:vAlign w:val="top"/>
          </w:tcPr>
          <w:p>
            <w:pPr>
              <w:spacing w:after="0" w:before="0"/>
            </w:pPr>
            <w:r>
              <w:rPr>
                <w:rFonts w:ascii="Arial" w:hAnsi="Arial" w:eastAsia="Arial"/>
                <w:sz w:val="13"/>
              </w:rPr>
              <w:t>16c</w:t>
            </w:r>
          </w:p>
        </w:tc>
        <w:tc>
          <w:tcPr>
            <w:tcW w:type="dxa" w:w="5112"/>
            <w:vAlign w:val="top"/>
          </w:tcPr>
          <w:p>
            <w:pPr>
              <w:spacing w:after="0" w:before="0"/>
            </w:pPr>
            <w:r>
              <w:rPr>
                <w:rFonts w:ascii="Arial" w:hAnsi="Arial" w:eastAsia="Arial"/>
                <w:sz w:val="13"/>
              </w:rPr>
              <w:t>If relevant, consider translating estimates of relative risk into absolute risk for a meaningful time period.</w:t>
            </w:r>
          </w:p>
        </w:tc>
        <w:tc>
          <w:tcPr>
            <w:tcW w:type="dxa" w:w="2880"/>
            <w:vAlign w:val="top"/>
          </w:tcPr>
          <w:p>
            <w:pPr>
              <w:spacing w:after="0" w:before="0"/>
            </w:pPr>
            <w:r>
              <w:rPr>
                <w:rFonts w:ascii="Arial" w:hAnsi="Arial" w:eastAsia="Arial"/>
                <w:sz w:val="13"/>
              </w:rPr>
              <w:t>Not applicable</w:t>
            </w:r>
          </w:p>
        </w:tc>
        <w:tc>
          <w:tcPr>
            <w:tcW w:type="dxa" w:w="5112"/>
            <w:vAlign w:val="top"/>
          </w:tcPr>
          <w:p>
            <w:pPr>
              <w:spacing w:after="0" w:before="0"/>
            </w:pPr>
            <w:r>
              <w:rPr>
                <w:rFonts w:ascii="Arial" w:hAnsi="Arial" w:eastAsia="Arial"/>
                <w:sz w:val="13"/>
              </w:rPr>
              <w:t>Treatment effects were reported as probability differences, not relative risks.</w:t>
            </w:r>
          </w:p>
        </w:tc>
      </w:tr>
      <w:tr>
        <w:trPr>
          <w:cantSplit/>
        </w:trPr>
        <w:tc>
          <w:tcPr>
            <w:tcW w:type="dxa" w:w="1944"/>
            <w:vAlign w:val="top"/>
          </w:tcPr>
          <w:p>
            <w:pPr>
              <w:spacing w:after="0" w:before="0"/>
            </w:pPr>
            <w:r>
              <w:rPr>
                <w:rFonts w:ascii="Arial" w:hAnsi="Arial" w:eastAsia="Arial"/>
                <w:sz w:val="13"/>
              </w:rPr>
              <w:t>Results: Other analyses</w:t>
            </w:r>
          </w:p>
        </w:tc>
        <w:tc>
          <w:tcPr>
            <w:tcW w:type="dxa" w:w="792"/>
            <w:vAlign w:val="top"/>
          </w:tcPr>
          <w:p>
            <w:pPr>
              <w:spacing w:after="0" w:before="0"/>
            </w:pPr>
            <w:r>
              <w:rPr>
                <w:rFonts w:ascii="Arial" w:hAnsi="Arial" w:eastAsia="Arial"/>
                <w:sz w:val="13"/>
              </w:rPr>
              <w:t>17</w:t>
            </w:r>
          </w:p>
        </w:tc>
        <w:tc>
          <w:tcPr>
            <w:tcW w:type="dxa" w:w="5112"/>
            <w:vAlign w:val="top"/>
          </w:tcPr>
          <w:p>
            <w:pPr>
              <w:spacing w:after="0" w:before="0"/>
            </w:pPr>
            <w:r>
              <w:rPr>
                <w:rFonts w:ascii="Arial" w:hAnsi="Arial" w:eastAsia="Arial"/>
                <w:sz w:val="13"/>
              </w:rPr>
              <w:t>Report other analyses done, e.g., subgroup/interactions/sensitivity analyses.</w:t>
            </w:r>
          </w:p>
        </w:tc>
        <w:tc>
          <w:tcPr>
            <w:tcW w:type="dxa" w:w="2880"/>
            <w:vAlign w:val="top"/>
          </w:tcPr>
          <w:p>
            <w:pPr>
              <w:spacing w:after="0" w:before="0"/>
            </w:pPr>
            <w:r>
              <w:rPr>
                <w:rFonts w:ascii="Arial" w:hAnsi="Arial" w:eastAsia="Arial"/>
                <w:sz w:val="13"/>
              </w:rPr>
              <w:t>Sections 3.2 and 3.3; Figure 3; Table 5</w:t>
            </w:r>
          </w:p>
        </w:tc>
        <w:tc>
          <w:tcPr>
            <w:tcW w:type="dxa" w:w="5112"/>
            <w:vAlign w:val="top"/>
          </w:tcPr>
          <w:p>
            <w:pPr>
              <w:spacing w:after="0" w:before="0"/>
            </w:pPr>
            <w:r>
              <w:rPr>
                <w:rFonts w:ascii="Arial" w:hAnsi="Arial" w:eastAsia="Arial"/>
                <w:sz w:val="13"/>
              </w:rPr>
              <w:t>Radiomic feature selection and group-wise comparisons are reported. Table 5 provides illustrative ITE examples. No formal sensitivity analysis was performed.</w:t>
            </w:r>
          </w:p>
        </w:tc>
      </w:tr>
      <w:tr>
        <w:trPr>
          <w:cantSplit/>
        </w:trPr>
        <w:tc>
          <w:tcPr>
            <w:tcW w:type="dxa" w:w="1944"/>
            <w:vAlign w:val="top"/>
          </w:tcPr>
          <w:p>
            <w:pPr>
              <w:spacing w:after="0" w:before="0"/>
            </w:pPr>
            <w:r>
              <w:rPr>
                <w:rFonts w:ascii="Arial" w:hAnsi="Arial" w:eastAsia="Arial"/>
                <w:sz w:val="13"/>
              </w:rPr>
              <w:t>Discussion: Key results</w:t>
            </w:r>
          </w:p>
        </w:tc>
        <w:tc>
          <w:tcPr>
            <w:tcW w:type="dxa" w:w="792"/>
            <w:vAlign w:val="top"/>
          </w:tcPr>
          <w:p>
            <w:pPr>
              <w:spacing w:after="0" w:before="0"/>
            </w:pPr>
            <w:r>
              <w:rPr>
                <w:rFonts w:ascii="Arial" w:hAnsi="Arial" w:eastAsia="Arial"/>
                <w:sz w:val="13"/>
              </w:rPr>
              <w:t>18</w:t>
            </w:r>
          </w:p>
        </w:tc>
        <w:tc>
          <w:tcPr>
            <w:tcW w:type="dxa" w:w="5112"/>
            <w:vAlign w:val="top"/>
          </w:tcPr>
          <w:p>
            <w:pPr>
              <w:spacing w:after="0" w:before="0"/>
            </w:pPr>
            <w:r>
              <w:rPr>
                <w:rFonts w:ascii="Arial" w:hAnsi="Arial" w:eastAsia="Arial"/>
                <w:sz w:val="13"/>
              </w:rPr>
              <w:t>Summarise key results with reference to study objectives.</w:t>
            </w:r>
          </w:p>
        </w:tc>
        <w:tc>
          <w:tcPr>
            <w:tcW w:type="dxa" w:w="2880"/>
            <w:vAlign w:val="top"/>
          </w:tcPr>
          <w:p>
            <w:pPr>
              <w:spacing w:after="0" w:before="0"/>
            </w:pPr>
            <w:r>
              <w:rPr>
                <w:rFonts w:ascii="Arial" w:hAnsi="Arial" w:eastAsia="Arial"/>
                <w:sz w:val="13"/>
              </w:rPr>
              <w:t>Discussion</w:t>
            </w:r>
          </w:p>
        </w:tc>
        <w:tc>
          <w:tcPr>
            <w:tcW w:type="dxa" w:w="5112"/>
            <w:vAlign w:val="top"/>
          </w:tcPr>
          <w:p>
            <w:pPr>
              <w:spacing w:after="0" w:before="0"/>
            </w:pPr>
            <w:r>
              <w:rPr>
                <w:rFonts w:ascii="Arial" w:hAnsi="Arial" w:eastAsia="Arial"/>
                <w:sz w:val="13"/>
              </w:rPr>
              <w:t>The Discussion summarizes the feasibility of the framework, instability of ATE estimates, and exploratory interpretation.</w:t>
            </w:r>
          </w:p>
        </w:tc>
      </w:tr>
      <w:tr>
        <w:trPr>
          <w:cantSplit/>
        </w:trPr>
        <w:tc>
          <w:tcPr>
            <w:tcW w:type="dxa" w:w="1944"/>
            <w:vAlign w:val="top"/>
          </w:tcPr>
          <w:p>
            <w:pPr>
              <w:spacing w:after="0" w:before="0"/>
            </w:pPr>
            <w:r>
              <w:rPr>
                <w:rFonts w:ascii="Arial" w:hAnsi="Arial" w:eastAsia="Arial"/>
                <w:sz w:val="13"/>
              </w:rPr>
              <w:t>Discussion: Limitations</w:t>
            </w:r>
          </w:p>
        </w:tc>
        <w:tc>
          <w:tcPr>
            <w:tcW w:type="dxa" w:w="792"/>
            <w:vAlign w:val="top"/>
          </w:tcPr>
          <w:p>
            <w:pPr>
              <w:spacing w:after="0" w:before="0"/>
            </w:pPr>
            <w:r>
              <w:rPr>
                <w:rFonts w:ascii="Arial" w:hAnsi="Arial" w:eastAsia="Arial"/>
                <w:sz w:val="13"/>
              </w:rPr>
              <w:t>19</w:t>
            </w:r>
          </w:p>
        </w:tc>
        <w:tc>
          <w:tcPr>
            <w:tcW w:type="dxa" w:w="5112"/>
            <w:vAlign w:val="top"/>
          </w:tcPr>
          <w:p>
            <w:pPr>
              <w:spacing w:after="0" w:before="0"/>
            </w:pPr>
            <w:r>
              <w:rPr>
                <w:rFonts w:ascii="Arial" w:hAnsi="Arial" w:eastAsia="Arial"/>
                <w:sz w:val="13"/>
              </w:rPr>
              <w:t>Discuss limitations, taking into account sources of potential bias or imprecision; discuss direction and magnitude of potential bias.</w:t>
            </w:r>
          </w:p>
        </w:tc>
        <w:tc>
          <w:tcPr>
            <w:tcW w:type="dxa" w:w="2880"/>
            <w:vAlign w:val="top"/>
          </w:tcPr>
          <w:p>
            <w:pPr>
              <w:spacing w:after="0" w:before="0"/>
            </w:pPr>
            <w:r>
              <w:rPr>
                <w:rFonts w:ascii="Arial" w:hAnsi="Arial" w:eastAsia="Arial"/>
                <w:sz w:val="13"/>
              </w:rPr>
              <w:t>Discussion; Limitations</w:t>
            </w:r>
          </w:p>
        </w:tc>
        <w:tc>
          <w:tcPr>
            <w:tcW w:type="dxa" w:w="5112"/>
            <w:vAlign w:val="top"/>
          </w:tcPr>
          <w:p>
            <w:pPr>
              <w:spacing w:after="0" w:before="0"/>
            </w:pPr>
            <w:r>
              <w:rPr>
                <w:rFonts w:ascii="Arial" w:hAnsi="Arial" w:eastAsia="Arial"/>
                <w:sz w:val="13"/>
              </w:rPr>
              <w:t>The manuscript discusses small sample size, inconsistent learner results, missing outcome information, sex imbalance, unmeasured confounding, dichotomization of OS, single-reader segmentation, lack of ICC, T1-only radiomics, scanner variability, and limited generalizability.</w:t>
            </w:r>
          </w:p>
        </w:tc>
      </w:tr>
      <w:tr>
        <w:trPr>
          <w:cantSplit/>
        </w:trPr>
        <w:tc>
          <w:tcPr>
            <w:tcW w:type="dxa" w:w="1944"/>
            <w:vAlign w:val="top"/>
          </w:tcPr>
          <w:p>
            <w:pPr>
              <w:spacing w:after="0" w:before="0"/>
            </w:pPr>
            <w:r>
              <w:rPr>
                <w:rFonts w:ascii="Arial" w:hAnsi="Arial" w:eastAsia="Arial"/>
                <w:sz w:val="13"/>
              </w:rPr>
              <w:t>Discussion: Interpretation</w:t>
            </w:r>
          </w:p>
        </w:tc>
        <w:tc>
          <w:tcPr>
            <w:tcW w:type="dxa" w:w="792"/>
            <w:vAlign w:val="top"/>
          </w:tcPr>
          <w:p>
            <w:pPr>
              <w:spacing w:after="0" w:before="0"/>
            </w:pPr>
            <w:r>
              <w:rPr>
                <w:rFonts w:ascii="Arial" w:hAnsi="Arial" w:eastAsia="Arial"/>
                <w:sz w:val="13"/>
              </w:rPr>
              <w:t>20</w:t>
            </w:r>
          </w:p>
        </w:tc>
        <w:tc>
          <w:tcPr>
            <w:tcW w:type="dxa" w:w="5112"/>
            <w:vAlign w:val="top"/>
          </w:tcPr>
          <w:p>
            <w:pPr>
              <w:spacing w:after="0" w:before="0"/>
            </w:pPr>
            <w:r>
              <w:rPr>
                <w:rFonts w:ascii="Arial" w:hAnsi="Arial" w:eastAsia="Arial"/>
                <w:sz w:val="13"/>
              </w:rPr>
              <w:t>Give a cautious overall interpretation of results considering objectives, limitations, multiplicity, similar studies, and other evidence.</w:t>
            </w:r>
          </w:p>
        </w:tc>
        <w:tc>
          <w:tcPr>
            <w:tcW w:type="dxa" w:w="2880"/>
            <w:vAlign w:val="top"/>
          </w:tcPr>
          <w:p>
            <w:pPr>
              <w:spacing w:after="0" w:before="0"/>
            </w:pPr>
            <w:r>
              <w:rPr>
                <w:rFonts w:ascii="Arial" w:hAnsi="Arial" w:eastAsia="Arial"/>
                <w:sz w:val="13"/>
              </w:rPr>
              <w:t>Discussion; Conclusion</w:t>
            </w:r>
          </w:p>
        </w:tc>
        <w:tc>
          <w:tcPr>
            <w:tcW w:type="dxa" w:w="5112"/>
            <w:vAlign w:val="top"/>
          </w:tcPr>
          <w:p>
            <w:pPr>
              <w:spacing w:after="0" w:before="0"/>
            </w:pPr>
            <w:r>
              <w:rPr>
                <w:rFonts w:ascii="Arial" w:hAnsi="Arial" w:eastAsia="Arial"/>
                <w:sz w:val="13"/>
              </w:rPr>
              <w:t>Findings are interpreted as methodological and hypothesis-generating rather than clinically actionable.</w:t>
            </w:r>
          </w:p>
        </w:tc>
      </w:tr>
      <w:tr>
        <w:trPr>
          <w:cantSplit/>
        </w:trPr>
        <w:tc>
          <w:tcPr>
            <w:tcW w:type="dxa" w:w="1944"/>
            <w:vAlign w:val="top"/>
          </w:tcPr>
          <w:p>
            <w:pPr>
              <w:spacing w:after="0" w:before="0"/>
            </w:pPr>
            <w:r>
              <w:rPr>
                <w:rFonts w:ascii="Arial" w:hAnsi="Arial" w:eastAsia="Arial"/>
                <w:sz w:val="13"/>
              </w:rPr>
              <w:t>Discussion: Generalisability</w:t>
            </w:r>
          </w:p>
        </w:tc>
        <w:tc>
          <w:tcPr>
            <w:tcW w:type="dxa" w:w="792"/>
            <w:vAlign w:val="top"/>
          </w:tcPr>
          <w:p>
            <w:pPr>
              <w:spacing w:after="0" w:before="0"/>
            </w:pPr>
            <w:r>
              <w:rPr>
                <w:rFonts w:ascii="Arial" w:hAnsi="Arial" w:eastAsia="Arial"/>
                <w:sz w:val="13"/>
              </w:rPr>
              <w:t>21</w:t>
            </w:r>
          </w:p>
        </w:tc>
        <w:tc>
          <w:tcPr>
            <w:tcW w:type="dxa" w:w="5112"/>
            <w:vAlign w:val="top"/>
          </w:tcPr>
          <w:p>
            <w:pPr>
              <w:spacing w:after="0" w:before="0"/>
            </w:pPr>
            <w:r>
              <w:rPr>
                <w:rFonts w:ascii="Arial" w:hAnsi="Arial" w:eastAsia="Arial"/>
                <w:sz w:val="13"/>
              </w:rPr>
              <w:t>Discuss the generalisability (external validity) of the study results.</w:t>
            </w:r>
          </w:p>
        </w:tc>
        <w:tc>
          <w:tcPr>
            <w:tcW w:type="dxa" w:w="2880"/>
            <w:vAlign w:val="top"/>
          </w:tcPr>
          <w:p>
            <w:pPr>
              <w:spacing w:after="0" w:before="0"/>
            </w:pPr>
            <w:r>
              <w:rPr>
                <w:rFonts w:ascii="Arial" w:hAnsi="Arial" w:eastAsia="Arial"/>
                <w:sz w:val="13"/>
              </w:rPr>
              <w:t>Discussion; Limitations; Conclusion</w:t>
            </w:r>
          </w:p>
        </w:tc>
        <w:tc>
          <w:tcPr>
            <w:tcW w:type="dxa" w:w="5112"/>
            <w:vAlign w:val="top"/>
          </w:tcPr>
          <w:p>
            <w:pPr>
              <w:spacing w:after="0" w:before="0"/>
            </w:pPr>
            <w:r>
              <w:rPr>
                <w:rFonts w:ascii="Arial" w:hAnsi="Arial" w:eastAsia="Arial"/>
                <w:sz w:val="13"/>
              </w:rPr>
              <w:t>The manuscript states that results require validation in larger multicenter cohorts and may not generalize beyond conventional intramedullary osteosarcoma.</w:t>
            </w:r>
          </w:p>
        </w:tc>
      </w:tr>
      <w:tr>
        <w:trPr>
          <w:cantSplit/>
        </w:trPr>
        <w:tc>
          <w:tcPr>
            <w:tcW w:type="dxa" w:w="1944"/>
            <w:vAlign w:val="top"/>
          </w:tcPr>
          <w:p>
            <w:pPr>
              <w:spacing w:after="0" w:before="0"/>
            </w:pPr>
            <w:r>
              <w:rPr>
                <w:rFonts w:ascii="Arial" w:hAnsi="Arial" w:eastAsia="Arial"/>
                <w:sz w:val="13"/>
              </w:rPr>
              <w:t>Other information: Funding</w:t>
            </w:r>
          </w:p>
        </w:tc>
        <w:tc>
          <w:tcPr>
            <w:tcW w:type="dxa" w:w="792"/>
            <w:vAlign w:val="top"/>
          </w:tcPr>
          <w:p>
            <w:pPr>
              <w:spacing w:after="0" w:before="0"/>
            </w:pPr>
            <w:r>
              <w:rPr>
                <w:rFonts w:ascii="Arial" w:hAnsi="Arial" w:eastAsia="Arial"/>
                <w:sz w:val="13"/>
              </w:rPr>
              <w:t>22</w:t>
            </w:r>
          </w:p>
        </w:tc>
        <w:tc>
          <w:tcPr>
            <w:tcW w:type="dxa" w:w="5112"/>
            <w:vAlign w:val="top"/>
          </w:tcPr>
          <w:p>
            <w:pPr>
              <w:spacing w:after="0" w:before="0"/>
            </w:pPr>
            <w:r>
              <w:rPr>
                <w:rFonts w:ascii="Arial" w:hAnsi="Arial" w:eastAsia="Arial"/>
                <w:sz w:val="13"/>
              </w:rPr>
              <w:t>Give the source of funding and the role of funders.</w:t>
            </w:r>
          </w:p>
        </w:tc>
        <w:tc>
          <w:tcPr>
            <w:tcW w:type="dxa" w:w="2880"/>
            <w:vAlign w:val="top"/>
          </w:tcPr>
          <w:p>
            <w:pPr>
              <w:spacing w:after="0" w:before="0"/>
            </w:pPr>
            <w:r>
              <w:rPr>
                <w:rFonts w:ascii="Arial" w:hAnsi="Arial" w:eastAsia="Arial"/>
                <w:sz w:val="13"/>
              </w:rPr>
              <w:t>Declarations, Funding</w:t>
            </w:r>
          </w:p>
        </w:tc>
        <w:tc>
          <w:tcPr>
            <w:tcW w:type="dxa" w:w="5112"/>
            <w:vAlign w:val="top"/>
          </w:tcPr>
          <w:p>
            <w:pPr>
              <w:spacing w:after="0" w:before="0"/>
            </w:pPr>
            <w:r>
              <w:rPr>
                <w:rFonts w:ascii="Arial" w:hAnsi="Arial" w:eastAsia="Arial"/>
                <w:sz w:val="13"/>
              </w:rPr>
              <w:t>Funding sources are listed in the Funding section.</w:t>
            </w:r>
          </w:p>
        </w:tc>
      </w:tr>
    </w:tbl>
    <w:p>
      <w:r>
        <w:rPr>
          <w:i/>
          <w:sz w:val="16"/>
        </w:rPr>
        <w:br/>
        <w:t>Note: Page numbers may be updated after final journal formatting. Section, table, and figure locations are provided to identify where each item is reported in the revised manuscript.</w:t>
      </w:r>
    </w:p>
    <w:sectPr w:rsidR="00FC693F" w:rsidRPr="0006063C" w:rsidSect="00034616">
      <w:pgSz w:w="16834" w:h="11909"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