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TRIPOD Checklist: Prediction Model Development</w:t>
      </w:r>
    </w:p>
    <w:p>
      <w:pPr>
        <w:jc w:val="center"/>
      </w:pPr>
      <w:r>
        <w:rPr>
          <w:sz w:val="18"/>
        </w:rPr>
        <w:t>Radiomics-Based Causal Machine Learning for Exploratory Treatment-Effect Estimation of Neoadjuvant Chemotherapy Cycle Intensity in Osteosarcoma: A Proof-of-Concept Study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1800"/>
            <w:vAlign w:val="top"/>
            <w:shd w:fill="D9EAF7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/>
                <w:sz w:val="16"/>
              </w:rPr>
              <w:t>Section/Topic</w:t>
            </w:r>
          </w:p>
        </w:tc>
        <w:tc>
          <w:tcPr>
            <w:tcW w:type="dxa" w:w="792"/>
            <w:vAlign w:val="top"/>
            <w:shd w:fill="D9EAF7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/>
                <w:sz w:val="16"/>
              </w:rPr>
              <w:t>Item</w:t>
            </w:r>
          </w:p>
        </w:tc>
        <w:tc>
          <w:tcPr>
            <w:tcW w:type="dxa" w:w="6048"/>
            <w:vAlign w:val="top"/>
            <w:shd w:fill="D9EAF7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/>
                <w:sz w:val="16"/>
              </w:rPr>
              <w:t>Checklist Item</w:t>
            </w:r>
          </w:p>
        </w:tc>
        <w:tc>
          <w:tcPr>
            <w:tcW w:type="dxa" w:w="5760"/>
            <w:vAlign w:val="top"/>
            <w:shd w:fill="D9EAF7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/>
                <w:sz w:val="16"/>
              </w:rPr>
              <w:t>Location in manuscript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Title and abstract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Title. The study is identified as a radiomics-based causal machine learning proof-of-concept study in osteosarcoma, focused on exploratory treatment-effect estimation for survival outcome.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Title and abstract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Provide a summary of objectives, study design, setting, participants, sample size, predictors, outcome, statistical analysis, results, and conclusions.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Abstract. The abstract summarizes the objective, retrospective single-center design, sample size (n=34), predictors/covariates, outcome, causal meta-learners, exploratory results, and cautious conclusion.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Introduction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3a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1 (Background). The medical context of osteosarcoma, NAC cycle uncertainty, radiomics, and causal machine learning is described with relevant references.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Introduction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3b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the objectives, including whether the study describes the development or validation of the model or both.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1 (final paragraph). The study describes development of an exploratory proof-of-concept causal meta-learning framework; no external validation or deployable clinical model was intended.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4a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2.1. The study used retrospective single-center cohort data from Changzheng Hospital.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4b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the key study dates, including start of accrual; end of accrual; and, if applicable, end of follow-up.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2.1. Patients diagnosed between January 2014 and December 2022 were included.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5a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2.1. The study was conducted at a single hospital center, Changzheng Hospital, Shanghai.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5b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eligibility criteria for participants.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2.1. Inclusion and exclusion criteria are described, including conventional intramedullary osteosarcoma, NAC followed by surgery, baseline MRI, and absence of distant metastasis.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5c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Give details of treatments received, if relevant.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2.2. Treatment was defined according to NAC cycle intensity: low-cycle (&lt;4 cycles) and high-cycle (&gt;=4 cycles).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6a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Clearly define the outcome that is predicted by the prediction model, including how and when assessed.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2.2. The outcome was overall survival dichotomized at the 2-year landmark, assessed from diagnosis to death from any cause.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6b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 any actions to blind assessment of the outcome to be predicted.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Not applicable / not performed. Outcome data were obtained retrospectively from clinical records; no blinded outcome adjudication procedure was reported.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7a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Sections 2.3 and 2.4. Predictors/covariates included baseline clinical variables and selected MRI-derived radiomic features; MRI was acquired before NAC.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7b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 any actions to blind assessment of predictors for the outcome and other predictors.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Not applicable / not performed. Predictor extraction and modeling were retrospective; no formal blinding procedure for predictors was reported. ROI delineation was performed by a single reader and acknowledged as a limitation.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8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Explain how the study size was arrived at.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2.1. All eligible patients during the study period were included to maximize data utilization because of the small cohort size.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9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how missing data were handled (e.g., complete-case analysis, single imputation, multiple imputation) with details of any imputation method.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Sections 2.2, 3.1, and Limitations. Missing 2-year OS information was reported descriptively; no formal multiple imputation or missing-outcome sensitivity analysis was performed.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10a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how predictors were handled in the analyses.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Sections 2.3-2.5. Radiomic features were extracted with PyRadiomics, selected using LASSO with ten-fold cross-validation, and integrated with clinical variables.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10b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Sections 2.3 and 2.4. Feature selection used LASSO; treatment effects were estimated using S-Learner, T-Learner, and X-Learner with AutoGluon; bootstrap was used for ATE uncertainty. Internal 8:2 split was used only as a technical check.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10d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all measures used to assess model performance and, if relevant, to compare multiple models.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3.3 and Table 3. AUC, F1 score, accuracy, and precision were reported as descriptive technical outputs, not as evidence of validity or generalizability.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Methods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11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Provide details on how risk groups were created, if done.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Not applicable. No clinical risk groups were created. Treatment-cycle groups were prespecified as &lt;4 vs &gt;=4 NAC cycles (Section 2.2).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13a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the flow of participants through the study, including the number of participants with and without the outcome and, if applicable, a summary of the follow-up time. A diagram may be helpful.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3.1 and Figure 1. Participant selection and cohort construction are summarized.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13b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Describe the characteristics of the participants (basic demographics, clinical features, available predictors), including the number of participants with missing data for predictors and outcome.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Tables 1 and 2 and Section 3.1. Baseline demographic and clinical characteristics and missing outcome information are reported.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14a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Specify the number of participants and outcome events in each analysis.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Sections 3.1-3.3 and Tables 1-4. Analyses used 34 patients; treatment groups included 16 high-cycle and 18 low-cycle patients. Missing 2-year OS status is reported.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14b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If done, report the unadjusted association between each candidate predictor and outcome.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3.2 and Figure 3. Group-wise comparisons of selected radiomic and clinical variables are presented where applicable.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15a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Partially applicable. No deployable prediction formula is provided because AutoGluon-based causal meta-learners were used for exploratory treatment-effect estimation rather than a validated clinical prediction model. This limitation is acknowledged in Discussion/Limitations.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15b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Explain how to the use the prediction model.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Partially applicable. Table 5 illustrates interpretation of model-derived ITE outputs, but the manuscript explicitly states that these examples are not treatment recommendations.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Results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16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 performance measures (with CIs) for the prediction model.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Section 3.3 and Tables 3-4. Model performance metrics and ATE estimates with 95% confidence intervals are reported, with caution that they are exploratory.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Discussion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18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Discuss any limitations of the study (such as nonrepresentative sample, few events per predictor, missing data).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Discussion and Limitations. Limitations include small sample size, overfitting/model instability, missing outcome data, treatment-group imbalance, unmeasured confounding, single-reader ROI delineation without ICC, T1-only radiomics, and lack of external validation.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Discussion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19b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Give an overall interpretation of the results, considering objectives, limitations, and results from similar studies, and other relevant evidence.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Discussion and Conclusion. Results are interpreted as proof-of-concept and hypothesis-generating rather than clinically actionable.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Discussion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20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Discuss the potential clinical use of the model and implications for future research.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Discussion and Conclusion. The manuscript states that the framework requires validation in larger multicenter cohorts with standardized imaging, adequate event counts, longer follow-up, and time-to-event causal modeling before clinical utility can be assessed.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Other information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21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Provide information about the availability of supplementary resources, such as study protocol, Web calculator, and data sets.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Declarations (Availability of data and materials) and Methods. Data are available from the corresponding author on reasonable request due to privacy restrictions; analysis scripts were version-controlled. No web calculator or deployable model is provided.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Other information</w:t>
            </w:r>
          </w:p>
        </w:tc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22</w:t>
            </w:r>
          </w:p>
        </w:tc>
        <w:tc>
          <w:tcPr>
            <w:tcW w:type="dxa" w:w="6048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Give the source of funding and the role of the funders for the present study.</w:t>
            </w:r>
          </w:p>
        </w:tc>
        <w:tc>
          <w:tcPr>
            <w:tcW w:type="dxa" w:w="5760"/>
            <w:vAlign w:val="top"/>
          </w:tcPr>
          <w:p>
            <w:pPr>
              <w:spacing w:after="0" w:before="0"/>
              <w:jc w:val="left"/>
            </w:pPr>
            <w:r>
              <w:rPr>
                <w:sz w:val="15"/>
              </w:rPr>
            </w:r>
            <w:r>
              <w:rPr>
                <w:b w:val="0"/>
                <w:sz w:val="15"/>
              </w:rPr>
              <w:t>Reported in: Declarations (Funding). Funding sources are listed.</w:t>
            </w:r>
          </w:p>
        </w:tc>
      </w:tr>
    </w:tbl>
    <w:p>
      <w:r>
        <w:rPr>
          <w:i/>
          <w:sz w:val="16"/>
        </w:rPr>
        <w:t>Note: Section/table/figure locations are provided because final page numbers may change during typesetting.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