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B7AAE">
      <w:pPr>
        <w:spacing w:before="0" w:line="480" w:lineRule="auto"/>
        <w:jc w:val="both"/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SUPPLEMENTARY MATERIAL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</w:t>
      </w:r>
    </w:p>
    <w:p w14:paraId="206F1D84">
      <w:pPr>
        <w:spacing w:before="0" w:after="120" w:line="280" w:lineRule="exact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1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</w:rPr>
        <w:t>Variance inflation factors (VIF) of plaque parameters</w:t>
      </w:r>
    </w:p>
    <w:tbl>
      <w:tblPr>
        <w:tblStyle w:val="2"/>
        <w:tblW w:w="4999" w:type="pct"/>
        <w:jc w:val="center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313"/>
        <w:gridCol w:w="1628"/>
        <w:gridCol w:w="3786"/>
        <w:gridCol w:w="1309"/>
      </w:tblGrid>
      <w:tr w14:paraId="0D0A8E1E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3C5BC8E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Variable</w:t>
            </w:r>
          </w:p>
        </w:tc>
        <w:tc>
          <w:tcPr>
            <w:tcW w:w="811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DFAF044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VIF</w:t>
            </w:r>
          </w:p>
        </w:tc>
        <w:tc>
          <w:tcPr>
            <w:tcW w:w="1886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DF500A3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Variable</w:t>
            </w:r>
          </w:p>
        </w:tc>
        <w:tc>
          <w:tcPr>
            <w:tcW w:w="650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02BC9B4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VIF</w:t>
            </w:r>
          </w:p>
        </w:tc>
      </w:tr>
      <w:tr w14:paraId="5445E574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8126D0E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Plaque parameters</w:t>
            </w:r>
          </w:p>
        </w:tc>
      </w:tr>
      <w:tr w14:paraId="2B634198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2BD3447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Total-CPV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1161087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11.05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61FC870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Total-NCPV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E582E64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5.08</w:t>
            </w:r>
          </w:p>
        </w:tc>
      </w:tr>
      <w:tr w14:paraId="52542D7C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645D15D1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Total-CPAV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1E6DDE7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10.90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FA81938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Total-NCPAV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3999DEAE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4.78</w:t>
            </w:r>
          </w:p>
        </w:tc>
      </w:tr>
      <w:tr w14:paraId="1CE9B6EB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000000" w:sz="6" w:space="0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B35B947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Branch vessel parameters</w:t>
            </w:r>
          </w:p>
        </w:tc>
      </w:tr>
      <w:tr w14:paraId="267DECC1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5FA09846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LAD-CPAV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EE3ADCA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1.86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C2BAB22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LAD-NCPAV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5D6ACC9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1.67</w:t>
            </w:r>
          </w:p>
        </w:tc>
      </w:tr>
      <w:tr w14:paraId="3223C94F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F6663A4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LCX-CPAV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148B399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1.80</w:t>
            </w: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24D76826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LCX-NCPAV</w:t>
            </w: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1D236F63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1.51</w:t>
            </w:r>
          </w:p>
        </w:tc>
      </w:tr>
      <w:tr w14:paraId="3B2E2C97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651" w:type="pct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03CD24EA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RCA-CPAV</w:t>
            </w:r>
          </w:p>
        </w:tc>
        <w:tc>
          <w:tcPr>
            <w:tcW w:w="811" w:type="pct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88F979B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2.49</w:t>
            </w:r>
          </w:p>
        </w:tc>
        <w:tc>
          <w:tcPr>
            <w:tcW w:w="1886" w:type="pct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428A4E2F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RCA-NCPAV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40" w:type="dxa"/>
              <w:left w:w="30" w:type="dxa"/>
              <w:bottom w:w="40" w:type="dxa"/>
              <w:right w:w="30" w:type="dxa"/>
            </w:tcMar>
          </w:tcPr>
          <w:p w14:paraId="71D5C71C">
            <w:pPr>
              <w:keepNext w:val="0"/>
              <w:keepLines w:val="0"/>
              <w:suppressLineNumbers w:val="0"/>
              <w:snapToGrid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2.00</w:t>
            </w:r>
          </w:p>
        </w:tc>
      </w:tr>
    </w:tbl>
    <w:p w14:paraId="5B05F4B5">
      <w:pPr>
        <w:spacing w:before="0" w:line="480" w:lineRule="auto"/>
        <w:jc w:val="both"/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</w:pPr>
    </w:p>
    <w:p w14:paraId="7DA22A78">
      <w:pPr>
        <w:spacing w:before="0" w:after="24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Table S2 Schoenfeld Residual Test for Proportional Hazards Assumption of Seven Covariates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1984"/>
        <w:gridCol w:w="1417"/>
        <w:gridCol w:w="2551"/>
      </w:tblGrid>
      <w:tr w14:paraId="3594A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3C97FFB5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Covariate</w:t>
            </w:r>
          </w:p>
        </w:tc>
        <w:tc>
          <w:tcPr>
            <w:tcW w:w="198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5BD0021B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χ²</w:t>
            </w:r>
          </w:p>
        </w:tc>
        <w:tc>
          <w:tcPr>
            <w:tcW w:w="1417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4201FD64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df</w:t>
            </w:r>
          </w:p>
        </w:tc>
        <w:tc>
          <w:tcPr>
            <w:tcW w:w="2551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</w:tcPr>
          <w:p w14:paraId="172C85E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i/>
                <w:iCs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-value</w:t>
            </w:r>
          </w:p>
        </w:tc>
      </w:tr>
      <w:tr w14:paraId="72247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090334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LAD-CPAV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12B51D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0.5875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1D7E8B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DB6BBD9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0.4434</w:t>
            </w:r>
          </w:p>
        </w:tc>
      </w:tr>
      <w:tr w14:paraId="7897C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B58570D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LAD-NCPAV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3F0BFC7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4.3419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23C18B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9F1F06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0.0372</w:t>
            </w:r>
          </w:p>
        </w:tc>
      </w:tr>
      <w:tr w14:paraId="4B2B7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9C9A444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LCX-CPAV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6D3220F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0.2052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9558CA3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EF8EF7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0.6506</w:t>
            </w:r>
          </w:p>
        </w:tc>
      </w:tr>
      <w:tr w14:paraId="1317F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F8E5A44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LCX-NCPAV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9C47535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1.0588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283668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D690A3C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0.3035</w:t>
            </w:r>
          </w:p>
        </w:tc>
      </w:tr>
      <w:tr w14:paraId="12583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1A13C9FC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RCA-CPAV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5D1EDA7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0.2477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DBE5BE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EB386FE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0.6187</w:t>
            </w:r>
          </w:p>
        </w:tc>
      </w:tr>
      <w:tr w14:paraId="2E200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6994C817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RCA-NCPAV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044E5FF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1.9819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B17B16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8E38A48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0.1592</w:t>
            </w:r>
          </w:p>
        </w:tc>
      </w:tr>
      <w:tr w14:paraId="5EF09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40FCEB3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CT-FFR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E9B7C68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0.6718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7E489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5CBA643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0.4124</w:t>
            </w:r>
          </w:p>
        </w:tc>
      </w:tr>
      <w:tr w14:paraId="12021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18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7297FA71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Global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54DD8F0E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9.0948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70FF91FA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1C2C4235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0.2459</w:t>
            </w:r>
          </w:p>
        </w:tc>
      </w:tr>
    </w:tbl>
    <w:p w14:paraId="08F45D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480" w:lineRule="auto"/>
        <w:jc w:val="both"/>
        <w:textAlignment w:val="auto"/>
        <w:rPr>
          <w:rFonts w:hint="default" w:ascii="Times New Roman" w:hAnsi="Times New Roman" w:cs="Times New Roman"/>
          <w:b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sz w:val="24"/>
          <w:szCs w:val="24"/>
        </w:rPr>
        <w:t>Note: H₀: The proportional hazards assumption holds for each covariate. A p-value &lt; 0.05 indicates violation of the PH assumption. The global test combines all seven covariates (df = 7).</w:t>
      </w:r>
    </w:p>
    <w:p w14:paraId="539DF9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480" w:lineRule="auto"/>
        <w:jc w:val="both"/>
        <w:textAlignment w:val="auto"/>
        <w:rPr>
          <w:rFonts w:hint="eastAsia" w:ascii="Times New Roman" w:hAnsi="Times New Roman" w:cs="Times New Roman"/>
          <w:b w:val="0"/>
          <w:sz w:val="24"/>
          <w:szCs w:val="24"/>
          <w:lang w:val="en-US" w:eastAsia="zh-CN"/>
        </w:rPr>
      </w:pPr>
    </w:p>
    <w:p w14:paraId="57ABC9FC">
      <w:pPr>
        <w:spacing w:before="0" w:after="120" w:line="280" w:lineRule="exact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. Number of patients in each risk group, AUC, sensitivity, specificity, and Youden index for each ROC-derived cutoff</w:t>
      </w:r>
    </w:p>
    <w:tbl>
      <w:tblPr>
        <w:tblStyle w:val="2"/>
        <w:tblW w:w="105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2"/>
        <w:gridCol w:w="820"/>
        <w:gridCol w:w="960"/>
        <w:gridCol w:w="861"/>
        <w:gridCol w:w="860"/>
        <w:gridCol w:w="844"/>
        <w:gridCol w:w="839"/>
        <w:gridCol w:w="840"/>
        <w:gridCol w:w="837"/>
        <w:gridCol w:w="840"/>
      </w:tblGrid>
      <w:tr w14:paraId="76677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328862DD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Cutoff</w:t>
            </w:r>
          </w:p>
        </w:tc>
        <w:tc>
          <w:tcPr>
            <w:tcW w:w="82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09DE7D0B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AUC</w:t>
            </w:r>
          </w:p>
        </w:tc>
        <w:tc>
          <w:tcPr>
            <w:tcW w:w="96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2885721A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95% CI</w:t>
            </w:r>
          </w:p>
        </w:tc>
        <w:tc>
          <w:tcPr>
            <w:tcW w:w="861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7FF7C2F4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Sensitivity</w:t>
            </w:r>
          </w:p>
        </w:tc>
        <w:tc>
          <w:tcPr>
            <w:tcW w:w="86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4FC90100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Specificity</w:t>
            </w:r>
          </w:p>
        </w:tc>
        <w:tc>
          <w:tcPr>
            <w:tcW w:w="84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39899BA1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Youden index</w:t>
            </w:r>
          </w:p>
        </w:tc>
        <w:tc>
          <w:tcPr>
            <w:tcW w:w="839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2D7DE1F9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High-risk N</w:t>
            </w:r>
          </w:p>
        </w:tc>
        <w:tc>
          <w:tcPr>
            <w:tcW w:w="84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53FAF7BF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High-risk events</w:t>
            </w:r>
          </w:p>
        </w:tc>
        <w:tc>
          <w:tcPr>
            <w:tcW w:w="837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55320DAC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Low-risk N</w:t>
            </w:r>
          </w:p>
        </w:tc>
        <w:tc>
          <w:tcPr>
            <w:tcW w:w="84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17A1ADD5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Low-risk events</w:t>
            </w:r>
          </w:p>
        </w:tc>
      </w:tr>
      <w:tr w14:paraId="0635F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7414E8CB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Total-CPV&gt;68.78 mm³</w:t>
            </w:r>
          </w:p>
        </w:tc>
        <w:tc>
          <w:tcPr>
            <w:tcW w:w="82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448AFC96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0.655</w:t>
            </w:r>
          </w:p>
        </w:tc>
        <w:tc>
          <w:tcPr>
            <w:tcW w:w="96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05E439D2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0.582–0.728</w:t>
            </w:r>
          </w:p>
        </w:tc>
        <w:tc>
          <w:tcPr>
            <w:tcW w:w="861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5574D37D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0.672</w:t>
            </w:r>
          </w:p>
        </w:tc>
        <w:tc>
          <w:tcPr>
            <w:tcW w:w="86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4719E753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0.642</w:t>
            </w:r>
          </w:p>
        </w:tc>
        <w:tc>
          <w:tcPr>
            <w:tcW w:w="844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0DAF57F9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0.314</w:t>
            </w:r>
          </w:p>
        </w:tc>
        <w:tc>
          <w:tcPr>
            <w:tcW w:w="83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1D4A61C5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157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273715C2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45</w:t>
            </w:r>
          </w:p>
        </w:tc>
        <w:tc>
          <w:tcPr>
            <w:tcW w:w="837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02D823F2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22</w:t>
            </w:r>
            <w:r>
              <w:rPr>
                <w:rFonts w:hint="eastAsia" w:ascii="Times New Roman" w:hAnsi="Times New Roman" w:eastAsia="宋体" w:cs="Times New Roman"/>
                <w:b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3F2C2D18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22</w:t>
            </w:r>
          </w:p>
        </w:tc>
      </w:tr>
      <w:tr w14:paraId="32165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30F81C93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Total-NCPV&gt;108.81 mm³</w:t>
            </w:r>
          </w:p>
        </w:tc>
        <w:tc>
          <w:tcPr>
            <w:tcW w:w="82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6E14CE28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0.731</w:t>
            </w:r>
          </w:p>
        </w:tc>
        <w:tc>
          <w:tcPr>
            <w:tcW w:w="96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63F2DD3F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0.668–0.793</w:t>
            </w:r>
          </w:p>
        </w:tc>
        <w:tc>
          <w:tcPr>
            <w:tcW w:w="861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21B10799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0.731</w:t>
            </w:r>
          </w:p>
        </w:tc>
        <w:tc>
          <w:tcPr>
            <w:tcW w:w="86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667E0494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0.671</w:t>
            </w:r>
          </w:p>
        </w:tc>
        <w:tc>
          <w:tcPr>
            <w:tcW w:w="844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144D8F90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0.402</w:t>
            </w:r>
          </w:p>
        </w:tc>
        <w:tc>
          <w:tcPr>
            <w:tcW w:w="83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29B73D26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152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73B4C777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49</w:t>
            </w:r>
          </w:p>
        </w:tc>
        <w:tc>
          <w:tcPr>
            <w:tcW w:w="837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5F04B3BF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22</w:t>
            </w:r>
            <w:r>
              <w:rPr>
                <w:rFonts w:hint="eastAsia" w:ascii="Times New Roman" w:hAnsi="Times New Roman" w:eastAsia="宋体" w:cs="Times New Roman"/>
                <w:b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6E0FCB74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18</w:t>
            </w:r>
          </w:p>
        </w:tc>
      </w:tr>
      <w:tr w14:paraId="31C35B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0F66EF34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Total-TPV&gt;206.78 mm³</w:t>
            </w:r>
          </w:p>
        </w:tc>
        <w:tc>
          <w:tcPr>
            <w:tcW w:w="82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062D4AE5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0.727</w:t>
            </w:r>
          </w:p>
        </w:tc>
        <w:tc>
          <w:tcPr>
            <w:tcW w:w="96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7D04F898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0.665–0.789</w:t>
            </w:r>
          </w:p>
        </w:tc>
        <w:tc>
          <w:tcPr>
            <w:tcW w:w="861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1E73A7A1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0.731</w:t>
            </w:r>
          </w:p>
        </w:tc>
        <w:tc>
          <w:tcPr>
            <w:tcW w:w="86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252B6D63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0.661</w:t>
            </w:r>
          </w:p>
        </w:tc>
        <w:tc>
          <w:tcPr>
            <w:tcW w:w="844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42D9C15F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0.393</w:t>
            </w:r>
          </w:p>
        </w:tc>
        <w:tc>
          <w:tcPr>
            <w:tcW w:w="83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7CC8492B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155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56BB3454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49</w:t>
            </w:r>
          </w:p>
        </w:tc>
        <w:tc>
          <w:tcPr>
            <w:tcW w:w="837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65A7536F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22</w:t>
            </w:r>
            <w:r>
              <w:rPr>
                <w:rFonts w:hint="eastAsia" w:ascii="Times New Roman" w:hAnsi="Times New Roman" w:eastAsia="宋体" w:cs="Times New Roman"/>
                <w:b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3DDF99ED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18</w:t>
            </w:r>
          </w:p>
        </w:tc>
      </w:tr>
      <w:tr w14:paraId="165E6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212DC2B7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Total-CPAV&gt;4.54%</w:t>
            </w:r>
          </w:p>
        </w:tc>
        <w:tc>
          <w:tcPr>
            <w:tcW w:w="82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5FD202D7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0.665</w:t>
            </w:r>
          </w:p>
        </w:tc>
        <w:tc>
          <w:tcPr>
            <w:tcW w:w="96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25816166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0.590–0.739</w:t>
            </w:r>
          </w:p>
        </w:tc>
        <w:tc>
          <w:tcPr>
            <w:tcW w:w="861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6D3DBE6E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0.612</w:t>
            </w:r>
          </w:p>
        </w:tc>
        <w:tc>
          <w:tcPr>
            <w:tcW w:w="86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00D2C3EC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0.706</w:t>
            </w:r>
          </w:p>
        </w:tc>
        <w:tc>
          <w:tcPr>
            <w:tcW w:w="844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1F391B2C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0.318</w:t>
            </w:r>
          </w:p>
        </w:tc>
        <w:tc>
          <w:tcPr>
            <w:tcW w:w="83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3A361999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133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22E3DE6C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41</w:t>
            </w:r>
          </w:p>
        </w:tc>
        <w:tc>
          <w:tcPr>
            <w:tcW w:w="837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3339043D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24</w:t>
            </w:r>
            <w:r>
              <w:rPr>
                <w:rFonts w:hint="eastAsia" w:ascii="Times New Roman" w:hAnsi="Times New Roman" w:eastAsia="宋体" w:cs="Times New Roman"/>
                <w:b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6533A2AE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26</w:t>
            </w:r>
          </w:p>
        </w:tc>
      </w:tr>
      <w:tr w14:paraId="313B8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0A98ED2D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Total-NCPAV&gt;4.68%</w:t>
            </w:r>
          </w:p>
        </w:tc>
        <w:tc>
          <w:tcPr>
            <w:tcW w:w="82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63196920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0.745</w:t>
            </w:r>
          </w:p>
        </w:tc>
        <w:tc>
          <w:tcPr>
            <w:tcW w:w="96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387678EC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0.681–0.809</w:t>
            </w:r>
          </w:p>
        </w:tc>
        <w:tc>
          <w:tcPr>
            <w:tcW w:w="861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326FC024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0.731</w:t>
            </w:r>
          </w:p>
        </w:tc>
        <w:tc>
          <w:tcPr>
            <w:tcW w:w="86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1E76C99A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0.687</w:t>
            </w:r>
          </w:p>
        </w:tc>
        <w:tc>
          <w:tcPr>
            <w:tcW w:w="844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54EE8470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0.418</w:t>
            </w:r>
          </w:p>
        </w:tc>
        <w:tc>
          <w:tcPr>
            <w:tcW w:w="83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438A3366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147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40F5BCF1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49</w:t>
            </w:r>
          </w:p>
        </w:tc>
        <w:tc>
          <w:tcPr>
            <w:tcW w:w="837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3ED06ED7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23</w:t>
            </w:r>
            <w:r>
              <w:rPr>
                <w:rFonts w:hint="eastAsia" w:ascii="Times New Roman" w:hAnsi="Times New Roman" w:eastAsia="宋体" w:cs="Times New Roman"/>
                <w:b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166F9679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18</w:t>
            </w:r>
          </w:p>
        </w:tc>
      </w:tr>
      <w:tr w14:paraId="4039C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2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66D5FDBB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Total-TPAV&gt;11.11%</w:t>
            </w:r>
          </w:p>
        </w:tc>
        <w:tc>
          <w:tcPr>
            <w:tcW w:w="820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21C8EAE9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0.738</w:t>
            </w:r>
          </w:p>
        </w:tc>
        <w:tc>
          <w:tcPr>
            <w:tcW w:w="960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1E9F997F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0.675–0.801</w:t>
            </w:r>
          </w:p>
        </w:tc>
        <w:tc>
          <w:tcPr>
            <w:tcW w:w="861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5BF59692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0.642</w:t>
            </w:r>
          </w:p>
        </w:tc>
        <w:tc>
          <w:tcPr>
            <w:tcW w:w="860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36E4DE9C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0.735</w:t>
            </w:r>
          </w:p>
        </w:tc>
        <w:tc>
          <w:tcPr>
            <w:tcW w:w="844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5206DCD7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0.377</w:t>
            </w:r>
          </w:p>
        </w:tc>
        <w:tc>
          <w:tcPr>
            <w:tcW w:w="839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4D463103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126</w:t>
            </w:r>
          </w:p>
        </w:tc>
        <w:tc>
          <w:tcPr>
            <w:tcW w:w="840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1B729A31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43</w:t>
            </w:r>
          </w:p>
        </w:tc>
        <w:tc>
          <w:tcPr>
            <w:tcW w:w="837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3B562615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25</w:t>
            </w:r>
            <w:r>
              <w:rPr>
                <w:rFonts w:hint="eastAsia" w:ascii="Times New Roman" w:hAnsi="Times New Roman" w:eastAsia="宋体" w:cs="Times New Roman"/>
                <w:b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40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723695E5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24</w:t>
            </w:r>
          </w:p>
        </w:tc>
      </w:tr>
    </w:tbl>
    <w:p w14:paraId="116B1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480" w:lineRule="auto"/>
        <w:jc w:val="both"/>
        <w:textAlignment w:val="auto"/>
        <w:rPr>
          <w:rFonts w:ascii="Times New Roman" w:hAnsi="Times New Roman" w:eastAsia="宋体" w:cs="Times New Roman"/>
          <w:b w:val="0"/>
          <w:i w:val="0"/>
          <w:strike w:val="0"/>
          <w:color w:val="auto"/>
          <w:kern w:val="0"/>
          <w:sz w:val="24"/>
          <w:u w:val="none"/>
          <w:lang w:bidi="ar"/>
        </w:rPr>
      </w:pPr>
      <w:r>
        <w:rPr>
          <w:rFonts w:ascii="Times New Roman" w:hAnsi="Times New Roman" w:eastAsia="宋体" w:cs="Times New Roman"/>
          <w:b w:val="0"/>
          <w:i w:val="0"/>
          <w:strike w:val="0"/>
          <w:color w:val="auto"/>
          <w:kern w:val="0"/>
          <w:sz w:val="24"/>
          <w:u w:val="none"/>
          <w:lang w:bidi="ar"/>
        </w:rPr>
        <w:t>Total-CPV: total-calcified plaque volume; Total-NCPV: total-noncalcified plaque volume; Total-TPV: total-total plaque volume; Total-CPAV: total-calcified percent atheroma volume; Total-NCPAV: total-noncalcified percent atheroma volume; Total-TPAV: total-total percent atheroma volume.</w:t>
      </w:r>
    </w:p>
    <w:p w14:paraId="04220FA6">
      <w:pPr>
        <w:spacing w:before="0" w:after="120" w:line="280" w:lineRule="exact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. Predictive hazard ratios of plaque parameters above the risk cutoff value for hard endpoints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1927"/>
        <w:gridCol w:w="2340"/>
        <w:gridCol w:w="2340"/>
      </w:tblGrid>
      <w:tr w14:paraId="6A7E9478">
        <w:trPr>
          <w:jc w:val="center"/>
        </w:trPr>
        <w:tc>
          <w:tcPr>
            <w:tcW w:w="2753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0629C35A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Plaque parameter</w:t>
            </w:r>
          </w:p>
        </w:tc>
        <w:tc>
          <w:tcPr>
            <w:tcW w:w="1927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56E55074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sz w:val="24"/>
                <w:szCs w:val="24"/>
              </w:rPr>
              <w:t>HR</w:t>
            </w:r>
          </w:p>
        </w:tc>
        <w:tc>
          <w:tcPr>
            <w:tcW w:w="234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378548B1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 xml:space="preserve">95%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sz w:val="24"/>
                <w:szCs w:val="24"/>
              </w:rPr>
              <w:t>CI</w:t>
            </w:r>
          </w:p>
        </w:tc>
        <w:tc>
          <w:tcPr>
            <w:tcW w:w="234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783537B6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 xml:space="preserve"> value</w:t>
            </w:r>
          </w:p>
        </w:tc>
      </w:tr>
      <w:tr w14:paraId="2B94E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7C4CFA5B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Total-CPV&gt;68.78 mm³</w:t>
            </w:r>
          </w:p>
        </w:tc>
        <w:tc>
          <w:tcPr>
            <w:tcW w:w="1927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71BABC9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2.347</w:t>
            </w:r>
          </w:p>
        </w:tc>
        <w:tc>
          <w:tcPr>
            <w:tcW w:w="23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50C7307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0.525–10.490</w:t>
            </w:r>
          </w:p>
        </w:tc>
        <w:tc>
          <w:tcPr>
            <w:tcW w:w="23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701B7E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0.264</w:t>
            </w:r>
          </w:p>
        </w:tc>
      </w:tr>
      <w:tr w14:paraId="3C588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73B417E0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Total-NCPV&gt;108.81 mm³</w:t>
            </w:r>
          </w:p>
        </w:tc>
        <w:tc>
          <w:tcPr>
            <w:tcW w:w="1927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08DE40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11.706</w:t>
            </w:r>
          </w:p>
        </w:tc>
        <w:tc>
          <w:tcPr>
            <w:tcW w:w="23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14BCB5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1.410–97.204</w:t>
            </w:r>
          </w:p>
        </w:tc>
        <w:tc>
          <w:tcPr>
            <w:tcW w:w="23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08AD6AE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0.023</w:t>
            </w:r>
          </w:p>
        </w:tc>
      </w:tr>
      <w:tr w14:paraId="41623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35E1CBB9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Total-TPV&gt;206.78 mm³</w:t>
            </w:r>
          </w:p>
        </w:tc>
        <w:tc>
          <w:tcPr>
            <w:tcW w:w="1927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1B00D9A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4.729</w:t>
            </w:r>
          </w:p>
        </w:tc>
        <w:tc>
          <w:tcPr>
            <w:tcW w:w="23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703E3CB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0.918–24.372</w:t>
            </w:r>
          </w:p>
        </w:tc>
        <w:tc>
          <w:tcPr>
            <w:tcW w:w="23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547FD6A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0.063</w:t>
            </w:r>
          </w:p>
        </w:tc>
      </w:tr>
      <w:tr w14:paraId="5419AB10">
        <w:trPr>
          <w:jc w:val="center"/>
        </w:trPr>
        <w:tc>
          <w:tcPr>
            <w:tcW w:w="275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531DB996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Total-CPAV&gt;4.54%</w:t>
            </w:r>
          </w:p>
        </w:tc>
        <w:tc>
          <w:tcPr>
            <w:tcW w:w="1927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2648208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3.131</w:t>
            </w:r>
          </w:p>
        </w:tc>
        <w:tc>
          <w:tcPr>
            <w:tcW w:w="23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2B91096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0.701–13.988</w:t>
            </w:r>
          </w:p>
        </w:tc>
        <w:tc>
          <w:tcPr>
            <w:tcW w:w="23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6F9443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0.135</w:t>
            </w:r>
          </w:p>
        </w:tc>
      </w:tr>
      <w:tr w14:paraId="107FC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12A65175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Total-NCPAV&gt;4.68%</w:t>
            </w:r>
          </w:p>
        </w:tc>
        <w:tc>
          <w:tcPr>
            <w:tcW w:w="1927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0322FBA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12.568</w:t>
            </w:r>
          </w:p>
        </w:tc>
        <w:tc>
          <w:tcPr>
            <w:tcW w:w="23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0362762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1.513–104.381</w:t>
            </w:r>
          </w:p>
        </w:tc>
        <w:tc>
          <w:tcPr>
            <w:tcW w:w="2340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7C08678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0.019</w:t>
            </w:r>
          </w:p>
        </w:tc>
      </w:tr>
      <w:tr w14:paraId="7F686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53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79D82380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Total-TPAV&gt;11.11%</w:t>
            </w:r>
          </w:p>
        </w:tc>
        <w:tc>
          <w:tcPr>
            <w:tcW w:w="1927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3FF21AE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6.637</w:t>
            </w:r>
          </w:p>
        </w:tc>
        <w:tc>
          <w:tcPr>
            <w:tcW w:w="2340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79A12C9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1.288–34.209</w:t>
            </w:r>
          </w:p>
        </w:tc>
        <w:tc>
          <w:tcPr>
            <w:tcW w:w="2340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2B9F32F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0.024</w:t>
            </w:r>
          </w:p>
        </w:tc>
      </w:tr>
    </w:tbl>
    <w:p w14:paraId="1B368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0" w:line="48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Total-CPV: total-calcified plaque volume; Total-NCPV: total-noncalcified plaque volume; Total-TPV: total-total plaque volume; Total-CPAV: total-calcified percent atheroma volume; Total-NCPAV: total-noncalcified percent atheroma volume; Total-TPAV: total-total percent atheroma volume.</w:t>
      </w:r>
    </w:p>
    <w:p w14:paraId="557CE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0" w:line="48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Table S5. Hazard ratios of plaque parameters for hard endpoints: raw and standardized (per 1-SD) estimates</w:t>
      </w:r>
    </w:p>
    <w:tbl>
      <w:tblPr>
        <w:tblStyle w:val="2"/>
        <w:tblW w:w="992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1049"/>
        <w:gridCol w:w="1798"/>
        <w:gridCol w:w="1114"/>
        <w:gridCol w:w="1382"/>
        <w:gridCol w:w="1473"/>
        <w:gridCol w:w="1009"/>
      </w:tblGrid>
      <w:tr w14:paraId="07B5B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16973FE9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Plaque parameter</w:t>
            </w:r>
          </w:p>
        </w:tc>
        <w:tc>
          <w:tcPr>
            <w:tcW w:w="1049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69E6BE90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sz w:val="24"/>
                <w:szCs w:val="24"/>
              </w:rPr>
              <w:t>HR</w:t>
            </w:r>
          </w:p>
        </w:tc>
        <w:tc>
          <w:tcPr>
            <w:tcW w:w="179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7DAAEF27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 xml:space="preserve">95%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sz w:val="24"/>
                <w:szCs w:val="24"/>
              </w:rPr>
              <w:t>CI</w:t>
            </w:r>
          </w:p>
        </w:tc>
        <w:tc>
          <w:tcPr>
            <w:tcW w:w="1114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</w:tcPr>
          <w:p w14:paraId="4AE4099C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>value</w:t>
            </w:r>
          </w:p>
        </w:tc>
        <w:tc>
          <w:tcPr>
            <w:tcW w:w="1382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74C0C90E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sz w:val="24"/>
                <w:szCs w:val="24"/>
              </w:rPr>
              <w:t>HR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 xml:space="preserve"> per 1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 xml:space="preserve">SD </w:t>
            </w:r>
          </w:p>
        </w:tc>
        <w:tc>
          <w:tcPr>
            <w:tcW w:w="1473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528B0203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 xml:space="preserve">95% 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sz w:val="24"/>
                <w:szCs w:val="24"/>
              </w:rPr>
              <w:t>CI</w:t>
            </w:r>
          </w:p>
        </w:tc>
        <w:tc>
          <w:tcPr>
            <w:tcW w:w="1009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5378EC07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</w:rPr>
              <w:t xml:space="preserve"> value</w:t>
            </w:r>
          </w:p>
        </w:tc>
      </w:tr>
      <w:tr w14:paraId="09553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744DE436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Total-CPV (mm³)</w:t>
            </w:r>
          </w:p>
        </w:tc>
        <w:tc>
          <w:tcPr>
            <w:tcW w:w="104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39181FD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1.002</w:t>
            </w:r>
          </w:p>
        </w:tc>
        <w:tc>
          <w:tcPr>
            <w:tcW w:w="1798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55F0F61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0.999–1.005</w:t>
            </w:r>
          </w:p>
        </w:tc>
        <w:tc>
          <w:tcPr>
            <w:tcW w:w="1114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39DDB70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0.062</w:t>
            </w:r>
          </w:p>
        </w:tc>
        <w:tc>
          <w:tcPr>
            <w:tcW w:w="1382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CD089E2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1.513</w:t>
            </w:r>
          </w:p>
        </w:tc>
        <w:tc>
          <w:tcPr>
            <w:tcW w:w="147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3573A6B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0.980–2.337</w:t>
            </w:r>
          </w:p>
        </w:tc>
        <w:tc>
          <w:tcPr>
            <w:tcW w:w="100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23FE6700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0.062</w:t>
            </w:r>
          </w:p>
        </w:tc>
      </w:tr>
      <w:tr w14:paraId="299A9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422FA741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Total-NCPV (mm³)</w:t>
            </w:r>
          </w:p>
        </w:tc>
        <w:tc>
          <w:tcPr>
            <w:tcW w:w="104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350D07F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1.005</w:t>
            </w:r>
          </w:p>
        </w:tc>
        <w:tc>
          <w:tcPr>
            <w:tcW w:w="1798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96FFF36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1.000–1.010</w:t>
            </w:r>
          </w:p>
        </w:tc>
        <w:tc>
          <w:tcPr>
            <w:tcW w:w="1114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6C362CD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0.039</w:t>
            </w:r>
          </w:p>
        </w:tc>
        <w:tc>
          <w:tcPr>
            <w:tcW w:w="1382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BADE577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1.596</w:t>
            </w:r>
          </w:p>
        </w:tc>
        <w:tc>
          <w:tcPr>
            <w:tcW w:w="147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687CA16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1.024–2.486</w:t>
            </w:r>
          </w:p>
        </w:tc>
        <w:tc>
          <w:tcPr>
            <w:tcW w:w="100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786BF174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0.039</w:t>
            </w:r>
          </w:p>
        </w:tc>
      </w:tr>
      <w:tr w14:paraId="044EB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37B6B649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Total-TPV (mm³)</w:t>
            </w:r>
          </w:p>
        </w:tc>
        <w:tc>
          <w:tcPr>
            <w:tcW w:w="104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75F0B16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1.002</w:t>
            </w:r>
          </w:p>
        </w:tc>
        <w:tc>
          <w:tcPr>
            <w:tcW w:w="1798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224C238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1.000–1.004</w:t>
            </w:r>
          </w:p>
        </w:tc>
        <w:tc>
          <w:tcPr>
            <w:tcW w:w="1114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3FE19D3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0.027</w:t>
            </w:r>
          </w:p>
        </w:tc>
        <w:tc>
          <w:tcPr>
            <w:tcW w:w="1382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215D5372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1.616</w:t>
            </w:r>
          </w:p>
        </w:tc>
        <w:tc>
          <w:tcPr>
            <w:tcW w:w="147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668ACE9F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1.055–2.474</w:t>
            </w:r>
          </w:p>
        </w:tc>
        <w:tc>
          <w:tcPr>
            <w:tcW w:w="100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2828C0A2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0.027</w:t>
            </w:r>
          </w:p>
        </w:tc>
      </w:tr>
      <w:tr w14:paraId="1B65C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4A72BBB9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Total-CPAV (%)</w:t>
            </w:r>
          </w:p>
        </w:tc>
        <w:tc>
          <w:tcPr>
            <w:tcW w:w="104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85202D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1.073</w:t>
            </w:r>
          </w:p>
        </w:tc>
        <w:tc>
          <w:tcPr>
            <w:tcW w:w="1798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39A4FFF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1.023–1.125</w:t>
            </w:r>
          </w:p>
        </w:tc>
        <w:tc>
          <w:tcPr>
            <w:tcW w:w="1114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1AE1FA8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0.004</w:t>
            </w:r>
          </w:p>
        </w:tc>
        <w:tc>
          <w:tcPr>
            <w:tcW w:w="1382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1579BB44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1.758</w:t>
            </w:r>
          </w:p>
        </w:tc>
        <w:tc>
          <w:tcPr>
            <w:tcW w:w="147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6FD2DF29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1.201–2.572</w:t>
            </w:r>
          </w:p>
        </w:tc>
        <w:tc>
          <w:tcPr>
            <w:tcW w:w="100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530C7418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0.004</w:t>
            </w:r>
          </w:p>
        </w:tc>
      </w:tr>
      <w:tr w14:paraId="3A466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0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</w:tcPr>
          <w:p w14:paraId="577BF255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Total-NCPAV (%)</w:t>
            </w:r>
          </w:p>
        </w:tc>
        <w:tc>
          <w:tcPr>
            <w:tcW w:w="104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62A4BDA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1.222</w:t>
            </w:r>
          </w:p>
        </w:tc>
        <w:tc>
          <w:tcPr>
            <w:tcW w:w="1798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0F14BFC5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1.111–1.345</w:t>
            </w:r>
          </w:p>
        </w:tc>
        <w:tc>
          <w:tcPr>
            <w:tcW w:w="1114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783076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&lt;0.001</w:t>
            </w:r>
          </w:p>
        </w:tc>
        <w:tc>
          <w:tcPr>
            <w:tcW w:w="1382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41DEFAC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2.483</w:t>
            </w:r>
          </w:p>
        </w:tc>
        <w:tc>
          <w:tcPr>
            <w:tcW w:w="1473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62FC9B22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1.612–3.825</w:t>
            </w:r>
          </w:p>
        </w:tc>
        <w:tc>
          <w:tcPr>
            <w:tcW w:w="1009" w:type="dxa"/>
            <w:tcBorders>
              <w:left w:val="nil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69DF5131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&lt;0.001</w:t>
            </w:r>
          </w:p>
        </w:tc>
      </w:tr>
      <w:tr w14:paraId="4A4B0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3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</w:tcPr>
          <w:p w14:paraId="03172E70">
            <w:pPr>
              <w:keepNext w:val="0"/>
              <w:keepLines w:val="0"/>
              <w:suppressLineNumbers w:val="0"/>
              <w:spacing w:before="40" w:beforeAutospacing="0" w:after="40" w:afterAutospacing="0" w:line="240" w:lineRule="exac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Total-TPAV (%)</w:t>
            </w:r>
          </w:p>
        </w:tc>
        <w:tc>
          <w:tcPr>
            <w:tcW w:w="1049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360A81E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1.073</w:t>
            </w:r>
          </w:p>
        </w:tc>
        <w:tc>
          <w:tcPr>
            <w:tcW w:w="1798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7B85189C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1.036–1.113</w:t>
            </w:r>
          </w:p>
        </w:tc>
        <w:tc>
          <w:tcPr>
            <w:tcW w:w="1114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557D0C0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&lt;0.001</w:t>
            </w:r>
          </w:p>
        </w:tc>
        <w:tc>
          <w:tcPr>
            <w:tcW w:w="1382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05620965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2.143</w:t>
            </w:r>
          </w:p>
        </w:tc>
        <w:tc>
          <w:tcPr>
            <w:tcW w:w="1473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213D12F0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1.456–3.154</w:t>
            </w:r>
          </w:p>
        </w:tc>
        <w:tc>
          <w:tcPr>
            <w:tcW w:w="1009" w:type="dxa"/>
            <w:tcBorders>
              <w:left w:val="nil"/>
              <w:bottom w:val="single" w:color="000000" w:sz="12" w:space="0"/>
              <w:right w:val="nil"/>
            </w:tcBorders>
            <w:tcMar>
              <w:left w:w="30" w:type="dxa"/>
              <w:right w:w="30" w:type="dxa"/>
            </w:tcMar>
            <w:vAlign w:val="top"/>
          </w:tcPr>
          <w:p w14:paraId="4ED4500B">
            <w:pPr>
              <w:jc w:val="center"/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&lt;0.001</w:t>
            </w:r>
          </w:p>
        </w:tc>
      </w:tr>
    </w:tbl>
    <w:p w14:paraId="4E2F2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480" w:lineRule="auto"/>
        <w:jc w:val="both"/>
        <w:textAlignment w:val="auto"/>
        <w:rPr>
          <w:rFonts w:ascii="Times New Roman" w:hAnsi="Times New Roman" w:eastAsia="宋体" w:cs="Times New Roman"/>
          <w:b w:val="0"/>
          <w:i w:val="0"/>
          <w:strike w:val="0"/>
          <w:color w:val="auto"/>
          <w:kern w:val="0"/>
          <w:sz w:val="24"/>
          <w:u w:val="none"/>
          <w:lang w:bidi="ar"/>
        </w:rPr>
      </w:pPr>
      <w:r>
        <w:rPr>
          <w:rFonts w:ascii="Times New Roman" w:hAnsi="Times New Roman" w:eastAsia="宋体" w:cs="Times New Roman"/>
          <w:b w:val="0"/>
          <w:i w:val="0"/>
          <w:strike w:val="0"/>
          <w:color w:val="auto"/>
          <w:kern w:val="0"/>
          <w:sz w:val="24"/>
          <w:u w:val="none"/>
          <w:lang w:bidi="ar"/>
        </w:rPr>
        <w:t>Total-CPV: total-calcified plaque volume; Total-NCPV: total-noncalcified plaque volume; Total-TPV: total-total plaque volume; Total-CPAV: total-calcified percent atheroma volume; Total-NCPAV: total-noncalcified percent atheroma volume; Total-TPAV: total-total percent atheroma volume.</w:t>
      </w:r>
    </w:p>
    <w:p w14:paraId="045E2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480" w:lineRule="auto"/>
        <w:jc w:val="both"/>
        <w:textAlignment w:val="auto"/>
        <w:rPr>
          <w:rFonts w:ascii="Times New Roman" w:hAnsi="Times New Roman" w:eastAsia="宋体" w:cs="Times New Roman"/>
          <w:b w:val="0"/>
          <w:i w:val="0"/>
          <w:strike w:val="0"/>
          <w:color w:val="auto"/>
          <w:kern w:val="0"/>
          <w:sz w:val="24"/>
          <w:u w:val="none"/>
          <w:lang w:bidi="ar"/>
        </w:rPr>
      </w:pPr>
    </w:p>
    <w:p w14:paraId="2F75DFC1">
      <w:pPr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S6 Bootstrap = 500 Internal Validation</w:t>
      </w:r>
    </w:p>
    <w:tbl>
      <w:tblPr>
        <w:tblStyle w:val="2"/>
        <w:tblW w:w="8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8"/>
        <w:gridCol w:w="1482"/>
        <w:gridCol w:w="1282"/>
        <w:gridCol w:w="1783"/>
        <w:gridCol w:w="1536"/>
      </w:tblGrid>
      <w:tr w14:paraId="2E5F3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46CE2F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0D953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Apparent C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0FEF64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Optimism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97AC7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Corrected Dxy</w:t>
            </w:r>
          </w:p>
        </w:tc>
        <w:tc>
          <w:tcPr>
            <w:tcW w:w="1536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7690B2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Corrected C</w:t>
            </w:r>
          </w:p>
        </w:tc>
      </w:tr>
      <w:tr w14:paraId="59D57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794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Plaque Parameters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9D8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309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2F8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0.410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8B3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0.705</w:t>
            </w:r>
          </w:p>
        </w:tc>
      </w:tr>
      <w:tr w14:paraId="45C3A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665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CT-FFR Model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D89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DE4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A9C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0.130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516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0.565</w:t>
            </w:r>
          </w:p>
        </w:tc>
      </w:tr>
      <w:tr w14:paraId="60843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68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2F1C21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Combined Model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425280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0.750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55DD78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0.084</w:t>
            </w:r>
          </w:p>
        </w:tc>
        <w:tc>
          <w:tcPr>
            <w:tcW w:w="1783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4142F0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0.416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7D74DE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0.708</w:t>
            </w:r>
          </w:p>
        </w:tc>
      </w:tr>
    </w:tbl>
    <w:p w14:paraId="18CABC3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B921BAD">
      <w:pPr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S7 Brier Score (Lower is Better; 6-Parameter Plaque Model)</w:t>
      </w:r>
    </w:p>
    <w:tbl>
      <w:tblPr>
        <w:tblStyle w:val="2"/>
        <w:tblW w:w="0" w:type="auto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701"/>
        <w:gridCol w:w="1701"/>
        <w:gridCol w:w="2144"/>
      </w:tblGrid>
      <w:tr w14:paraId="218FF60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0" w:type="dxa"/>
            <w:tcBorders>
              <w:bottom w:val="single" w:color="000000" w:sz="6" w:space="0"/>
            </w:tcBorders>
          </w:tcPr>
          <w:p w14:paraId="3FA20E78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Model</w:t>
            </w:r>
          </w:p>
        </w:tc>
        <w:tc>
          <w:tcPr>
            <w:tcW w:w="1701" w:type="dxa"/>
            <w:tcBorders>
              <w:bottom w:val="single" w:color="000000" w:sz="6" w:space="0"/>
            </w:tcBorders>
          </w:tcPr>
          <w:p w14:paraId="2F6A8107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6-Month</w:t>
            </w:r>
          </w:p>
        </w:tc>
        <w:tc>
          <w:tcPr>
            <w:tcW w:w="1701" w:type="dxa"/>
            <w:tcBorders>
              <w:bottom w:val="single" w:color="000000" w:sz="6" w:space="0"/>
            </w:tcBorders>
          </w:tcPr>
          <w:p w14:paraId="4A81B50C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12-Month</w:t>
            </w:r>
          </w:p>
        </w:tc>
        <w:tc>
          <w:tcPr>
            <w:tcW w:w="2144" w:type="dxa"/>
            <w:tcBorders>
              <w:bottom w:val="single" w:color="000000" w:sz="6" w:space="0"/>
            </w:tcBorders>
          </w:tcPr>
          <w:p w14:paraId="518C0264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18-Month</w:t>
            </w:r>
          </w:p>
        </w:tc>
      </w:tr>
      <w:tr w14:paraId="464D93F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0" w:type="dxa"/>
          </w:tcPr>
          <w:p w14:paraId="73E74F81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Null model</w:t>
            </w:r>
          </w:p>
        </w:tc>
        <w:tc>
          <w:tcPr>
            <w:tcW w:w="1701" w:type="dxa"/>
          </w:tcPr>
          <w:p w14:paraId="11E7D607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0.1064</w:t>
            </w:r>
          </w:p>
        </w:tc>
        <w:tc>
          <w:tcPr>
            <w:tcW w:w="1701" w:type="dxa"/>
          </w:tcPr>
          <w:p w14:paraId="13BC8656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0.1348</w:t>
            </w:r>
          </w:p>
        </w:tc>
        <w:tc>
          <w:tcPr>
            <w:tcW w:w="2144" w:type="dxa"/>
          </w:tcPr>
          <w:p w14:paraId="6A9A764F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0.1196</w:t>
            </w:r>
          </w:p>
        </w:tc>
      </w:tr>
      <w:tr w14:paraId="4B50C81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0" w:type="dxa"/>
          </w:tcPr>
          <w:p w14:paraId="7DBF398C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Plaque model</w:t>
            </w:r>
          </w:p>
        </w:tc>
        <w:tc>
          <w:tcPr>
            <w:tcW w:w="1701" w:type="dxa"/>
          </w:tcPr>
          <w:p w14:paraId="1C1E62C8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0.1006</w:t>
            </w:r>
          </w:p>
        </w:tc>
        <w:tc>
          <w:tcPr>
            <w:tcW w:w="1701" w:type="dxa"/>
          </w:tcPr>
          <w:p w14:paraId="29B2EBC8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0.119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144" w:type="dxa"/>
          </w:tcPr>
          <w:p w14:paraId="3504F870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0.0996</w:t>
            </w:r>
          </w:p>
        </w:tc>
      </w:tr>
      <w:tr w14:paraId="2261BAD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0" w:type="dxa"/>
          </w:tcPr>
          <w:p w14:paraId="35254388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CT-FFR model</w:t>
            </w:r>
          </w:p>
        </w:tc>
        <w:tc>
          <w:tcPr>
            <w:tcW w:w="1701" w:type="dxa"/>
          </w:tcPr>
          <w:p w14:paraId="55999DF4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0.1054</w:t>
            </w:r>
          </w:p>
        </w:tc>
        <w:tc>
          <w:tcPr>
            <w:tcW w:w="1701" w:type="dxa"/>
          </w:tcPr>
          <w:p w14:paraId="06C673A1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0.1314</w:t>
            </w:r>
          </w:p>
        </w:tc>
        <w:tc>
          <w:tcPr>
            <w:tcW w:w="2144" w:type="dxa"/>
          </w:tcPr>
          <w:p w14:paraId="76A87682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0.1138</w:t>
            </w:r>
          </w:p>
        </w:tc>
      </w:tr>
      <w:tr w14:paraId="3B15618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0" w:type="dxa"/>
          </w:tcPr>
          <w:p w14:paraId="362B9EA6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Combined model</w:t>
            </w:r>
          </w:p>
        </w:tc>
        <w:tc>
          <w:tcPr>
            <w:tcW w:w="1701" w:type="dxa"/>
          </w:tcPr>
          <w:p w14:paraId="65C86F2D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0.1012</w:t>
            </w:r>
          </w:p>
        </w:tc>
        <w:tc>
          <w:tcPr>
            <w:tcW w:w="1701" w:type="dxa"/>
          </w:tcPr>
          <w:p w14:paraId="04418268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0.1191</w:t>
            </w:r>
          </w:p>
        </w:tc>
        <w:tc>
          <w:tcPr>
            <w:tcW w:w="2144" w:type="dxa"/>
          </w:tcPr>
          <w:p w14:paraId="752E347C">
            <w:pPr>
              <w:keepNext w:val="0"/>
              <w:keepLines w:val="0"/>
              <w:suppressLineNumbers w:val="0"/>
              <w:spacing w:before="20" w:beforeAutospacing="0" w:after="2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0.0992</w:t>
            </w:r>
          </w:p>
        </w:tc>
      </w:tr>
    </w:tbl>
    <w:p w14:paraId="55BE3026">
      <w:pPr>
        <w:spacing w:before="11"/>
      </w:pPr>
    </w:p>
    <w:p w14:paraId="50237582">
      <w:pPr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S8 Incremental Value of the Combined Model over the Plaque Model (6-Parameter Plaque Model as Reference)</w:t>
      </w:r>
    </w:p>
    <w:tbl>
      <w:tblPr>
        <w:tblStyle w:val="2"/>
        <w:tblW w:w="0" w:type="auto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8"/>
        <w:gridCol w:w="2641"/>
        <w:gridCol w:w="1536"/>
        <w:gridCol w:w="1128"/>
      </w:tblGrid>
      <w:tr w14:paraId="26DA10D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8" w:type="dxa"/>
            <w:tcBorders>
              <w:bottom w:val="single" w:color="000000" w:sz="6" w:space="0"/>
            </w:tcBorders>
          </w:tcPr>
          <w:p w14:paraId="3C222A45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Metric</w:t>
            </w:r>
          </w:p>
        </w:tc>
        <w:tc>
          <w:tcPr>
            <w:tcW w:w="2641" w:type="dxa"/>
            <w:tcBorders>
              <w:bottom w:val="single" w:color="000000" w:sz="6" w:space="0"/>
            </w:tcBorders>
          </w:tcPr>
          <w:p w14:paraId="208F214A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95% </w:t>
            </w:r>
            <w:r>
              <w:rPr>
                <w:rFonts w:hint="default"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CI</w:t>
            </w:r>
          </w:p>
        </w:tc>
        <w:tc>
          <w:tcPr>
            <w:tcW w:w="1536" w:type="dxa"/>
            <w:tcBorders>
              <w:bottom w:val="single" w:color="000000" w:sz="6" w:space="0"/>
            </w:tcBorders>
          </w:tcPr>
          <w:p w14:paraId="71420318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Statistic</w:t>
            </w:r>
          </w:p>
        </w:tc>
        <w:tc>
          <w:tcPr>
            <w:tcW w:w="1128" w:type="dxa"/>
            <w:tcBorders>
              <w:bottom w:val="single" w:color="000000" w:sz="6" w:space="0"/>
            </w:tcBorders>
          </w:tcPr>
          <w:p w14:paraId="44F789F3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/>
                <w:iCs/>
                <w:sz w:val="24"/>
                <w:szCs w:val="24"/>
              </w:rPr>
              <w:t>P</w:t>
            </w:r>
          </w:p>
        </w:tc>
      </w:tr>
      <w:tr w14:paraId="1B381D7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8" w:type="dxa"/>
          </w:tcPr>
          <w:p w14:paraId="0CAE401A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Likelihood ratio test (LRT)</w:t>
            </w:r>
          </w:p>
        </w:tc>
        <w:tc>
          <w:tcPr>
            <w:tcW w:w="2641" w:type="dxa"/>
          </w:tcPr>
          <w:p w14:paraId="1FABC27B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—</w:t>
            </w:r>
          </w:p>
        </w:tc>
        <w:tc>
          <w:tcPr>
            <w:tcW w:w="1536" w:type="dxa"/>
          </w:tcPr>
          <w:p w14:paraId="3BF1A16A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χ² = 2.05</w:t>
            </w:r>
          </w:p>
        </w:tc>
        <w:tc>
          <w:tcPr>
            <w:tcW w:w="1128" w:type="dxa"/>
          </w:tcPr>
          <w:p w14:paraId="09E937EF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0.152</w:t>
            </w:r>
          </w:p>
        </w:tc>
      </w:tr>
      <w:tr w14:paraId="7EBA6B1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8" w:type="dxa"/>
          </w:tcPr>
          <w:p w14:paraId="565FE291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∆C-index</w:t>
            </w:r>
          </w:p>
        </w:tc>
        <w:tc>
          <w:tcPr>
            <w:tcW w:w="2641" w:type="dxa"/>
          </w:tcPr>
          <w:p w14:paraId="27BB480A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0.010 (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0.027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0.046)</w:t>
            </w:r>
          </w:p>
        </w:tc>
        <w:tc>
          <w:tcPr>
            <w:tcW w:w="1536" w:type="dxa"/>
          </w:tcPr>
          <w:p w14:paraId="3A7FDAF8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—</w:t>
            </w:r>
          </w:p>
        </w:tc>
        <w:tc>
          <w:tcPr>
            <w:tcW w:w="1128" w:type="dxa"/>
          </w:tcPr>
          <w:p w14:paraId="47DF0752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—</w:t>
            </w:r>
          </w:p>
        </w:tc>
      </w:tr>
      <w:tr w14:paraId="123CADD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8" w:type="dxa"/>
          </w:tcPr>
          <w:p w14:paraId="3F83814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Continuous NRI</w:t>
            </w:r>
          </w:p>
        </w:tc>
        <w:tc>
          <w:tcPr>
            <w:tcW w:w="2641" w:type="dxa"/>
          </w:tcPr>
          <w:p w14:paraId="4CD9445B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0.161 (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0.105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0.281)</w:t>
            </w:r>
          </w:p>
        </w:tc>
        <w:tc>
          <w:tcPr>
            <w:tcW w:w="1536" w:type="dxa"/>
          </w:tcPr>
          <w:p w14:paraId="6F6B9952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—</w:t>
            </w:r>
          </w:p>
        </w:tc>
        <w:tc>
          <w:tcPr>
            <w:tcW w:w="1128" w:type="dxa"/>
          </w:tcPr>
          <w:p w14:paraId="1644E6AF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0.219</w:t>
            </w:r>
          </w:p>
        </w:tc>
      </w:tr>
      <w:tr w14:paraId="4B7A569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98" w:type="dxa"/>
          </w:tcPr>
          <w:p w14:paraId="1500608D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IDI</w:t>
            </w:r>
          </w:p>
        </w:tc>
        <w:tc>
          <w:tcPr>
            <w:tcW w:w="2641" w:type="dxa"/>
          </w:tcPr>
          <w:p w14:paraId="03F7B2E8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0.003 (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0.004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0.032)</w:t>
            </w:r>
          </w:p>
        </w:tc>
        <w:tc>
          <w:tcPr>
            <w:tcW w:w="1536" w:type="dxa"/>
          </w:tcPr>
          <w:p w14:paraId="0DF70D94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—</w:t>
            </w:r>
          </w:p>
        </w:tc>
        <w:tc>
          <w:tcPr>
            <w:tcW w:w="1128" w:type="dxa"/>
          </w:tcPr>
          <w:p w14:paraId="2D815F23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0.445</w:t>
            </w:r>
          </w:p>
        </w:tc>
      </w:tr>
    </w:tbl>
    <w:p w14:paraId="0B63BCBE">
      <w:pPr>
        <w:spacing w:before="360" w:after="12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Table S9 Distribution of 67 MACE Events by Time Window</w:t>
      </w:r>
    </w:p>
    <w:tbl>
      <w:tblPr>
        <w:tblStyle w:val="2"/>
        <w:tblW w:w="8515" w:type="dxa"/>
        <w:tblInd w:w="9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62"/>
        <w:gridCol w:w="3238"/>
        <w:gridCol w:w="344"/>
        <w:gridCol w:w="1671"/>
      </w:tblGrid>
      <w:tr w14:paraId="30092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62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033153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Time Window</w:t>
            </w:r>
          </w:p>
        </w:tc>
        <w:tc>
          <w:tcPr>
            <w:tcW w:w="3238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A8A33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Cumulative
Events</w:t>
            </w:r>
          </w:p>
        </w:tc>
        <w:tc>
          <w:tcPr>
            <w:tcW w:w="2015" w:type="dxa"/>
            <w:gridSpan w:val="2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197A4C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Proportion
(%)</w:t>
            </w:r>
          </w:p>
        </w:tc>
      </w:tr>
      <w:tr w14:paraId="171D6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853C04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≤30 days (1 month)</w:t>
            </w:r>
          </w:p>
        </w:tc>
        <w:tc>
          <w:tcPr>
            <w:tcW w:w="3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65EF76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423B83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25.4</w:t>
            </w:r>
          </w:p>
        </w:tc>
      </w:tr>
      <w:tr w14:paraId="747F7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13580C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≤60 days (2 months)</w:t>
            </w:r>
          </w:p>
        </w:tc>
        <w:tc>
          <w:tcPr>
            <w:tcW w:w="3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15555C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327333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43.3</w:t>
            </w:r>
          </w:p>
        </w:tc>
      </w:tr>
      <w:tr w14:paraId="06EED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6BC8DC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≤90 days (3 months)</w:t>
            </w:r>
          </w:p>
        </w:tc>
        <w:tc>
          <w:tcPr>
            <w:tcW w:w="3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23D8BC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6D59DE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53.7</w:t>
            </w:r>
          </w:p>
        </w:tc>
      </w:tr>
      <w:tr w14:paraId="50714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7E15E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≤180 days (6 months)</w:t>
            </w:r>
          </w:p>
        </w:tc>
        <w:tc>
          <w:tcPr>
            <w:tcW w:w="3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D128B8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CD2543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68.7</w:t>
            </w:r>
          </w:p>
        </w:tc>
      </w:tr>
      <w:tr w14:paraId="7440A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9D40FF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≤270 days (9 months)</w:t>
            </w:r>
          </w:p>
        </w:tc>
        <w:tc>
          <w:tcPr>
            <w:tcW w:w="3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32186D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1C5842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71.6</w:t>
            </w:r>
          </w:p>
        </w:tc>
      </w:tr>
      <w:tr w14:paraId="2BFCD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48F3CE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≤365 days (12 months)</w:t>
            </w:r>
          </w:p>
        </w:tc>
        <w:tc>
          <w:tcPr>
            <w:tcW w:w="3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76B48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61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F7C722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91</w:t>
            </w:r>
          </w:p>
        </w:tc>
      </w:tr>
      <w:tr w14:paraId="2B4E4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62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A6310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Entire follow-up (18 months)</w:t>
            </w:r>
          </w:p>
        </w:tc>
        <w:tc>
          <w:tcPr>
            <w:tcW w:w="3582" w:type="dxa"/>
            <w:gridSpan w:val="2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C5F71D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67</w:t>
            </w:r>
          </w:p>
        </w:tc>
        <w:tc>
          <w:tcPr>
            <w:tcW w:w="1671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0E7508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100</w:t>
            </w:r>
          </w:p>
        </w:tc>
      </w:tr>
    </w:tbl>
    <w:p w14:paraId="6C807B10">
      <w:pPr>
        <w:spacing w:before="360" w:after="12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</w:rPr>
        <w:t>Table S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</w:rPr>
        <w:t xml:space="preserve"> Period-Stratified Cox Regression with 90-Day Landmark (HR per 1 SD of Plaque Risk Score)</w:t>
      </w:r>
    </w:p>
    <w:tbl>
      <w:tblPr>
        <w:tblStyle w:val="2"/>
        <w:tblW w:w="8553" w:type="dxa"/>
        <w:tblInd w:w="9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67"/>
        <w:gridCol w:w="4410"/>
        <w:gridCol w:w="1429"/>
        <w:gridCol w:w="1447"/>
      </w:tblGrid>
      <w:tr w14:paraId="723F7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7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38ECAD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Period</w:t>
            </w:r>
          </w:p>
        </w:tc>
        <w:tc>
          <w:tcPr>
            <w:tcW w:w="4410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F0CF06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Plaque Score HR
(per 1 SD)</w:t>
            </w:r>
          </w:p>
        </w:tc>
        <w:tc>
          <w:tcPr>
            <w:tcW w:w="1429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3D5E7A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95% CI</w:t>
            </w:r>
          </w:p>
        </w:tc>
        <w:tc>
          <w:tcPr>
            <w:tcW w:w="1447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355EC9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</w:t>
            </w:r>
          </w:p>
        </w:tc>
      </w:tr>
      <w:tr w14:paraId="0ECB9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FB8650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≤90 days</w:t>
            </w: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1348DB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2.115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1F7615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1.452–3.081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030A05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&lt;0.001</w:t>
            </w:r>
          </w:p>
        </w:tc>
      </w:tr>
      <w:tr w14:paraId="1D325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267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3C3EF3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&gt;90 days</w:t>
            </w:r>
          </w:p>
        </w:tc>
        <w:tc>
          <w:tcPr>
            <w:tcW w:w="4410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159E24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3.304</w:t>
            </w:r>
          </w:p>
        </w:tc>
        <w:tc>
          <w:tcPr>
            <w:tcW w:w="1429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BC7A11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2.244–4.866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597F78">
            <w:pPr>
              <w:keepNext w:val="0"/>
              <w:keepLines w:val="0"/>
              <w:suppressLineNumbers w:val="0"/>
              <w:spacing w:before="40" w:beforeAutospacing="0" w:after="4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&lt;0.001</w:t>
            </w:r>
          </w:p>
        </w:tc>
      </w:tr>
    </w:tbl>
    <w:p w14:paraId="622D5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480" w:lineRule="auto"/>
        <w:jc w:val="both"/>
        <w:textAlignment w:val="auto"/>
        <w:rPr>
          <w:rFonts w:ascii="Times New Roman" w:hAnsi="Times New Roman" w:eastAsia="宋体" w:cs="Times New Roman"/>
          <w:b/>
          <w:bCs/>
          <w:i w:val="0"/>
          <w:strike w:val="0"/>
          <w:color w:val="auto"/>
          <w:kern w:val="0"/>
          <w:sz w:val="24"/>
          <w:u w:val="none"/>
          <w:lang w:bidi="ar"/>
        </w:rPr>
      </w:pPr>
    </w:p>
    <w:p w14:paraId="5E267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480" w:lineRule="auto"/>
        <w:jc w:val="center"/>
        <w:textAlignment w:val="auto"/>
        <w:rPr>
          <w:rFonts w:hint="eastAsia" w:ascii="Times New Roman" w:hAnsi="Times New Roman" w:eastAsia="宋体" w:cs="Times New Roman"/>
          <w:b/>
          <w:bCs/>
          <w:i w:val="0"/>
          <w:strike w:val="0"/>
          <w:color w:val="auto"/>
          <w:kern w:val="0"/>
          <w:sz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strike w:val="0"/>
          <w:color w:val="auto"/>
          <w:kern w:val="0"/>
          <w:sz w:val="24"/>
          <w:u w:val="none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146050</wp:posOffset>
            </wp:positionH>
            <wp:positionV relativeFrom="paragraph">
              <wp:posOffset>245110</wp:posOffset>
            </wp:positionV>
            <wp:extent cx="6442075" cy="2112010"/>
            <wp:effectExtent l="0" t="0" r="9525" b="8890"/>
            <wp:wrapTopAndBottom/>
            <wp:docPr id="8" name="图片 8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rcRect t="438" r="763" b="2481"/>
                    <a:stretch>
                      <a:fillRect/>
                    </a:stretch>
                  </pic:blipFill>
                  <pic:spPr>
                    <a:xfrm>
                      <a:off x="0" y="0"/>
                      <a:ext cx="6442075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 w:cs="Times New Roman"/>
          <w:b/>
          <w:bCs/>
          <w:i w:val="0"/>
          <w:strike w:val="0"/>
          <w:color w:val="auto"/>
          <w:kern w:val="0"/>
          <w:sz w:val="24"/>
          <w:u w:val="none"/>
          <w:lang w:val="en-US" w:eastAsia="zh-CN" w:bidi="ar"/>
        </w:rPr>
        <w:t>Figure S1 18-month MACE probability calibration curve (Bootstrap = 200)</w:t>
      </w:r>
    </w:p>
    <w:p w14:paraId="713AD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48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i w:val="0"/>
          <w:strike w:val="0"/>
          <w:color w:val="auto"/>
          <w:kern w:val="0"/>
          <w:sz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strike w:val="0"/>
          <w:color w:val="auto"/>
          <w:kern w:val="0"/>
          <w:sz w:val="24"/>
          <w:u w:val="none"/>
          <w:lang w:val="en-US" w:eastAsia="zh-CN" w:bidi="ar"/>
        </w:rPr>
        <w:drawing>
          <wp:inline distT="0" distB="0" distL="114300" distR="114300">
            <wp:extent cx="3705225" cy="2778760"/>
            <wp:effectExtent l="0" t="0" r="3175" b="2540"/>
            <wp:docPr id="9" name="图片 9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08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48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i w:val="0"/>
          <w:strike w:val="0"/>
          <w:color w:val="auto"/>
          <w:kern w:val="0"/>
          <w:sz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strike w:val="0"/>
          <w:color w:val="auto"/>
          <w:kern w:val="0"/>
          <w:sz w:val="24"/>
          <w:u w:val="none"/>
          <w:lang w:val="en-US" w:eastAsia="zh-CN" w:bidi="ar"/>
        </w:rPr>
        <w:t>Figure S2 18-month MACE decision curve analysis (DCA)</w:t>
      </w:r>
    </w:p>
    <w:p w14:paraId="1661C568"/>
    <w:sectPr>
      <w:pgSz w:w="11906" w:h="16838"/>
      <w:pgMar w:top="964" w:right="964" w:bottom="964" w:left="96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96390"/>
    <w:rsid w:val="1CE76161"/>
    <w:rsid w:val="3AE3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649</Words>
  <Characters>4022</Characters>
  <Lines>0</Lines>
  <Paragraphs>0</Paragraphs>
  <TotalTime>0</TotalTime>
  <ScaleCrop>false</ScaleCrop>
  <LinksUpToDate>false</LinksUpToDate>
  <CharactersWithSpaces>4354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2026-05-21T19:13:00Z</dcterms:created>
  <dc:creator>Administrator</dc:creator>
  <cp:lastModifiedBy>T²噬菌体</cp:lastModifiedBy>
  <dcterms:modified xsi:type="dcterms:W3CDTF">2026-06-21T18:22:54Z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eyJoZGlkIjoiNDNiZjNiMjgyY2IyODZkYzJiZWNjZjc5MGE2YWU1YTEiLCJ1c2VySWQiOiIyNDE5OTU0MTgifQ==</vt:lpwstr>
  </property>
  <property fmtid="{D5CDD505-2E9C-101B-9397-08002B2CF9AE}" pid="4" name="ICV">
    <vt:lpwstr>480FA70DCB8F46049980528796C250D7_12</vt:lpwstr>
  </property>
</Properties>
</file>