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18EA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55" w:lineRule="atLeast"/>
        <w:ind w:left="0" w:right="0" w:firstLine="0"/>
        <w:rPr>
          <w:rFonts w:hint="default" w:ascii="Times New Roman" w:hAnsi="Times New Roman" w:eastAsia="Segoe UI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kern w:val="0"/>
          <w:sz w:val="24"/>
          <w:szCs w:val="24"/>
          <w:lang w:val="en-US" w:eastAsia="zh-CN" w:bidi="ar"/>
        </w:rPr>
        <w:t>Supplementary Table 1</w:t>
      </w:r>
      <w:r>
        <w:rPr>
          <w:rFonts w:hint="eastAsia" w:ascii="Times New Roman" w:hAnsi="Times New Roman" w:eastAsia="Segoe UI" w:cs="Times New Roman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kern w:val="0"/>
          <w:sz w:val="24"/>
          <w:szCs w:val="24"/>
          <w:lang w:val="en-US" w:eastAsia="zh-CN" w:bidi="ar"/>
        </w:rPr>
        <w:t>Demographic and clinical characteristics of the study cohort (N = 678 patients).</w:t>
      </w: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5"/>
        <w:gridCol w:w="2935"/>
      </w:tblGrid>
      <w:tr w14:paraId="7241C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05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82DD7E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Characteristic</w:t>
            </w:r>
          </w:p>
        </w:tc>
        <w:tc>
          <w:tcPr>
            <w:tcW w:w="2935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B6C93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 w14:paraId="60820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05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74F961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Number of patients</w:t>
            </w:r>
          </w:p>
        </w:tc>
        <w:tc>
          <w:tcPr>
            <w:tcW w:w="2935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537F00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678</w:t>
            </w:r>
          </w:p>
        </w:tc>
      </w:tr>
      <w:tr w14:paraId="71FE6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05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FDEF6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Number of MRI images</w:t>
            </w:r>
          </w:p>
        </w:tc>
        <w:tc>
          <w:tcPr>
            <w:tcW w:w="2935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534AC0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  <w:tr w14:paraId="042E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05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4F6D6D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Age, mean ± SD (range)</w:t>
            </w:r>
          </w:p>
        </w:tc>
        <w:tc>
          <w:tcPr>
            <w:tcW w:w="2935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B21A1C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40.2 ± 4.5 years (32–48)</w:t>
            </w:r>
          </w:p>
        </w:tc>
      </w:tr>
      <w:tr w14:paraId="1E5A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05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6CA947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BMI, mean ± SD (range)</w:t>
            </w:r>
          </w:p>
        </w:tc>
        <w:tc>
          <w:tcPr>
            <w:tcW w:w="2935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4B207C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23.5 ± 3.2 kg/m² (18.6–31.2)</w:t>
            </w:r>
          </w:p>
        </w:tc>
      </w:tr>
    </w:tbl>
    <w:p w14:paraId="323C063D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1"/>
        <w:gridCol w:w="2909"/>
      </w:tblGrid>
      <w:tr w14:paraId="0A3C2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31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C5969E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Parity</w:t>
            </w:r>
          </w:p>
        </w:tc>
        <w:tc>
          <w:tcPr>
            <w:tcW w:w="2909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D7ED9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  <w:bookmarkStart w:id="0" w:name="_GoBack"/>
            <w:bookmarkEnd w:id="0"/>
          </w:p>
        </w:tc>
      </w:tr>
      <w:tr w14:paraId="5ACD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1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77A80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Nulliparous</w:t>
            </w:r>
          </w:p>
        </w:tc>
        <w:tc>
          <w:tcPr>
            <w:tcW w:w="2909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D6EE02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156 (23.0%)</w:t>
            </w:r>
          </w:p>
        </w:tc>
      </w:tr>
      <w:tr w14:paraId="1789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1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CB512D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Primiparous</w:t>
            </w:r>
          </w:p>
        </w:tc>
        <w:tc>
          <w:tcPr>
            <w:tcW w:w="2909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ECE342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287 (42.3%)</w:t>
            </w:r>
          </w:p>
        </w:tc>
      </w:tr>
      <w:tr w14:paraId="53E7C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1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CD6A19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Multiparous (≥2)</w:t>
            </w:r>
          </w:p>
        </w:tc>
        <w:tc>
          <w:tcPr>
            <w:tcW w:w="2909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84A491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235 (34.7%)</w:t>
            </w:r>
          </w:p>
        </w:tc>
      </w:tr>
    </w:tbl>
    <w:p w14:paraId="1939603C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6"/>
        <w:gridCol w:w="2914"/>
      </w:tblGrid>
      <w:tr w14:paraId="0186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26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3786F1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Prior uterine surgery</w:t>
            </w:r>
          </w:p>
        </w:tc>
        <w:tc>
          <w:tcPr>
            <w:tcW w:w="2914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B4729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1E6E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B0842B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None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879AA6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421 (62.1%)</w:t>
            </w:r>
          </w:p>
        </w:tc>
      </w:tr>
      <w:tr w14:paraId="1ECCF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C4004E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Cesarean section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7316DC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189 (27.9%)</w:t>
            </w:r>
          </w:p>
        </w:tc>
      </w:tr>
      <w:tr w14:paraId="6400D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F42A87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Myomectomy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775730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 (6.2%)</w:t>
            </w:r>
          </w:p>
        </w:tc>
      </w:tr>
      <w:tr w14:paraId="3247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634283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Other uterine surgery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85188E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 (3.8%)</w:t>
            </w:r>
          </w:p>
        </w:tc>
      </w:tr>
    </w:tbl>
    <w:p w14:paraId="4A92A151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6"/>
        <w:gridCol w:w="2914"/>
      </w:tblGrid>
      <w:tr w14:paraId="58CFF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26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EAD174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Hormonal status</w:t>
            </w:r>
          </w:p>
        </w:tc>
        <w:tc>
          <w:tcPr>
            <w:tcW w:w="2914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00FAF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4DF89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B7B394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Premenopausal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F670DE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612 (90.3%)</w:t>
            </w:r>
          </w:p>
        </w:tc>
      </w:tr>
      <w:tr w14:paraId="56A34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178364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Perimenopausal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C4E0AA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 (9.7%)</w:t>
            </w:r>
          </w:p>
        </w:tc>
      </w:tr>
      <w:tr w14:paraId="3D1AD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805EFD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Hormonal therapy use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82062B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 (13.1%)</w:t>
            </w:r>
          </w:p>
        </w:tc>
      </w:tr>
    </w:tbl>
    <w:p w14:paraId="40E839A5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0"/>
        <w:gridCol w:w="2920"/>
      </w:tblGrid>
      <w:tr w14:paraId="59A5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20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E57B5D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Clinical symptoms</w:t>
            </w:r>
          </w:p>
        </w:tc>
        <w:tc>
          <w:tcPr>
            <w:tcW w:w="2920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EFE4F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51BA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57694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Dysmenorrhea</w:t>
            </w:r>
          </w:p>
        </w:tc>
        <w:tc>
          <w:tcPr>
            <w:tcW w:w="292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365488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489 (72.1%)</w:t>
            </w:r>
          </w:p>
        </w:tc>
      </w:tr>
      <w:tr w14:paraId="651C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96FBDA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Menorrhagia</w:t>
            </w:r>
          </w:p>
        </w:tc>
        <w:tc>
          <w:tcPr>
            <w:tcW w:w="292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90A48F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412 (60.8%)</w:t>
            </w:r>
          </w:p>
        </w:tc>
      </w:tr>
      <w:tr w14:paraId="4BFE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C2A021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Chronic pelvic pain</w:t>
            </w:r>
          </w:p>
        </w:tc>
        <w:tc>
          <w:tcPr>
            <w:tcW w:w="292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FCDA4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267 (39.4%)</w:t>
            </w:r>
          </w:p>
        </w:tc>
      </w:tr>
      <w:tr w14:paraId="2804B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DABCB5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Infertility</w:t>
            </w:r>
          </w:p>
        </w:tc>
        <w:tc>
          <w:tcPr>
            <w:tcW w:w="292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AAF929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143 (21.1%)</w:t>
            </w:r>
          </w:p>
        </w:tc>
      </w:tr>
      <w:tr w14:paraId="0E9B2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EA70FC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Asymptomatic (incidental finding)</w:t>
            </w:r>
          </w:p>
        </w:tc>
        <w:tc>
          <w:tcPr>
            <w:tcW w:w="292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280A11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 (8.6%)</w:t>
            </w:r>
          </w:p>
        </w:tc>
      </w:tr>
    </w:tbl>
    <w:p w14:paraId="7B1156C3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6"/>
        <w:gridCol w:w="2914"/>
      </w:tblGrid>
      <w:tr w14:paraId="2573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blHeader/>
        </w:trPr>
        <w:tc>
          <w:tcPr>
            <w:tcW w:w="2726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B6F980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MRI scanner distribution</w:t>
            </w:r>
          </w:p>
        </w:tc>
        <w:tc>
          <w:tcPr>
            <w:tcW w:w="2914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113CA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0967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732B01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Siemens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185482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2,984 (44.1%)</w:t>
            </w:r>
          </w:p>
        </w:tc>
      </w:tr>
      <w:tr w14:paraId="1606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E4E2FB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 Healthcare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6F5B16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2,168 (32.0%)</w:t>
            </w:r>
          </w:p>
        </w:tc>
      </w:tr>
      <w:tr w14:paraId="7078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0DAAA3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Philips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877D57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1,616 (23.9%)</w:t>
            </w:r>
          </w:p>
        </w:tc>
      </w:tr>
    </w:tbl>
    <w:p w14:paraId="09CF8FE7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6"/>
        <w:gridCol w:w="2914"/>
      </w:tblGrid>
      <w:tr w14:paraId="4804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26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E6DC2E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Field strength</w:t>
            </w:r>
          </w:p>
        </w:tc>
        <w:tc>
          <w:tcPr>
            <w:tcW w:w="2914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E2431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6EB96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A90D58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1.5T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B46C72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3,924 (58.0%)</w:t>
            </w:r>
          </w:p>
        </w:tc>
      </w:tr>
      <w:tr w14:paraId="66789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6446E6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3.0T</w:t>
            </w:r>
          </w:p>
        </w:tc>
        <w:tc>
          <w:tcPr>
            <w:tcW w:w="291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D37D12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2,844 (42.0%)</w:t>
            </w:r>
          </w:p>
        </w:tc>
      </w:tr>
    </w:tbl>
    <w:p w14:paraId="6F570231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0"/>
        <w:gridCol w:w="2880"/>
      </w:tblGrid>
      <w:tr w14:paraId="7380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60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B031F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Diagnostic confirmation</w:t>
            </w:r>
          </w:p>
        </w:tc>
        <w:tc>
          <w:tcPr>
            <w:tcW w:w="2880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462A9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5EC9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6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B6D02A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MRI consensus alone</w:t>
            </w:r>
          </w:p>
        </w:tc>
        <w:tc>
          <w:tcPr>
            <w:tcW w:w="288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34C857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391 (57.7%)</w:t>
            </w:r>
          </w:p>
        </w:tc>
      </w:tr>
      <w:tr w14:paraId="3FC55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6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536F76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Histopathological confirmation</w:t>
            </w:r>
          </w:p>
        </w:tc>
        <w:tc>
          <w:tcPr>
            <w:tcW w:w="288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594DBB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287 (42.3%)</w:t>
            </w:r>
          </w:p>
        </w:tc>
      </w:tr>
      <w:tr w14:paraId="749DF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60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433399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Clinical follow-up ≥12 months</w:t>
            </w:r>
          </w:p>
        </w:tc>
        <w:tc>
          <w:tcPr>
            <w:tcW w:w="2880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D01B46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391 (57.7%)</w:t>
            </w:r>
          </w:p>
        </w:tc>
      </w:tr>
    </w:tbl>
    <w:p w14:paraId="663838BB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6"/>
        <w:gridCol w:w="2874"/>
      </w:tblGrid>
      <w:tr w14:paraId="18B3B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66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45D442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Clinical follow-up duration</w:t>
            </w:r>
          </w:p>
        </w:tc>
        <w:tc>
          <w:tcPr>
            <w:tcW w:w="2874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BA45BC">
            <w:pPr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</w:p>
        </w:tc>
      </w:tr>
      <w:tr w14:paraId="3306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66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F878E5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Median (IQR)</w:t>
            </w:r>
          </w:p>
        </w:tc>
        <w:tc>
          <w:tcPr>
            <w:tcW w:w="2874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1B197B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 months (12–36)</w:t>
            </w:r>
          </w:p>
        </w:tc>
      </w:tr>
    </w:tbl>
    <w:p w14:paraId="7198D3DC">
      <w:pPr>
        <w:rPr>
          <w:rFonts w:hint="default" w:ascii="Times New Roman" w:hAnsi="Times New Roman" w:cs="Times New Roman"/>
          <w:vanish/>
          <w:sz w:val="24"/>
          <w:szCs w:val="24"/>
        </w:rPr>
      </w:pPr>
    </w:p>
    <w:tbl>
      <w:tblPr>
        <w:tblW w:w="5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8"/>
        <w:gridCol w:w="2822"/>
      </w:tblGrid>
      <w:tr w14:paraId="2BA31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818" w:type="dxa"/>
            <w:tcBorders>
              <w:top w:val="nil"/>
            </w:tcBorders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600B57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Classification system distribution (total images per system)</w:t>
            </w:r>
          </w:p>
        </w:tc>
        <w:tc>
          <w:tcPr>
            <w:tcW w:w="2822" w:type="dxa"/>
            <w:tcBorders>
              <w:top w:val="nil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57217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 (%)</w:t>
            </w:r>
          </w:p>
        </w:tc>
      </w:tr>
      <w:tr w14:paraId="3553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8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62D76D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Hulka (2-class)</w:t>
            </w:r>
          </w:p>
        </w:tc>
        <w:tc>
          <w:tcPr>
            <w:tcW w:w="2822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C70F48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  <w:tr w14:paraId="4B3F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8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AA98D1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Kishi (4-class)</w:t>
            </w:r>
          </w:p>
        </w:tc>
        <w:tc>
          <w:tcPr>
            <w:tcW w:w="2822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5DDB6F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  <w:tr w14:paraId="633A6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8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793BA4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Bazot (3-class)</w:t>
            </w:r>
          </w:p>
        </w:tc>
        <w:tc>
          <w:tcPr>
            <w:tcW w:w="2822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EDE6E6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  <w:tr w14:paraId="1A7F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8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DD138D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Kobayashi (6-class)</w:t>
            </w:r>
          </w:p>
        </w:tc>
        <w:tc>
          <w:tcPr>
            <w:tcW w:w="2822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A7D4BE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  <w:tr w14:paraId="66D9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18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972EAB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Gong (6-class)</w:t>
            </w:r>
          </w:p>
        </w:tc>
        <w:tc>
          <w:tcPr>
            <w:tcW w:w="2822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1D8E04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6,768</w:t>
            </w:r>
          </w:p>
        </w:tc>
      </w:tr>
    </w:tbl>
    <w:p w14:paraId="5F76C3E4">
      <w:pPr>
        <w:pStyle w:val="4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Abbreviations: SD, standard deviation; BMI, body mass index; IQR, interquartile range; MRI, magnetic resonance imaging.</w:t>
      </w:r>
    </w:p>
    <w:p w14:paraId="0E0B5E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2026-07-05T11:00:57Z</dcterms:created>
  <dc:creator>huawei</dc:creator>
  <cp:lastModifiedBy>十年</cp:lastModifiedBy>
  <dcterms:modified xsi:type="dcterms:W3CDTF">2026-07-05T11:07:21Z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eyJoZGlkIjoiYzEyM2JiOTdmNTZjYWEzZmRjMTU4NDE2YWMxMjQ1ZjYiLCJ1c2VySWQiOiIyNTk4NzU3MzYifQ==</vt:lpwstr>
  </property>
  <property fmtid="{D5CDD505-2E9C-101B-9397-08002B2CF9AE}" pid="4" name="ICV">
    <vt:lpwstr>E206EB3F4EFF4B7FBAC1A6F674770578_12</vt:lpwstr>
  </property>
</Properties>
</file>