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1977F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2"/>
          <w:szCs w:val="22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Table S1. Interobserver agreement (Fleiss' κ) for each adenomyosis classification system among three independent radiologists.</w:t>
      </w:r>
    </w:p>
    <w:tbl>
      <w:tblPr>
        <w:tblStyle w:val="4"/>
        <w:tblW w:w="92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18"/>
        <w:gridCol w:w="2296"/>
        <w:gridCol w:w="2198"/>
        <w:gridCol w:w="2221"/>
      </w:tblGrid>
      <w:tr w14:paraId="7A25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9D4326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Classification System</w:t>
            </w:r>
          </w:p>
        </w:tc>
        <w:tc>
          <w:tcPr>
            <w:tcW w:w="22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32AB7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Number of Categories</w:t>
            </w:r>
          </w:p>
        </w:tc>
        <w:tc>
          <w:tcPr>
            <w:tcW w:w="21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0DB76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Fleiss' κ (95% CI)</w:t>
            </w:r>
          </w:p>
        </w:tc>
        <w:tc>
          <w:tcPr>
            <w:tcW w:w="222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3D593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Strength of Agreement</w:t>
            </w:r>
          </w:p>
        </w:tc>
      </w:tr>
      <w:tr w14:paraId="2005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0E50E9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Hulka et al. (2002)</w:t>
            </w:r>
          </w:p>
        </w:tc>
        <w:tc>
          <w:tcPr>
            <w:tcW w:w="2296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9F3AC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97F5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0.91 (0.88–0.94)</w:t>
            </w:r>
          </w:p>
        </w:tc>
        <w:tc>
          <w:tcPr>
            <w:tcW w:w="2221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0FCAC8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Almost perfect</w:t>
            </w:r>
          </w:p>
        </w:tc>
      </w:tr>
      <w:tr w14:paraId="73507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450CE3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Kishi et al. (2012)</w:t>
            </w:r>
          </w:p>
        </w:tc>
        <w:tc>
          <w:tcPr>
            <w:tcW w:w="2296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1D80F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198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5911F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0.88 (0.84–0.92)</w:t>
            </w:r>
          </w:p>
        </w:tc>
        <w:tc>
          <w:tcPr>
            <w:tcW w:w="2221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F56397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Almost perfect</w:t>
            </w:r>
          </w:p>
        </w:tc>
      </w:tr>
      <w:tr w14:paraId="0B593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E19063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Bazot et al. (2018)</w:t>
            </w:r>
          </w:p>
        </w:tc>
        <w:tc>
          <w:tcPr>
            <w:tcW w:w="2296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BBE18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198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AB7E3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0.90 (0.87–0.93)</w:t>
            </w:r>
          </w:p>
        </w:tc>
        <w:tc>
          <w:tcPr>
            <w:tcW w:w="2221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36754A7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Almost perfect</w:t>
            </w:r>
          </w:p>
        </w:tc>
      </w:tr>
      <w:tr w14:paraId="6A3A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0" w:type="auto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E8C228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Kobayashi et al. (2021)</w:t>
            </w:r>
          </w:p>
        </w:tc>
        <w:tc>
          <w:tcPr>
            <w:tcW w:w="2296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BE73A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198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1F0E4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0.82 (0.78–0.86)</w:t>
            </w:r>
          </w:p>
        </w:tc>
        <w:tc>
          <w:tcPr>
            <w:tcW w:w="2221" w:type="dxa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3BFCFF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Almost perfect</w:t>
            </w:r>
          </w:p>
        </w:tc>
      </w:tr>
      <w:tr w14:paraId="72AD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786947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Gong et al. (2022)</w:t>
            </w:r>
          </w:p>
        </w:tc>
        <w:tc>
          <w:tcPr>
            <w:tcW w:w="2296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5A9F8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198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22AE3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0.84 (0.80–0.88)</w:t>
            </w:r>
          </w:p>
        </w:tc>
        <w:tc>
          <w:tcPr>
            <w:tcW w:w="2221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ED3848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1"/>
                <w:szCs w:val="21"/>
                <w:lang w:val="en-US" w:eastAsia="zh-CN" w:bidi="ar"/>
              </w:rPr>
              <w:t>Almost perfect</w:t>
            </w:r>
          </w:p>
        </w:tc>
      </w:tr>
    </w:tbl>
    <w:p w14:paraId="68E270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A0BF2"/>
    <w:rsid w:val="3ACA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412</Characters>
  <Lines>0</Lines>
  <Paragraphs>0</Paragraphs>
  <TotalTime>1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2026-07-04T13:24:00Z</dcterms:created>
  <dc:creator>huawei</dc:creator>
  <cp:lastModifiedBy>十年</cp:lastModifiedBy>
  <dcterms:modified xsi:type="dcterms:W3CDTF">2026-07-05T10:29:42Z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eyJoZGlkIjoiYzEyM2JiOTdmNTZjYWEzZmRjMTU4NDE2YWMxMjQ1ZjYiLCJ1c2VySWQiOiIyNTk4NzU3MzYifQ==</vt:lpwstr>
  </property>
  <property fmtid="{D5CDD505-2E9C-101B-9397-08002B2CF9AE}" pid="4" name="ICV">
    <vt:lpwstr>A49DB62553424A0CB7FB07084AFEDC7D_12</vt:lpwstr>
  </property>
</Properties>
</file>