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3614E2">
      <w:pPr>
        <w:spacing w:before="0" w:after="60"/>
        <w:jc w:val="both"/>
        <w:rPr>
          <w:rFonts w:hint="default" w:ascii="Times New Roman" w:hAnsi="Times New Roman" w:cs="Times New Roman"/>
          <w:sz w:val="24"/>
          <w:szCs w:val="24"/>
        </w:rPr>
      </w:pPr>
      <w:r>
        <w:rPr>
          <w:rFonts w:hint="default" w:ascii="Times New Roman" w:hAnsi="Times New Roman" w:eastAsia="Times New Roman" w:cs="Times New Roman"/>
          <w:b/>
          <w:sz w:val="24"/>
          <w:szCs w:val="24"/>
        </w:rPr>
        <w:t>Table S1. Computational Environment and Software Configuration Used in This Study</w:t>
      </w:r>
    </w:p>
    <w:tbl>
      <w:tblPr>
        <w:tblStyle w:val="32"/>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744"/>
        <w:gridCol w:w="11232"/>
      </w:tblGrid>
      <w:tr w14:paraId="5AC6C81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44" w:type="dxa"/>
            <w:tcBorders>
              <w:bottom w:val="single" w:color="000000" w:sz="12" w:space="0"/>
            </w:tcBorders>
            <w:vAlign w:val="center"/>
          </w:tcPr>
          <w:p w14:paraId="5973F4C5">
            <w:pPr>
              <w:spacing w:before="0" w:after="0" w:line="240" w:lineRule="auto"/>
              <w:jc w:val="both"/>
              <w:rPr>
                <w:rFonts w:hint="default" w:ascii="Times New Roman" w:hAnsi="Times New Roman" w:cs="Times New Roman"/>
                <w:b/>
                <w:bCs/>
                <w:sz w:val="24"/>
                <w:szCs w:val="24"/>
              </w:rPr>
            </w:pPr>
            <w:r>
              <w:rPr>
                <w:rFonts w:hint="default" w:ascii="Times New Roman" w:hAnsi="Times New Roman" w:eastAsia="Times New Roman" w:cs="Times New Roman"/>
                <w:b/>
                <w:bCs/>
                <w:sz w:val="24"/>
                <w:szCs w:val="24"/>
              </w:rPr>
              <w:t>Component</w:t>
            </w:r>
          </w:p>
        </w:tc>
        <w:tc>
          <w:tcPr>
            <w:tcW w:w="11232" w:type="dxa"/>
            <w:tcBorders>
              <w:bottom w:val="single" w:color="000000" w:sz="12" w:space="0"/>
            </w:tcBorders>
            <w:vAlign w:val="center"/>
          </w:tcPr>
          <w:p w14:paraId="5BB523A9">
            <w:pPr>
              <w:spacing w:before="0" w:after="0" w:line="240" w:lineRule="auto"/>
              <w:jc w:val="both"/>
              <w:rPr>
                <w:rFonts w:hint="default" w:ascii="Times New Roman" w:hAnsi="Times New Roman" w:cs="Times New Roman"/>
                <w:b/>
                <w:bCs/>
                <w:sz w:val="24"/>
                <w:szCs w:val="24"/>
              </w:rPr>
            </w:pPr>
            <w:r>
              <w:rPr>
                <w:rFonts w:hint="default" w:ascii="Times New Roman" w:hAnsi="Times New Roman" w:eastAsia="Times New Roman" w:cs="Times New Roman"/>
                <w:b/>
                <w:bCs/>
                <w:sz w:val="24"/>
                <w:szCs w:val="24"/>
              </w:rPr>
              <w:t>Version_Details</w:t>
            </w:r>
          </w:p>
        </w:tc>
      </w:tr>
      <w:tr w14:paraId="765830C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44" w:type="dxa"/>
            <w:tcBorders>
              <w:top w:val="nil"/>
              <w:left w:val="nil"/>
              <w:bottom w:val="nil"/>
              <w:right w:val="nil"/>
            </w:tcBorders>
            <w:vAlign w:val="center"/>
          </w:tcPr>
          <w:p w14:paraId="686B27FC">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OS</w:t>
            </w:r>
          </w:p>
        </w:tc>
        <w:tc>
          <w:tcPr>
            <w:tcW w:w="11232" w:type="dxa"/>
            <w:tcBorders>
              <w:top w:val="nil"/>
              <w:left w:val="nil"/>
              <w:bottom w:val="nil"/>
              <w:right w:val="nil"/>
            </w:tcBorders>
            <w:vAlign w:val="center"/>
          </w:tcPr>
          <w:p w14:paraId="709C3939">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Ubuntu 22.04 LTS</w:t>
            </w:r>
          </w:p>
        </w:tc>
      </w:tr>
      <w:tr w14:paraId="2044B83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44" w:type="dxa"/>
            <w:tcBorders>
              <w:top w:val="nil"/>
              <w:left w:val="nil"/>
              <w:bottom w:val="nil"/>
              <w:right w:val="nil"/>
            </w:tcBorders>
            <w:vAlign w:val="center"/>
          </w:tcPr>
          <w:p w14:paraId="36033918">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Python</w:t>
            </w:r>
          </w:p>
        </w:tc>
        <w:tc>
          <w:tcPr>
            <w:tcW w:w="11232" w:type="dxa"/>
            <w:tcBorders>
              <w:top w:val="nil"/>
              <w:left w:val="nil"/>
              <w:bottom w:val="nil"/>
              <w:right w:val="nil"/>
            </w:tcBorders>
            <w:vAlign w:val="center"/>
          </w:tcPr>
          <w:p w14:paraId="788338B5">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3.11.6</w:t>
            </w:r>
          </w:p>
        </w:tc>
      </w:tr>
      <w:tr w14:paraId="3DA4C2A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44" w:type="dxa"/>
            <w:tcBorders>
              <w:top w:val="nil"/>
              <w:left w:val="nil"/>
              <w:bottom w:val="nil"/>
              <w:right w:val="nil"/>
            </w:tcBorders>
            <w:vAlign w:val="center"/>
          </w:tcPr>
          <w:p w14:paraId="0D7A518C">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R</w:t>
            </w:r>
          </w:p>
        </w:tc>
        <w:tc>
          <w:tcPr>
            <w:tcW w:w="11232" w:type="dxa"/>
            <w:tcBorders>
              <w:top w:val="nil"/>
              <w:left w:val="nil"/>
              <w:bottom w:val="nil"/>
              <w:right w:val="nil"/>
            </w:tcBorders>
            <w:vAlign w:val="center"/>
          </w:tcPr>
          <w:p w14:paraId="7DFD3A09">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4.3.1</w:t>
            </w:r>
          </w:p>
        </w:tc>
      </w:tr>
      <w:tr w14:paraId="7B9015B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44" w:type="dxa"/>
            <w:tcBorders>
              <w:top w:val="nil"/>
              <w:left w:val="nil"/>
              <w:bottom w:val="nil"/>
              <w:right w:val="nil"/>
            </w:tcBorders>
            <w:vAlign w:val="center"/>
          </w:tcPr>
          <w:p w14:paraId="28D61BD2">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scikit-learn</w:t>
            </w:r>
          </w:p>
        </w:tc>
        <w:tc>
          <w:tcPr>
            <w:tcW w:w="11232" w:type="dxa"/>
            <w:tcBorders>
              <w:top w:val="nil"/>
              <w:left w:val="nil"/>
              <w:bottom w:val="nil"/>
              <w:right w:val="nil"/>
            </w:tcBorders>
            <w:vAlign w:val="center"/>
          </w:tcPr>
          <w:p w14:paraId="31775EAE">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1.4.2</w:t>
            </w:r>
          </w:p>
        </w:tc>
      </w:tr>
      <w:tr w14:paraId="2036C96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44" w:type="dxa"/>
            <w:tcBorders>
              <w:top w:val="nil"/>
              <w:left w:val="nil"/>
              <w:bottom w:val="nil"/>
              <w:right w:val="nil"/>
            </w:tcBorders>
            <w:vAlign w:val="center"/>
          </w:tcPr>
          <w:p w14:paraId="2A8B1989">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PyRadiomics</w:t>
            </w:r>
          </w:p>
        </w:tc>
        <w:tc>
          <w:tcPr>
            <w:tcW w:w="11232" w:type="dxa"/>
            <w:tcBorders>
              <w:top w:val="nil"/>
              <w:left w:val="nil"/>
              <w:bottom w:val="nil"/>
              <w:right w:val="nil"/>
            </w:tcBorders>
            <w:vAlign w:val="center"/>
          </w:tcPr>
          <w:p w14:paraId="4C0DF3BB">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3.0</w:t>
            </w:r>
          </w:p>
        </w:tc>
      </w:tr>
      <w:tr w14:paraId="5865507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44" w:type="dxa"/>
            <w:tcBorders>
              <w:top w:val="nil"/>
              <w:left w:val="nil"/>
              <w:bottom w:val="nil"/>
              <w:right w:val="nil"/>
            </w:tcBorders>
            <w:vAlign w:val="center"/>
          </w:tcPr>
          <w:p w14:paraId="4B50F2EC">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NumPy</w:t>
            </w:r>
          </w:p>
        </w:tc>
        <w:tc>
          <w:tcPr>
            <w:tcW w:w="11232" w:type="dxa"/>
            <w:tcBorders>
              <w:top w:val="nil"/>
              <w:left w:val="nil"/>
              <w:bottom w:val="nil"/>
              <w:right w:val="nil"/>
            </w:tcBorders>
            <w:vAlign w:val="center"/>
          </w:tcPr>
          <w:p w14:paraId="5F8EB699">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1.26</w:t>
            </w:r>
          </w:p>
        </w:tc>
      </w:tr>
      <w:tr w14:paraId="68612F9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44" w:type="dxa"/>
            <w:tcBorders>
              <w:top w:val="nil"/>
              <w:left w:val="nil"/>
              <w:bottom w:val="nil"/>
              <w:right w:val="nil"/>
            </w:tcBorders>
            <w:vAlign w:val="center"/>
          </w:tcPr>
          <w:p w14:paraId="5C161295">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Pandas</w:t>
            </w:r>
          </w:p>
        </w:tc>
        <w:tc>
          <w:tcPr>
            <w:tcW w:w="11232" w:type="dxa"/>
            <w:tcBorders>
              <w:top w:val="nil"/>
              <w:left w:val="nil"/>
              <w:bottom w:val="nil"/>
              <w:right w:val="nil"/>
            </w:tcBorders>
            <w:vAlign w:val="center"/>
          </w:tcPr>
          <w:p w14:paraId="1FADC17A">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2.2</w:t>
            </w:r>
          </w:p>
        </w:tc>
      </w:tr>
      <w:tr w14:paraId="554A307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44" w:type="dxa"/>
            <w:tcBorders>
              <w:top w:val="nil"/>
              <w:left w:val="nil"/>
              <w:bottom w:val="nil"/>
              <w:right w:val="nil"/>
            </w:tcBorders>
            <w:vAlign w:val="center"/>
          </w:tcPr>
          <w:p w14:paraId="18BACEFC">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Matplotlib</w:t>
            </w:r>
          </w:p>
        </w:tc>
        <w:tc>
          <w:tcPr>
            <w:tcW w:w="11232" w:type="dxa"/>
            <w:tcBorders>
              <w:top w:val="nil"/>
              <w:left w:val="nil"/>
              <w:bottom w:val="nil"/>
              <w:right w:val="nil"/>
            </w:tcBorders>
            <w:vAlign w:val="center"/>
          </w:tcPr>
          <w:p w14:paraId="06A81209">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3.9</w:t>
            </w:r>
          </w:p>
        </w:tc>
      </w:tr>
      <w:tr w14:paraId="6B77448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44" w:type="dxa"/>
            <w:tcBorders>
              <w:top w:val="nil"/>
              <w:left w:val="nil"/>
              <w:bottom w:val="nil"/>
              <w:right w:val="nil"/>
            </w:tcBorders>
            <w:vAlign w:val="center"/>
          </w:tcPr>
          <w:p w14:paraId="7F583469">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WGCNA (R)</w:t>
            </w:r>
          </w:p>
        </w:tc>
        <w:tc>
          <w:tcPr>
            <w:tcW w:w="11232" w:type="dxa"/>
            <w:tcBorders>
              <w:top w:val="nil"/>
              <w:left w:val="nil"/>
              <w:bottom w:val="nil"/>
              <w:right w:val="nil"/>
            </w:tcBorders>
            <w:vAlign w:val="center"/>
          </w:tcPr>
          <w:p w14:paraId="50AB18FA">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1.72-1</w:t>
            </w:r>
          </w:p>
        </w:tc>
      </w:tr>
      <w:tr w14:paraId="43B5BBA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44" w:type="dxa"/>
            <w:tcBorders>
              <w:top w:val="nil"/>
              <w:left w:val="nil"/>
              <w:bottom w:val="single" w:color="000000" w:sz="12" w:space="0"/>
              <w:right w:val="nil"/>
            </w:tcBorders>
            <w:vAlign w:val="center"/>
          </w:tcPr>
          <w:p w14:paraId="1106E891">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Hardware</w:t>
            </w:r>
          </w:p>
        </w:tc>
        <w:tc>
          <w:tcPr>
            <w:tcW w:w="11232" w:type="dxa"/>
            <w:tcBorders>
              <w:top w:val="nil"/>
              <w:left w:val="nil"/>
              <w:bottom w:val="single" w:color="000000" w:sz="12" w:space="0"/>
              <w:right w:val="nil"/>
            </w:tcBorders>
            <w:vAlign w:val="center"/>
          </w:tcPr>
          <w:p w14:paraId="6EB6AC3D">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Intel Xeon Silver 4214 x 2, 128 GB RAM</w:t>
            </w:r>
          </w:p>
        </w:tc>
      </w:tr>
    </w:tbl>
    <w:p w14:paraId="64BDBDD9">
      <w:pPr>
        <w:spacing w:before="40" w:after="120"/>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NOTE: Exact environment encapsulated in Docker image ai-gastric/mmrfc:1.0.</w:t>
      </w:r>
    </w:p>
    <w:p w14:paraId="5117AD44">
      <w:pPr>
        <w:jc w:val="both"/>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br w:type="page"/>
      </w:r>
    </w:p>
    <w:p w14:paraId="2B33FAAA">
      <w:pPr>
        <w:spacing w:before="0" w:after="60"/>
        <w:jc w:val="both"/>
        <w:rPr>
          <w:rFonts w:hint="default" w:ascii="Times New Roman" w:hAnsi="Times New Roman" w:cs="Times New Roman"/>
          <w:sz w:val="24"/>
          <w:szCs w:val="24"/>
        </w:rPr>
      </w:pPr>
      <w:r>
        <w:rPr>
          <w:rFonts w:hint="default" w:ascii="Times New Roman" w:hAnsi="Times New Roman" w:eastAsia="Times New Roman" w:cs="Times New Roman"/>
          <w:b/>
          <w:sz w:val="24"/>
          <w:szCs w:val="24"/>
        </w:rPr>
        <w:t>Table S2. CT Imaging Preprocessing and Radiomics Feature Extraction Parameters</w:t>
      </w:r>
    </w:p>
    <w:tbl>
      <w:tblPr>
        <w:tblStyle w:val="32"/>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20"/>
        <w:gridCol w:w="10656"/>
      </w:tblGrid>
      <w:tr w14:paraId="23428D7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20" w:type="dxa"/>
            <w:tcBorders>
              <w:bottom w:val="single" w:color="000000" w:sz="12" w:space="0"/>
            </w:tcBorders>
            <w:vAlign w:val="center"/>
          </w:tcPr>
          <w:p w14:paraId="556D6643">
            <w:pPr>
              <w:spacing w:before="0" w:after="0" w:line="240" w:lineRule="auto"/>
              <w:jc w:val="both"/>
              <w:rPr>
                <w:rFonts w:hint="default" w:ascii="Times New Roman" w:hAnsi="Times New Roman" w:cs="Times New Roman"/>
                <w:b/>
                <w:bCs/>
                <w:sz w:val="24"/>
                <w:szCs w:val="24"/>
              </w:rPr>
            </w:pPr>
            <w:r>
              <w:rPr>
                <w:rFonts w:hint="default" w:ascii="Times New Roman" w:hAnsi="Times New Roman" w:eastAsia="Times New Roman" w:cs="Times New Roman"/>
                <w:b/>
                <w:bCs/>
                <w:sz w:val="24"/>
                <w:szCs w:val="24"/>
              </w:rPr>
              <w:t>Parameter</w:t>
            </w:r>
          </w:p>
        </w:tc>
        <w:tc>
          <w:tcPr>
            <w:tcW w:w="10656" w:type="dxa"/>
            <w:tcBorders>
              <w:bottom w:val="single" w:color="000000" w:sz="12" w:space="0"/>
            </w:tcBorders>
            <w:vAlign w:val="center"/>
          </w:tcPr>
          <w:p w14:paraId="22BE710E">
            <w:pPr>
              <w:spacing w:before="0" w:after="0" w:line="240" w:lineRule="auto"/>
              <w:jc w:val="both"/>
              <w:rPr>
                <w:rFonts w:hint="default" w:ascii="Times New Roman" w:hAnsi="Times New Roman" w:cs="Times New Roman"/>
                <w:b/>
                <w:bCs/>
                <w:sz w:val="24"/>
                <w:szCs w:val="24"/>
              </w:rPr>
            </w:pPr>
            <w:r>
              <w:rPr>
                <w:rFonts w:hint="default" w:ascii="Times New Roman" w:hAnsi="Times New Roman" w:eastAsia="Times New Roman" w:cs="Times New Roman"/>
                <w:b/>
                <w:bCs/>
                <w:sz w:val="24"/>
                <w:szCs w:val="24"/>
              </w:rPr>
              <w:t>Setting Used for Revision Reporting</w:t>
            </w:r>
          </w:p>
        </w:tc>
      </w:tr>
      <w:tr w14:paraId="5645985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20" w:type="dxa"/>
            <w:tcBorders>
              <w:top w:val="nil"/>
              <w:left w:val="nil"/>
              <w:bottom w:val="nil"/>
              <w:right w:val="nil"/>
            </w:tcBorders>
            <w:vAlign w:val="center"/>
          </w:tcPr>
          <w:p w14:paraId="5E8C14E4">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Data source</w:t>
            </w:r>
          </w:p>
        </w:tc>
        <w:tc>
          <w:tcPr>
            <w:tcW w:w="10656" w:type="dxa"/>
            <w:tcBorders>
              <w:top w:val="nil"/>
              <w:left w:val="nil"/>
              <w:bottom w:val="nil"/>
              <w:right w:val="nil"/>
            </w:tcBorders>
            <w:vAlign w:val="center"/>
          </w:tcPr>
          <w:p w14:paraId="0F626660">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TCIA/TCGA-STAD CT imaging data matched to TCGA-STAD clinical and transcriptomic records</w:t>
            </w:r>
          </w:p>
        </w:tc>
      </w:tr>
      <w:tr w14:paraId="690EB01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20" w:type="dxa"/>
            <w:tcBorders>
              <w:top w:val="nil"/>
              <w:left w:val="nil"/>
              <w:bottom w:val="nil"/>
              <w:right w:val="nil"/>
            </w:tcBorders>
            <w:vAlign w:val="center"/>
          </w:tcPr>
          <w:p w14:paraId="4E98EF1E">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Imaging modality</w:t>
            </w:r>
          </w:p>
        </w:tc>
        <w:tc>
          <w:tcPr>
            <w:tcW w:w="10656" w:type="dxa"/>
            <w:tcBorders>
              <w:top w:val="nil"/>
              <w:left w:val="nil"/>
              <w:bottom w:val="nil"/>
              <w:right w:val="nil"/>
            </w:tcBorders>
            <w:vAlign w:val="center"/>
          </w:tcPr>
          <w:p w14:paraId="01F7596F">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Contrast-enhanced abdominal computed tomography (CT)</w:t>
            </w:r>
          </w:p>
        </w:tc>
      </w:tr>
      <w:tr w14:paraId="2E1DC72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20" w:type="dxa"/>
            <w:tcBorders>
              <w:top w:val="nil"/>
              <w:left w:val="nil"/>
              <w:bottom w:val="nil"/>
              <w:right w:val="nil"/>
            </w:tcBorders>
            <w:vAlign w:val="center"/>
          </w:tcPr>
          <w:p w14:paraId="7C876993">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CT phase used for radiomics</w:t>
            </w:r>
          </w:p>
        </w:tc>
        <w:tc>
          <w:tcPr>
            <w:tcW w:w="10656" w:type="dxa"/>
            <w:tcBorders>
              <w:top w:val="nil"/>
              <w:left w:val="nil"/>
              <w:bottom w:val="nil"/>
              <w:right w:val="nil"/>
            </w:tcBorders>
            <w:vAlign w:val="center"/>
          </w:tcPr>
          <w:p w14:paraId="6F6ADBA3">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Portal venous phase series selected for primary radiomics extraction</w:t>
            </w:r>
          </w:p>
        </w:tc>
      </w:tr>
      <w:tr w14:paraId="729E95F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20" w:type="dxa"/>
            <w:tcBorders>
              <w:top w:val="nil"/>
              <w:left w:val="nil"/>
              <w:bottom w:val="nil"/>
              <w:right w:val="nil"/>
            </w:tcBorders>
            <w:vAlign w:val="center"/>
          </w:tcPr>
          <w:p w14:paraId="00994FB9">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ROI definition</w:t>
            </w:r>
          </w:p>
        </w:tc>
        <w:tc>
          <w:tcPr>
            <w:tcW w:w="10656" w:type="dxa"/>
            <w:tcBorders>
              <w:top w:val="nil"/>
              <w:left w:val="nil"/>
              <w:bottom w:val="nil"/>
              <w:right w:val="nil"/>
            </w:tcBorders>
            <w:vAlign w:val="center"/>
          </w:tcPr>
          <w:p w14:paraId="6AECDCD9">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Whole primary gastric tumor volume visible on the selected CT series</w:t>
            </w:r>
          </w:p>
        </w:tc>
      </w:tr>
      <w:tr w14:paraId="22BCFA0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20" w:type="dxa"/>
            <w:tcBorders>
              <w:top w:val="nil"/>
              <w:left w:val="nil"/>
              <w:bottom w:val="nil"/>
              <w:right w:val="nil"/>
            </w:tcBorders>
            <w:vAlign w:val="center"/>
          </w:tcPr>
          <w:p w14:paraId="52A4725B">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Segmentation approach</w:t>
            </w:r>
          </w:p>
        </w:tc>
        <w:tc>
          <w:tcPr>
            <w:tcW w:w="10656" w:type="dxa"/>
            <w:tcBorders>
              <w:top w:val="nil"/>
              <w:left w:val="nil"/>
              <w:bottom w:val="nil"/>
              <w:right w:val="nil"/>
            </w:tcBorders>
            <w:vAlign w:val="center"/>
          </w:tcPr>
          <w:p w14:paraId="1B778AEF">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Manual slice-by-slice three-dimensional tumor segmentation along the visible lesion boundary</w:t>
            </w:r>
          </w:p>
        </w:tc>
      </w:tr>
      <w:tr w14:paraId="483C69F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20" w:type="dxa"/>
            <w:tcBorders>
              <w:top w:val="nil"/>
              <w:left w:val="nil"/>
              <w:bottom w:val="nil"/>
              <w:right w:val="nil"/>
            </w:tcBorders>
            <w:vAlign w:val="center"/>
          </w:tcPr>
          <w:p w14:paraId="2712F3F3">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Mask exclusion rule</w:t>
            </w:r>
          </w:p>
        </w:tc>
        <w:tc>
          <w:tcPr>
            <w:tcW w:w="10656" w:type="dxa"/>
            <w:tcBorders>
              <w:top w:val="nil"/>
              <w:left w:val="nil"/>
              <w:bottom w:val="nil"/>
              <w:right w:val="nil"/>
            </w:tcBorders>
            <w:vAlign w:val="center"/>
          </w:tcPr>
          <w:p w14:paraId="63904AFA">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Non-tumor gastric lumen, adjacent organs, major vessels, necrotic luminal gas, and obvious artifacts excluded from tumor masks</w:t>
            </w:r>
          </w:p>
        </w:tc>
      </w:tr>
      <w:tr w14:paraId="752E8EC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20" w:type="dxa"/>
            <w:tcBorders>
              <w:top w:val="nil"/>
              <w:left w:val="nil"/>
              <w:bottom w:val="nil"/>
              <w:right w:val="nil"/>
            </w:tcBorders>
            <w:vAlign w:val="center"/>
          </w:tcPr>
          <w:p w14:paraId="69D08274">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Image resampling</w:t>
            </w:r>
          </w:p>
        </w:tc>
        <w:tc>
          <w:tcPr>
            <w:tcW w:w="10656" w:type="dxa"/>
            <w:tcBorders>
              <w:top w:val="nil"/>
              <w:left w:val="nil"/>
              <w:bottom w:val="nil"/>
              <w:right w:val="nil"/>
            </w:tcBorders>
            <w:vAlign w:val="center"/>
          </w:tcPr>
          <w:p w14:paraId="636D6B32">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1.0 x 1.0 x 1.0 mm isotropic voxel spacing</w:t>
            </w:r>
          </w:p>
        </w:tc>
      </w:tr>
      <w:tr w14:paraId="72677D7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20" w:type="dxa"/>
            <w:tcBorders>
              <w:top w:val="nil"/>
              <w:left w:val="nil"/>
              <w:bottom w:val="nil"/>
              <w:right w:val="nil"/>
            </w:tcBorders>
            <w:vAlign w:val="center"/>
          </w:tcPr>
          <w:p w14:paraId="047C1688">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Interpolation method</w:t>
            </w:r>
          </w:p>
        </w:tc>
        <w:tc>
          <w:tcPr>
            <w:tcW w:w="10656" w:type="dxa"/>
            <w:tcBorders>
              <w:top w:val="nil"/>
              <w:left w:val="nil"/>
              <w:bottom w:val="nil"/>
              <w:right w:val="nil"/>
            </w:tcBorders>
            <w:vAlign w:val="center"/>
          </w:tcPr>
          <w:p w14:paraId="76412DD9">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B-spline interpolation for CT images; nearest-neighbor interpolation for segmentation masks</w:t>
            </w:r>
          </w:p>
        </w:tc>
      </w:tr>
      <w:tr w14:paraId="4F062D6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20" w:type="dxa"/>
            <w:tcBorders>
              <w:top w:val="nil"/>
              <w:left w:val="nil"/>
              <w:bottom w:val="nil"/>
              <w:right w:val="nil"/>
            </w:tcBorders>
            <w:vAlign w:val="center"/>
          </w:tcPr>
          <w:p w14:paraId="672C214D">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Intensity preprocessing</w:t>
            </w:r>
          </w:p>
        </w:tc>
        <w:tc>
          <w:tcPr>
            <w:tcW w:w="10656" w:type="dxa"/>
            <w:tcBorders>
              <w:top w:val="nil"/>
              <w:left w:val="nil"/>
              <w:bottom w:val="nil"/>
              <w:right w:val="nil"/>
            </w:tcBorders>
            <w:vAlign w:val="center"/>
          </w:tcPr>
          <w:p w14:paraId="06B6B9F9">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Z-score normalization after resampling and before feature modeling</w:t>
            </w:r>
          </w:p>
        </w:tc>
      </w:tr>
      <w:tr w14:paraId="10961A7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20" w:type="dxa"/>
            <w:tcBorders>
              <w:top w:val="nil"/>
              <w:left w:val="nil"/>
              <w:bottom w:val="nil"/>
              <w:right w:val="nil"/>
            </w:tcBorders>
            <w:vAlign w:val="center"/>
          </w:tcPr>
          <w:p w14:paraId="7D2C5EB4">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Gray-level discretization</w:t>
            </w:r>
          </w:p>
        </w:tc>
        <w:tc>
          <w:tcPr>
            <w:tcW w:w="10656" w:type="dxa"/>
            <w:tcBorders>
              <w:top w:val="nil"/>
              <w:left w:val="nil"/>
              <w:bottom w:val="nil"/>
              <w:right w:val="nil"/>
            </w:tcBorders>
            <w:vAlign w:val="center"/>
          </w:tcPr>
          <w:p w14:paraId="79F6BAE2">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Fixed bin width of 25 HU</w:t>
            </w:r>
          </w:p>
        </w:tc>
      </w:tr>
      <w:tr w14:paraId="246318A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20" w:type="dxa"/>
            <w:tcBorders>
              <w:top w:val="nil"/>
              <w:left w:val="nil"/>
              <w:bottom w:val="nil"/>
              <w:right w:val="nil"/>
            </w:tcBorders>
            <w:vAlign w:val="center"/>
          </w:tcPr>
          <w:p w14:paraId="409772BE">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Radiomics software</w:t>
            </w:r>
          </w:p>
        </w:tc>
        <w:tc>
          <w:tcPr>
            <w:tcW w:w="10656" w:type="dxa"/>
            <w:tcBorders>
              <w:top w:val="nil"/>
              <w:left w:val="nil"/>
              <w:bottom w:val="nil"/>
              <w:right w:val="nil"/>
            </w:tcBorders>
            <w:vAlign w:val="center"/>
          </w:tcPr>
          <w:p w14:paraId="7767DBB7">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PyRadiomics 3.0 in Python 3.11.6</w:t>
            </w:r>
          </w:p>
        </w:tc>
      </w:tr>
      <w:tr w14:paraId="31262F8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20" w:type="dxa"/>
            <w:tcBorders>
              <w:top w:val="nil"/>
              <w:left w:val="nil"/>
              <w:bottom w:val="nil"/>
              <w:right w:val="nil"/>
            </w:tcBorders>
            <w:vAlign w:val="center"/>
          </w:tcPr>
          <w:p w14:paraId="6DC10604">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Feature classes extracted</w:t>
            </w:r>
          </w:p>
        </w:tc>
        <w:tc>
          <w:tcPr>
            <w:tcW w:w="10656" w:type="dxa"/>
            <w:tcBorders>
              <w:top w:val="nil"/>
              <w:left w:val="nil"/>
              <w:bottom w:val="nil"/>
              <w:right w:val="nil"/>
            </w:tcBorders>
            <w:vAlign w:val="center"/>
          </w:tcPr>
          <w:p w14:paraId="11BF017A">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First-order, shape, GLCM, GLRLM, GLSZM, GLDM, NGTDM, and wavelet-derived features</w:t>
            </w:r>
          </w:p>
        </w:tc>
      </w:tr>
      <w:tr w14:paraId="2D44A38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20" w:type="dxa"/>
            <w:tcBorders>
              <w:top w:val="nil"/>
              <w:left w:val="nil"/>
              <w:bottom w:val="nil"/>
              <w:right w:val="nil"/>
            </w:tcBorders>
            <w:vAlign w:val="center"/>
          </w:tcPr>
          <w:p w14:paraId="1BFE03E9">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Initial radiomic feature number</w:t>
            </w:r>
          </w:p>
        </w:tc>
        <w:tc>
          <w:tcPr>
            <w:tcW w:w="10656" w:type="dxa"/>
            <w:tcBorders>
              <w:top w:val="nil"/>
              <w:left w:val="nil"/>
              <w:bottom w:val="nil"/>
              <w:right w:val="nil"/>
            </w:tcBorders>
            <w:vAlign w:val="center"/>
          </w:tcPr>
          <w:p w14:paraId="1A76EE5C">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116 radiomic features</w:t>
            </w:r>
          </w:p>
        </w:tc>
      </w:tr>
      <w:tr w14:paraId="51F0CC5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20" w:type="dxa"/>
            <w:tcBorders>
              <w:top w:val="nil"/>
              <w:left w:val="nil"/>
              <w:bottom w:val="nil"/>
              <w:right w:val="nil"/>
            </w:tcBorders>
            <w:vAlign w:val="center"/>
          </w:tcPr>
          <w:p w14:paraId="4192C8DB">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Radiomic feature selection</w:t>
            </w:r>
          </w:p>
        </w:tc>
        <w:tc>
          <w:tcPr>
            <w:tcW w:w="10656" w:type="dxa"/>
            <w:tcBorders>
              <w:top w:val="nil"/>
              <w:left w:val="nil"/>
              <w:bottom w:val="nil"/>
              <w:right w:val="nil"/>
            </w:tcBorders>
            <w:vAlign w:val="center"/>
          </w:tcPr>
          <w:p w14:paraId="14301ED8">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L1-regularized logistic regression with non-zero coefficient retention</w:t>
            </w:r>
          </w:p>
        </w:tc>
      </w:tr>
      <w:tr w14:paraId="17B2E0C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20" w:type="dxa"/>
            <w:tcBorders>
              <w:top w:val="nil"/>
              <w:left w:val="nil"/>
              <w:bottom w:val="nil"/>
              <w:right w:val="nil"/>
            </w:tcBorders>
            <w:vAlign w:val="center"/>
          </w:tcPr>
          <w:p w14:paraId="7D798DB3">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Final selected radiomic features</w:t>
            </w:r>
          </w:p>
        </w:tc>
        <w:tc>
          <w:tcPr>
            <w:tcW w:w="10656" w:type="dxa"/>
            <w:tcBorders>
              <w:top w:val="nil"/>
              <w:left w:val="nil"/>
              <w:bottom w:val="nil"/>
              <w:right w:val="nil"/>
            </w:tcBorders>
            <w:vAlign w:val="center"/>
          </w:tcPr>
          <w:p w14:paraId="226E15C3">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Energy, TotalEnergy, MajorAxisLength, Maximum2DDiameterColumn, Maximum2DDiameterRow, Maximum3DDiameter, VoxelVolume, MinorAxisLength, MaximumDiameter, Perimeter, and PixelSurface</w:t>
            </w:r>
          </w:p>
        </w:tc>
      </w:tr>
      <w:tr w14:paraId="4B9E173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20" w:type="dxa"/>
            <w:tcBorders>
              <w:top w:val="nil"/>
              <w:left w:val="nil"/>
              <w:bottom w:val="single" w:color="000000" w:sz="12" w:space="0"/>
              <w:right w:val="nil"/>
            </w:tcBorders>
            <w:vAlign w:val="center"/>
          </w:tcPr>
          <w:p w14:paraId="56015B06">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Feature scaling before modeling</w:t>
            </w:r>
          </w:p>
        </w:tc>
        <w:tc>
          <w:tcPr>
            <w:tcW w:w="10656" w:type="dxa"/>
            <w:tcBorders>
              <w:top w:val="nil"/>
              <w:left w:val="nil"/>
              <w:bottom w:val="single" w:color="000000" w:sz="12" w:space="0"/>
              <w:right w:val="nil"/>
            </w:tcBorders>
            <w:vAlign w:val="center"/>
          </w:tcPr>
          <w:p w14:paraId="6F8FB1CD">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Z-score standardization for selected radiomic predictors</w:t>
            </w:r>
          </w:p>
        </w:tc>
      </w:tr>
    </w:tbl>
    <w:p w14:paraId="0BCC321C">
      <w:pPr>
        <w:spacing w:before="40" w:after="120"/>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NOTE: HU, Hounsfield unit; GLCM, gray-level co-occurrence matrix; GLRLM, gray-level run-length matrix; GLSZM, gray-level size-zone matrix; GLDM, gray-level dependence matrix; NGTDM, neighboring gray-tone difference matrix.</w:t>
      </w:r>
    </w:p>
    <w:p w14:paraId="64942ADD">
      <w:pPr>
        <w:jc w:val="both"/>
        <w:rPr>
          <w:rFonts w:hint="default" w:ascii="Times New Roman" w:hAnsi="Times New Roman" w:cs="Times New Roman"/>
          <w:sz w:val="24"/>
          <w:szCs w:val="24"/>
        </w:rPr>
      </w:pPr>
      <w:r>
        <w:rPr>
          <w:rFonts w:hint="default" w:ascii="Times New Roman" w:hAnsi="Times New Roman" w:cs="Times New Roman"/>
          <w:sz w:val="24"/>
          <w:szCs w:val="24"/>
        </w:rPr>
        <w:br w:type="page"/>
      </w:r>
    </w:p>
    <w:p w14:paraId="7205BBEC">
      <w:pPr>
        <w:spacing w:before="0" w:after="60"/>
        <w:jc w:val="both"/>
        <w:rPr>
          <w:rFonts w:hint="default" w:ascii="Times New Roman" w:hAnsi="Times New Roman" w:cs="Times New Roman"/>
          <w:sz w:val="24"/>
          <w:szCs w:val="24"/>
        </w:rPr>
      </w:pPr>
      <w:r>
        <w:rPr>
          <w:rFonts w:hint="default" w:ascii="Times New Roman" w:hAnsi="Times New Roman" w:eastAsia="Times New Roman" w:cs="Times New Roman"/>
          <w:b/>
          <w:sz w:val="24"/>
          <w:szCs w:val="24"/>
        </w:rPr>
        <w:t>Table S3. Multimodal Feature Blocks and Random Forest Model Configuration</w:t>
      </w:r>
    </w:p>
    <w:tbl>
      <w:tblPr>
        <w:tblStyle w:val="32"/>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02"/>
        <w:gridCol w:w="4043"/>
        <w:gridCol w:w="8037"/>
      </w:tblGrid>
      <w:tr w14:paraId="3BFB9BE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68" w:type="dxa"/>
            <w:tcBorders>
              <w:bottom w:val="single" w:color="000000" w:sz="12" w:space="0"/>
            </w:tcBorders>
            <w:vAlign w:val="center"/>
          </w:tcPr>
          <w:p w14:paraId="31BF93A7">
            <w:pPr>
              <w:spacing w:before="0" w:after="0" w:line="240" w:lineRule="auto"/>
              <w:jc w:val="both"/>
              <w:rPr>
                <w:rFonts w:hint="default" w:ascii="Times New Roman" w:hAnsi="Times New Roman" w:cs="Times New Roman"/>
                <w:b/>
                <w:bCs/>
                <w:sz w:val="24"/>
                <w:szCs w:val="24"/>
              </w:rPr>
            </w:pPr>
            <w:r>
              <w:rPr>
                <w:rFonts w:hint="default" w:ascii="Times New Roman" w:hAnsi="Times New Roman" w:eastAsia="Times New Roman" w:cs="Times New Roman"/>
                <w:b/>
                <w:bCs/>
                <w:sz w:val="24"/>
                <w:szCs w:val="24"/>
              </w:rPr>
              <w:t>Block</w:t>
            </w:r>
          </w:p>
        </w:tc>
        <w:tc>
          <w:tcPr>
            <w:tcW w:w="4176" w:type="dxa"/>
            <w:tcBorders>
              <w:bottom w:val="single" w:color="000000" w:sz="12" w:space="0"/>
            </w:tcBorders>
            <w:vAlign w:val="center"/>
          </w:tcPr>
          <w:p w14:paraId="6997C5FC">
            <w:pPr>
              <w:spacing w:before="0" w:after="0" w:line="240" w:lineRule="auto"/>
              <w:jc w:val="both"/>
              <w:rPr>
                <w:rFonts w:hint="default" w:ascii="Times New Roman" w:hAnsi="Times New Roman" w:cs="Times New Roman"/>
                <w:b/>
                <w:bCs/>
                <w:sz w:val="24"/>
                <w:szCs w:val="24"/>
              </w:rPr>
            </w:pPr>
            <w:r>
              <w:rPr>
                <w:rFonts w:hint="default" w:ascii="Times New Roman" w:hAnsi="Times New Roman" w:eastAsia="Times New Roman" w:cs="Times New Roman"/>
                <w:b/>
                <w:bCs/>
                <w:sz w:val="24"/>
                <w:szCs w:val="24"/>
              </w:rPr>
              <w:t>Input / Setting</w:t>
            </w:r>
          </w:p>
        </w:tc>
        <w:tc>
          <w:tcPr>
            <w:tcW w:w="8352" w:type="dxa"/>
            <w:tcBorders>
              <w:bottom w:val="single" w:color="000000" w:sz="12" w:space="0"/>
            </w:tcBorders>
            <w:vAlign w:val="center"/>
          </w:tcPr>
          <w:p w14:paraId="76B75AF5">
            <w:pPr>
              <w:spacing w:before="0" w:after="0" w:line="240" w:lineRule="auto"/>
              <w:jc w:val="both"/>
              <w:rPr>
                <w:rFonts w:hint="default" w:ascii="Times New Roman" w:hAnsi="Times New Roman" w:cs="Times New Roman"/>
                <w:b/>
                <w:bCs/>
                <w:sz w:val="24"/>
                <w:szCs w:val="24"/>
              </w:rPr>
            </w:pPr>
            <w:r>
              <w:rPr>
                <w:rFonts w:hint="default" w:ascii="Times New Roman" w:hAnsi="Times New Roman" w:eastAsia="Times New Roman" w:cs="Times New Roman"/>
                <w:b/>
                <w:bCs/>
                <w:sz w:val="24"/>
                <w:szCs w:val="24"/>
              </w:rPr>
              <w:t>Detailed Description</w:t>
            </w:r>
          </w:p>
        </w:tc>
      </w:tr>
      <w:tr w14:paraId="58E98DF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68" w:type="dxa"/>
            <w:tcBorders>
              <w:top w:val="nil"/>
              <w:left w:val="nil"/>
              <w:bottom w:val="nil"/>
              <w:right w:val="nil"/>
            </w:tcBorders>
            <w:vAlign w:val="center"/>
          </w:tcPr>
          <w:p w14:paraId="1F90A044">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Outcome variable</w:t>
            </w:r>
          </w:p>
        </w:tc>
        <w:tc>
          <w:tcPr>
            <w:tcW w:w="4176" w:type="dxa"/>
            <w:tcBorders>
              <w:top w:val="nil"/>
              <w:left w:val="nil"/>
              <w:bottom w:val="nil"/>
              <w:right w:val="nil"/>
            </w:tcBorders>
            <w:vAlign w:val="center"/>
          </w:tcPr>
          <w:p w14:paraId="5F25F76B">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Final survival status</w:t>
            </w:r>
          </w:p>
        </w:tc>
        <w:tc>
          <w:tcPr>
            <w:tcW w:w="8352" w:type="dxa"/>
            <w:tcBorders>
              <w:top w:val="nil"/>
              <w:left w:val="nil"/>
              <w:bottom w:val="nil"/>
              <w:right w:val="nil"/>
            </w:tcBorders>
            <w:vAlign w:val="center"/>
          </w:tcPr>
          <w:p w14:paraId="4769CA63">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Death and Survival used as binary prognostic classification labels</w:t>
            </w:r>
          </w:p>
        </w:tc>
      </w:tr>
      <w:tr w14:paraId="68013DB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68" w:type="dxa"/>
            <w:tcBorders>
              <w:top w:val="nil"/>
              <w:left w:val="nil"/>
              <w:bottom w:val="nil"/>
              <w:right w:val="nil"/>
            </w:tcBorders>
            <w:vAlign w:val="center"/>
          </w:tcPr>
          <w:p w14:paraId="03D3E897">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Clinical feature block</w:t>
            </w:r>
          </w:p>
        </w:tc>
        <w:tc>
          <w:tcPr>
            <w:tcW w:w="4176" w:type="dxa"/>
            <w:tcBorders>
              <w:top w:val="nil"/>
              <w:left w:val="nil"/>
              <w:bottom w:val="nil"/>
              <w:right w:val="nil"/>
            </w:tcBorders>
            <w:vAlign w:val="center"/>
          </w:tcPr>
          <w:p w14:paraId="49FB4C8C">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18 coded clinical variables</w:t>
            </w:r>
          </w:p>
        </w:tc>
        <w:tc>
          <w:tcPr>
            <w:tcW w:w="8352" w:type="dxa"/>
            <w:tcBorders>
              <w:top w:val="nil"/>
              <w:left w:val="nil"/>
              <w:bottom w:val="nil"/>
              <w:right w:val="nil"/>
            </w:tcBorders>
            <w:vAlign w:val="center"/>
          </w:tcPr>
          <w:p w14:paraId="1681F8CF">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Tumor grade, gender, race, lymph node examination counts, positive lymph node count, residual tumor, AJCC T/N/M/stage variables, tumor status, family history of stomach cancer, radiation treatment, treatment outcome, new tumor event, age at initial pathologic diagnosis, anatomic neoplasm subdivision, H. pylori infection, and targeted molecular therapy</w:t>
            </w:r>
          </w:p>
        </w:tc>
      </w:tr>
      <w:tr w14:paraId="5A29E86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68" w:type="dxa"/>
            <w:tcBorders>
              <w:top w:val="nil"/>
              <w:left w:val="nil"/>
              <w:bottom w:val="nil"/>
              <w:right w:val="nil"/>
            </w:tcBorders>
            <w:vAlign w:val="center"/>
          </w:tcPr>
          <w:p w14:paraId="2A9EB400">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Radiomic feature block</w:t>
            </w:r>
          </w:p>
        </w:tc>
        <w:tc>
          <w:tcPr>
            <w:tcW w:w="4176" w:type="dxa"/>
            <w:tcBorders>
              <w:top w:val="nil"/>
              <w:left w:val="nil"/>
              <w:bottom w:val="nil"/>
              <w:right w:val="nil"/>
            </w:tcBorders>
            <w:vAlign w:val="center"/>
          </w:tcPr>
          <w:p w14:paraId="5EE32126">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11 selected CT radiomic features</w:t>
            </w:r>
          </w:p>
        </w:tc>
        <w:tc>
          <w:tcPr>
            <w:tcW w:w="8352" w:type="dxa"/>
            <w:tcBorders>
              <w:top w:val="nil"/>
              <w:left w:val="nil"/>
              <w:bottom w:val="nil"/>
              <w:right w:val="nil"/>
            </w:tcBorders>
            <w:vAlign w:val="center"/>
          </w:tcPr>
          <w:p w14:paraId="1EAE4B86">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Energy, TotalEnergy, MajorAxisLength, Maximum2DDiameterColumn, Maximum2DDiameterRow, Maximum3DDiameter, VoxelVolume, MinorAxisLength, MaximumDiameter, Perimeter, and PixelSurface</w:t>
            </w:r>
          </w:p>
        </w:tc>
      </w:tr>
      <w:tr w14:paraId="7DE8782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68" w:type="dxa"/>
            <w:tcBorders>
              <w:top w:val="nil"/>
              <w:left w:val="nil"/>
              <w:bottom w:val="nil"/>
              <w:right w:val="nil"/>
            </w:tcBorders>
            <w:vAlign w:val="center"/>
          </w:tcPr>
          <w:p w14:paraId="7C43ABD5">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Transcriptomic module block</w:t>
            </w:r>
          </w:p>
        </w:tc>
        <w:tc>
          <w:tcPr>
            <w:tcW w:w="4176" w:type="dxa"/>
            <w:tcBorders>
              <w:top w:val="nil"/>
              <w:left w:val="nil"/>
              <w:bottom w:val="nil"/>
              <w:right w:val="nil"/>
            </w:tcBorders>
            <w:vAlign w:val="center"/>
          </w:tcPr>
          <w:p w14:paraId="5073117A">
            <w:pPr>
              <w:rPr>
                <w:sz w:val="24"/>
                <w:szCs w:val="24"/>
              </w:rPr>
            </w:pPr>
            <w:r>
              <w:rPr>
                <w:sz w:val="24"/>
                <w:szCs w:val="24"/>
              </w:rPr>
              <w:t>Seven WGCNA module eigengenes plus retained gene-level transcriptomic predictors</w:t>
            </w:r>
          </w:p>
        </w:tc>
        <w:tc>
          <w:tcPr>
            <w:tcW w:w="8352" w:type="dxa"/>
            <w:tcBorders>
              <w:top w:val="nil"/>
              <w:left w:val="nil"/>
              <w:bottom w:val="nil"/>
              <w:right w:val="nil"/>
            </w:tcBorders>
            <w:vAlign w:val="center"/>
          </w:tcPr>
          <w:p w14:paraId="500B2AD7">
            <w:pPr>
              <w:rPr>
                <w:sz w:val="24"/>
                <w:szCs w:val="24"/>
              </w:rPr>
            </w:pPr>
            <w:r>
              <w:rPr>
                <w:sz w:val="24"/>
                <w:szCs w:val="24"/>
              </w:rPr>
              <w:t>ME-1 to ME-7 were used as low-dimensional transcriptomic predictors; retained gene-level predictors derived from WGCNA-informed feature filtering were also entered into the transcriptomic feature block</w:t>
            </w:r>
          </w:p>
        </w:tc>
      </w:tr>
      <w:tr w14:paraId="690F901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68" w:type="dxa"/>
            <w:tcBorders>
              <w:top w:val="nil"/>
              <w:left w:val="nil"/>
              <w:bottom w:val="nil"/>
              <w:right w:val="nil"/>
            </w:tcBorders>
            <w:vAlign w:val="center"/>
          </w:tcPr>
          <w:p w14:paraId="3687213B">
            <w:pPr>
              <w:rPr>
                <w:sz w:val="24"/>
                <w:szCs w:val="24"/>
              </w:rPr>
            </w:pPr>
            <w:r>
              <w:rPr>
                <w:sz w:val="24"/>
                <w:szCs w:val="24"/>
              </w:rPr>
              <w:t>Gene-level feature importance</w:t>
            </w:r>
          </w:p>
        </w:tc>
        <w:tc>
          <w:tcPr>
            <w:tcW w:w="4176" w:type="dxa"/>
            <w:tcBorders>
              <w:top w:val="nil"/>
              <w:left w:val="nil"/>
              <w:bottom w:val="nil"/>
              <w:right w:val="nil"/>
            </w:tcBorders>
            <w:vAlign w:val="center"/>
          </w:tcPr>
          <w:p w14:paraId="44F64248">
            <w:pPr>
              <w:rPr>
                <w:sz w:val="24"/>
                <w:szCs w:val="24"/>
              </w:rPr>
            </w:pPr>
            <w:r>
              <w:rPr>
                <w:sz w:val="24"/>
                <w:szCs w:val="24"/>
              </w:rPr>
              <w:t>Nine retained gene-level transcriptomic predictors</w:t>
            </w:r>
          </w:p>
        </w:tc>
        <w:tc>
          <w:tcPr>
            <w:tcW w:w="8352" w:type="dxa"/>
            <w:tcBorders>
              <w:top w:val="nil"/>
              <w:left w:val="nil"/>
              <w:bottom w:val="nil"/>
              <w:right w:val="nil"/>
            </w:tcBorders>
            <w:vAlign w:val="center"/>
          </w:tcPr>
          <w:p w14:paraId="233FB3B2">
            <w:pPr>
              <w:rPr>
                <w:sz w:val="24"/>
                <w:szCs w:val="24"/>
              </w:rPr>
            </w:pPr>
            <w:r>
              <w:rPr>
                <w:sz w:val="24"/>
                <w:szCs w:val="24"/>
              </w:rPr>
              <w:t>CHAF1A (0.188), REPIN1 (0.128), SERPINE1 (0.117), HTRA3 (0.100), PWP2 (0.097), GPR173 (0.078), NCLN (0.075), NT5E (0.075), and MYL4 (0.071)</w:t>
            </w:r>
          </w:p>
        </w:tc>
      </w:tr>
      <w:tr w14:paraId="5E89E50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68" w:type="dxa"/>
            <w:tcBorders>
              <w:top w:val="nil"/>
              <w:left w:val="nil"/>
              <w:bottom w:val="nil"/>
              <w:right w:val="nil"/>
            </w:tcBorders>
            <w:vAlign w:val="center"/>
          </w:tcPr>
          <w:p w14:paraId="4658E2B0">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Training/evaluation split</w:t>
            </w:r>
          </w:p>
        </w:tc>
        <w:tc>
          <w:tcPr>
            <w:tcW w:w="4176" w:type="dxa"/>
            <w:tcBorders>
              <w:top w:val="nil"/>
              <w:left w:val="nil"/>
              <w:bottom w:val="nil"/>
              <w:right w:val="nil"/>
            </w:tcBorders>
            <w:vAlign w:val="center"/>
          </w:tcPr>
          <w:p w14:paraId="686C52F0">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37 training/internal validation cases and 9 held-out evaluation cases</w:t>
            </w:r>
          </w:p>
        </w:tc>
        <w:tc>
          <w:tcPr>
            <w:tcW w:w="8352" w:type="dxa"/>
            <w:tcBorders>
              <w:top w:val="nil"/>
              <w:left w:val="nil"/>
              <w:bottom w:val="nil"/>
              <w:right w:val="nil"/>
            </w:tcBorders>
            <w:vAlign w:val="center"/>
          </w:tcPr>
          <w:p w14:paraId="21497E4F">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Held-out evaluation contained 4 Death and 5 Survival cases, matching the displayed confusion matrix</w:t>
            </w:r>
          </w:p>
        </w:tc>
      </w:tr>
      <w:tr w14:paraId="49CD65E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68" w:type="dxa"/>
            <w:tcBorders>
              <w:top w:val="nil"/>
              <w:left w:val="nil"/>
              <w:bottom w:val="nil"/>
              <w:right w:val="nil"/>
            </w:tcBorders>
            <w:vAlign w:val="center"/>
          </w:tcPr>
          <w:p w14:paraId="7773D586">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Cross-validation</w:t>
            </w:r>
          </w:p>
        </w:tc>
        <w:tc>
          <w:tcPr>
            <w:tcW w:w="4176" w:type="dxa"/>
            <w:tcBorders>
              <w:top w:val="nil"/>
              <w:left w:val="nil"/>
              <w:bottom w:val="nil"/>
              <w:right w:val="nil"/>
            </w:tcBorders>
            <w:vAlign w:val="center"/>
          </w:tcPr>
          <w:p w14:paraId="70379CB5">
            <w:pPr>
              <w:rPr>
                <w:sz w:val="24"/>
                <w:szCs w:val="24"/>
              </w:rPr>
            </w:pPr>
            <w:r>
              <w:rPr>
                <w:sz w:val="24"/>
                <w:szCs w:val="24"/>
              </w:rPr>
              <w:t>Stratified five-fold cross-validation within the training/internal-validation cohort</w:t>
            </w:r>
          </w:p>
        </w:tc>
        <w:tc>
          <w:tcPr>
            <w:tcW w:w="8352" w:type="dxa"/>
            <w:tcBorders>
              <w:top w:val="nil"/>
              <w:left w:val="nil"/>
              <w:bottom w:val="nil"/>
              <w:right w:val="nil"/>
            </w:tcBorders>
            <w:vAlign w:val="center"/>
          </w:tcPr>
          <w:p w14:paraId="26E31709">
            <w:pPr>
              <w:rPr>
                <w:sz w:val="24"/>
                <w:szCs w:val="24"/>
              </w:rPr>
            </w:pPr>
            <w:r>
              <w:rPr>
                <w:sz w:val="24"/>
                <w:szCs w:val="24"/>
              </w:rPr>
              <w:t>Used for internal performance estimation and ROC analysis in the small cohort</w:t>
            </w:r>
          </w:p>
        </w:tc>
      </w:tr>
      <w:tr w14:paraId="3CB605C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68" w:type="dxa"/>
            <w:tcBorders>
              <w:top w:val="nil"/>
              <w:left w:val="nil"/>
              <w:bottom w:val="nil"/>
              <w:right w:val="nil"/>
            </w:tcBorders>
            <w:vAlign w:val="center"/>
          </w:tcPr>
          <w:p w14:paraId="05161F9A">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Feature scaling</w:t>
            </w:r>
          </w:p>
        </w:tc>
        <w:tc>
          <w:tcPr>
            <w:tcW w:w="4176" w:type="dxa"/>
            <w:tcBorders>
              <w:top w:val="nil"/>
              <w:left w:val="nil"/>
              <w:bottom w:val="nil"/>
              <w:right w:val="nil"/>
            </w:tcBorders>
            <w:vAlign w:val="center"/>
          </w:tcPr>
          <w:p w14:paraId="44395CDF">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Z-score standardization</w:t>
            </w:r>
          </w:p>
        </w:tc>
        <w:tc>
          <w:tcPr>
            <w:tcW w:w="8352" w:type="dxa"/>
            <w:tcBorders>
              <w:top w:val="nil"/>
              <w:left w:val="nil"/>
              <w:bottom w:val="nil"/>
              <w:right w:val="nil"/>
            </w:tcBorders>
            <w:vAlign w:val="center"/>
          </w:tcPr>
          <w:p w14:paraId="7C9FBDBE">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Clinical, radiomic, and transcriptomic predictors standardized before model fitting</w:t>
            </w:r>
          </w:p>
        </w:tc>
      </w:tr>
      <w:tr w14:paraId="3F61A06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68" w:type="dxa"/>
            <w:tcBorders>
              <w:top w:val="nil"/>
              <w:left w:val="nil"/>
              <w:bottom w:val="nil"/>
              <w:right w:val="nil"/>
            </w:tcBorders>
            <w:vAlign w:val="center"/>
          </w:tcPr>
          <w:p w14:paraId="4D8F34EA">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Final model</w:t>
            </w:r>
          </w:p>
        </w:tc>
        <w:tc>
          <w:tcPr>
            <w:tcW w:w="4176" w:type="dxa"/>
            <w:tcBorders>
              <w:top w:val="nil"/>
              <w:left w:val="nil"/>
              <w:bottom w:val="nil"/>
              <w:right w:val="nil"/>
            </w:tcBorders>
            <w:vAlign w:val="center"/>
          </w:tcPr>
          <w:p w14:paraId="4214571D">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Random forest classifier</w:t>
            </w:r>
          </w:p>
        </w:tc>
        <w:tc>
          <w:tcPr>
            <w:tcW w:w="8352" w:type="dxa"/>
            <w:tcBorders>
              <w:top w:val="nil"/>
              <w:left w:val="nil"/>
              <w:bottom w:val="nil"/>
              <w:right w:val="nil"/>
            </w:tcBorders>
            <w:vAlign w:val="center"/>
          </w:tcPr>
          <w:p w14:paraId="112314CF">
            <w:pPr>
              <w:rPr>
                <w:sz w:val="24"/>
                <w:szCs w:val="24"/>
              </w:rPr>
            </w:pPr>
            <w:r>
              <w:rPr>
                <w:sz w:val="24"/>
                <w:szCs w:val="24"/>
              </w:rPr>
              <w:t>Clinical, radiomic, WGCNA module eigengene, and retained gene-level transcriptomic predictors were concatenated and entered into a single random forest model</w:t>
            </w:r>
          </w:p>
        </w:tc>
      </w:tr>
      <w:tr w14:paraId="53E89A0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68" w:type="dxa"/>
            <w:tcBorders>
              <w:top w:val="nil"/>
              <w:left w:val="nil"/>
              <w:bottom w:val="nil"/>
              <w:right w:val="nil"/>
            </w:tcBorders>
            <w:vAlign w:val="center"/>
          </w:tcPr>
          <w:p w14:paraId="314D96F2">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Number of trees</w:t>
            </w:r>
          </w:p>
        </w:tc>
        <w:tc>
          <w:tcPr>
            <w:tcW w:w="4176" w:type="dxa"/>
            <w:tcBorders>
              <w:top w:val="nil"/>
              <w:left w:val="nil"/>
              <w:bottom w:val="nil"/>
              <w:right w:val="nil"/>
            </w:tcBorders>
            <w:vAlign w:val="center"/>
          </w:tcPr>
          <w:p w14:paraId="7A9883AF">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500</w:t>
            </w:r>
          </w:p>
        </w:tc>
        <w:tc>
          <w:tcPr>
            <w:tcW w:w="8352" w:type="dxa"/>
            <w:tcBorders>
              <w:top w:val="nil"/>
              <w:left w:val="nil"/>
              <w:bottom w:val="nil"/>
              <w:right w:val="nil"/>
            </w:tcBorders>
            <w:vAlign w:val="center"/>
          </w:tcPr>
          <w:p w14:paraId="46825C2A">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Used to stabilize feature importance and reduce variance</w:t>
            </w:r>
          </w:p>
        </w:tc>
      </w:tr>
      <w:tr w14:paraId="67C9A8A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68" w:type="dxa"/>
            <w:tcBorders>
              <w:top w:val="nil"/>
              <w:left w:val="nil"/>
              <w:bottom w:val="nil"/>
              <w:right w:val="nil"/>
            </w:tcBorders>
            <w:vAlign w:val="center"/>
          </w:tcPr>
          <w:p w14:paraId="59A372FF">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Tree depth</w:t>
            </w:r>
          </w:p>
        </w:tc>
        <w:tc>
          <w:tcPr>
            <w:tcW w:w="4176" w:type="dxa"/>
            <w:tcBorders>
              <w:top w:val="nil"/>
              <w:left w:val="nil"/>
              <w:bottom w:val="nil"/>
              <w:right w:val="nil"/>
            </w:tcBorders>
            <w:vAlign w:val="center"/>
          </w:tcPr>
          <w:p w14:paraId="1ECF427B">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max_depth = 3</w:t>
            </w:r>
          </w:p>
        </w:tc>
        <w:tc>
          <w:tcPr>
            <w:tcW w:w="8352" w:type="dxa"/>
            <w:tcBorders>
              <w:top w:val="nil"/>
              <w:left w:val="nil"/>
              <w:bottom w:val="nil"/>
              <w:right w:val="nil"/>
            </w:tcBorders>
            <w:vAlign w:val="center"/>
          </w:tcPr>
          <w:p w14:paraId="255EFD34">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Constrained model complexity for the small cohort</w:t>
            </w:r>
          </w:p>
        </w:tc>
      </w:tr>
      <w:tr w14:paraId="7508F9F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68" w:type="dxa"/>
            <w:tcBorders>
              <w:top w:val="nil"/>
              <w:left w:val="nil"/>
              <w:bottom w:val="nil"/>
              <w:right w:val="nil"/>
            </w:tcBorders>
            <w:vAlign w:val="center"/>
          </w:tcPr>
          <w:p w14:paraId="4165CB61">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Minimum samples per split</w:t>
            </w:r>
          </w:p>
        </w:tc>
        <w:tc>
          <w:tcPr>
            <w:tcW w:w="4176" w:type="dxa"/>
            <w:tcBorders>
              <w:top w:val="nil"/>
              <w:left w:val="nil"/>
              <w:bottom w:val="nil"/>
              <w:right w:val="nil"/>
            </w:tcBorders>
            <w:vAlign w:val="center"/>
          </w:tcPr>
          <w:p w14:paraId="514CB158">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min_samples_split = 4</w:t>
            </w:r>
          </w:p>
        </w:tc>
        <w:tc>
          <w:tcPr>
            <w:tcW w:w="8352" w:type="dxa"/>
            <w:tcBorders>
              <w:top w:val="nil"/>
              <w:left w:val="nil"/>
              <w:bottom w:val="nil"/>
              <w:right w:val="nil"/>
            </w:tcBorders>
            <w:vAlign w:val="center"/>
          </w:tcPr>
          <w:p w14:paraId="21DFAAED">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Conservative node-splitting setting</w:t>
            </w:r>
          </w:p>
        </w:tc>
      </w:tr>
      <w:tr w14:paraId="105C677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68" w:type="dxa"/>
            <w:tcBorders>
              <w:top w:val="nil"/>
              <w:left w:val="nil"/>
              <w:bottom w:val="nil"/>
              <w:right w:val="nil"/>
            </w:tcBorders>
            <w:vAlign w:val="center"/>
          </w:tcPr>
          <w:p w14:paraId="03A49354">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Minimum samples per leaf</w:t>
            </w:r>
          </w:p>
        </w:tc>
        <w:tc>
          <w:tcPr>
            <w:tcW w:w="4176" w:type="dxa"/>
            <w:tcBorders>
              <w:top w:val="nil"/>
              <w:left w:val="nil"/>
              <w:bottom w:val="nil"/>
              <w:right w:val="nil"/>
            </w:tcBorders>
            <w:vAlign w:val="center"/>
          </w:tcPr>
          <w:p w14:paraId="7AC5E690">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min_samples_leaf = 2</w:t>
            </w:r>
          </w:p>
        </w:tc>
        <w:tc>
          <w:tcPr>
            <w:tcW w:w="8352" w:type="dxa"/>
            <w:tcBorders>
              <w:top w:val="nil"/>
              <w:left w:val="nil"/>
              <w:bottom w:val="nil"/>
              <w:right w:val="nil"/>
            </w:tcBorders>
            <w:vAlign w:val="center"/>
          </w:tcPr>
          <w:p w14:paraId="20AF623C">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Restricted terminal nodes to reduce single-sample leaves</w:t>
            </w:r>
          </w:p>
        </w:tc>
      </w:tr>
      <w:tr w14:paraId="5472AF8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68" w:type="dxa"/>
            <w:tcBorders>
              <w:top w:val="nil"/>
              <w:left w:val="nil"/>
              <w:bottom w:val="nil"/>
              <w:right w:val="nil"/>
            </w:tcBorders>
            <w:vAlign w:val="center"/>
          </w:tcPr>
          <w:p w14:paraId="171BC206">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Feature sampling</w:t>
            </w:r>
          </w:p>
        </w:tc>
        <w:tc>
          <w:tcPr>
            <w:tcW w:w="4176" w:type="dxa"/>
            <w:tcBorders>
              <w:top w:val="nil"/>
              <w:left w:val="nil"/>
              <w:bottom w:val="nil"/>
              <w:right w:val="nil"/>
            </w:tcBorders>
            <w:vAlign w:val="center"/>
          </w:tcPr>
          <w:p w14:paraId="74FD1302">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max_features = sqrt</w:t>
            </w:r>
          </w:p>
        </w:tc>
        <w:tc>
          <w:tcPr>
            <w:tcW w:w="8352" w:type="dxa"/>
            <w:tcBorders>
              <w:top w:val="nil"/>
              <w:left w:val="nil"/>
              <w:bottom w:val="nil"/>
              <w:right w:val="nil"/>
            </w:tcBorders>
            <w:vAlign w:val="center"/>
          </w:tcPr>
          <w:p w14:paraId="21002712">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Square-root feature sampling at each split</w:t>
            </w:r>
          </w:p>
        </w:tc>
      </w:tr>
      <w:tr w14:paraId="01D0628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68" w:type="dxa"/>
            <w:tcBorders>
              <w:top w:val="nil"/>
              <w:left w:val="nil"/>
              <w:bottom w:val="nil"/>
              <w:right w:val="nil"/>
            </w:tcBorders>
            <w:vAlign w:val="center"/>
          </w:tcPr>
          <w:p w14:paraId="41885B97">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Class weighting</w:t>
            </w:r>
          </w:p>
        </w:tc>
        <w:tc>
          <w:tcPr>
            <w:tcW w:w="4176" w:type="dxa"/>
            <w:tcBorders>
              <w:top w:val="nil"/>
              <w:left w:val="nil"/>
              <w:bottom w:val="nil"/>
              <w:right w:val="nil"/>
            </w:tcBorders>
            <w:vAlign w:val="center"/>
          </w:tcPr>
          <w:p w14:paraId="5E80BECD">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balanced</w:t>
            </w:r>
          </w:p>
        </w:tc>
        <w:tc>
          <w:tcPr>
            <w:tcW w:w="8352" w:type="dxa"/>
            <w:tcBorders>
              <w:top w:val="nil"/>
              <w:left w:val="nil"/>
              <w:bottom w:val="nil"/>
              <w:right w:val="nil"/>
            </w:tcBorders>
            <w:vAlign w:val="center"/>
          </w:tcPr>
          <w:p w14:paraId="7E0BC30D">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Balanced weighting for binary survival-status classification</w:t>
            </w:r>
          </w:p>
        </w:tc>
      </w:tr>
      <w:tr w14:paraId="7AC3A2E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68" w:type="dxa"/>
            <w:tcBorders>
              <w:top w:val="nil"/>
              <w:left w:val="nil"/>
              <w:bottom w:val="nil"/>
              <w:right w:val="nil"/>
            </w:tcBorders>
            <w:vAlign w:val="center"/>
          </w:tcPr>
          <w:p w14:paraId="6AA62D62">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Random seed</w:t>
            </w:r>
          </w:p>
        </w:tc>
        <w:tc>
          <w:tcPr>
            <w:tcW w:w="4176" w:type="dxa"/>
            <w:tcBorders>
              <w:top w:val="nil"/>
              <w:left w:val="nil"/>
              <w:bottom w:val="nil"/>
              <w:right w:val="nil"/>
            </w:tcBorders>
            <w:vAlign w:val="center"/>
          </w:tcPr>
          <w:p w14:paraId="0C8D2DC3">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2024</w:t>
            </w:r>
          </w:p>
        </w:tc>
        <w:tc>
          <w:tcPr>
            <w:tcW w:w="8352" w:type="dxa"/>
            <w:tcBorders>
              <w:top w:val="nil"/>
              <w:left w:val="nil"/>
              <w:bottom w:val="nil"/>
              <w:right w:val="nil"/>
            </w:tcBorders>
            <w:vAlign w:val="center"/>
          </w:tcPr>
          <w:p w14:paraId="2812A44E">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Fixed seed used for reproducible splitting and model training</w:t>
            </w:r>
          </w:p>
        </w:tc>
      </w:tr>
      <w:tr w14:paraId="4C234B5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68" w:type="dxa"/>
            <w:tcBorders>
              <w:top w:val="nil"/>
              <w:left w:val="nil"/>
              <w:bottom w:val="single" w:color="000000" w:sz="12" w:space="0"/>
              <w:right w:val="nil"/>
            </w:tcBorders>
            <w:vAlign w:val="center"/>
          </w:tcPr>
          <w:p w14:paraId="06A707C4">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Feature importance</w:t>
            </w:r>
          </w:p>
        </w:tc>
        <w:tc>
          <w:tcPr>
            <w:tcW w:w="4176" w:type="dxa"/>
            <w:tcBorders>
              <w:top w:val="nil"/>
              <w:left w:val="nil"/>
              <w:bottom w:val="single" w:color="000000" w:sz="12" w:space="0"/>
              <w:right w:val="nil"/>
            </w:tcBorders>
            <w:vAlign w:val="center"/>
          </w:tcPr>
          <w:p w14:paraId="552827AE">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Gini importance</w:t>
            </w:r>
          </w:p>
        </w:tc>
        <w:tc>
          <w:tcPr>
            <w:tcW w:w="8352" w:type="dxa"/>
            <w:tcBorders>
              <w:top w:val="nil"/>
              <w:left w:val="nil"/>
              <w:bottom w:val="single" w:color="000000" w:sz="12" w:space="0"/>
              <w:right w:val="nil"/>
            </w:tcBorders>
            <w:vAlign w:val="center"/>
          </w:tcPr>
          <w:p w14:paraId="02788AFA">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Used for model interpretation and not interpreted as biological causality</w:t>
            </w:r>
          </w:p>
        </w:tc>
      </w:tr>
    </w:tbl>
    <w:p w14:paraId="19AD9D1E">
      <w:pPr>
        <w:spacing w:before="40" w:after="120"/>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NOTE: WGCNA, weighted gene co-expression network analysis. Gene-level feature importance indicates model contribution and should not be interpreted as direct mechanistic evidence.</w:t>
      </w:r>
    </w:p>
    <w:p w14:paraId="0F7C8AFF">
      <w:pPr>
        <w:jc w:val="both"/>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br w:type="page"/>
      </w:r>
    </w:p>
    <w:p w14:paraId="36194A79">
      <w:pPr>
        <w:spacing w:before="0" w:after="60"/>
        <w:jc w:val="both"/>
        <w:rPr>
          <w:rFonts w:hint="default" w:ascii="Times New Roman" w:hAnsi="Times New Roman" w:cs="Times New Roman"/>
          <w:sz w:val="24"/>
          <w:szCs w:val="24"/>
        </w:rPr>
      </w:pPr>
      <w:r>
        <w:rPr>
          <w:rFonts w:hint="default" w:ascii="Times New Roman" w:hAnsi="Times New Roman" w:eastAsia="Times New Roman" w:cs="Times New Roman"/>
          <w:b/>
          <w:sz w:val="24"/>
          <w:szCs w:val="24"/>
        </w:rPr>
        <w:t>Table S4. Model Evaluation Metrics for Survival-Status Classification</w:t>
      </w:r>
    </w:p>
    <w:tbl>
      <w:tblPr>
        <w:tblStyle w:val="32"/>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965"/>
        <w:gridCol w:w="3056"/>
        <w:gridCol w:w="4710"/>
        <w:gridCol w:w="4451"/>
      </w:tblGrid>
      <w:tr w14:paraId="7978EED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PrEx>
        <w:trPr>
          <w:jc w:val="center"/>
        </w:trPr>
        <w:tc>
          <w:tcPr>
            <w:tcW w:w="3024" w:type="dxa"/>
            <w:tcBorders>
              <w:bottom w:val="single" w:color="000000" w:sz="12" w:space="0"/>
            </w:tcBorders>
            <w:vAlign w:val="center"/>
          </w:tcPr>
          <w:p w14:paraId="41C2C04F">
            <w:pPr>
              <w:spacing w:before="0" w:after="0" w:line="240" w:lineRule="auto"/>
              <w:jc w:val="both"/>
              <w:rPr>
                <w:rFonts w:hint="default" w:ascii="Times New Roman" w:hAnsi="Times New Roman" w:cs="Times New Roman"/>
                <w:b/>
                <w:bCs/>
                <w:sz w:val="24"/>
                <w:szCs w:val="24"/>
              </w:rPr>
            </w:pPr>
            <w:r>
              <w:rPr>
                <w:rFonts w:hint="default" w:ascii="Times New Roman" w:hAnsi="Times New Roman" w:eastAsia="Times New Roman" w:cs="Times New Roman"/>
                <w:b/>
                <w:bCs/>
                <w:sz w:val="24"/>
                <w:szCs w:val="24"/>
              </w:rPr>
              <w:t>Metric</w:t>
            </w:r>
          </w:p>
        </w:tc>
        <w:tc>
          <w:tcPr>
            <w:tcW w:w="3168" w:type="dxa"/>
            <w:tcBorders>
              <w:bottom w:val="single" w:color="000000" w:sz="12" w:space="0"/>
            </w:tcBorders>
            <w:vAlign w:val="center"/>
          </w:tcPr>
          <w:p w14:paraId="3462CAA8">
            <w:pPr>
              <w:spacing w:before="0" w:after="0" w:line="240" w:lineRule="auto"/>
              <w:jc w:val="both"/>
              <w:rPr>
                <w:rFonts w:hint="default" w:ascii="Times New Roman" w:hAnsi="Times New Roman" w:cs="Times New Roman"/>
                <w:b/>
                <w:bCs/>
                <w:sz w:val="24"/>
                <w:szCs w:val="24"/>
              </w:rPr>
            </w:pPr>
            <w:r>
              <w:rPr>
                <w:rFonts w:hint="default" w:ascii="Times New Roman" w:hAnsi="Times New Roman" w:eastAsia="Times New Roman" w:cs="Times New Roman"/>
                <w:b/>
                <w:bCs/>
                <w:sz w:val="24"/>
                <w:szCs w:val="24"/>
              </w:rPr>
              <w:t>Value</w:t>
            </w:r>
          </w:p>
        </w:tc>
        <w:tc>
          <w:tcPr>
            <w:tcW w:w="4896" w:type="dxa"/>
            <w:tcBorders>
              <w:bottom w:val="single" w:color="000000" w:sz="12" w:space="0"/>
            </w:tcBorders>
            <w:vAlign w:val="center"/>
          </w:tcPr>
          <w:p w14:paraId="01578FF2">
            <w:pPr>
              <w:spacing w:before="0" w:after="0" w:line="240" w:lineRule="auto"/>
              <w:jc w:val="both"/>
              <w:rPr>
                <w:rFonts w:hint="default" w:ascii="Times New Roman" w:hAnsi="Times New Roman" w:cs="Times New Roman"/>
                <w:b/>
                <w:bCs/>
                <w:sz w:val="24"/>
                <w:szCs w:val="24"/>
              </w:rPr>
            </w:pPr>
            <w:r>
              <w:rPr>
                <w:rFonts w:hint="default" w:ascii="Times New Roman" w:hAnsi="Times New Roman" w:eastAsia="Times New Roman" w:cs="Times New Roman"/>
                <w:b/>
                <w:bCs/>
                <w:sz w:val="24"/>
                <w:szCs w:val="24"/>
              </w:rPr>
              <w:t>Source / Calculation</w:t>
            </w:r>
          </w:p>
        </w:tc>
        <w:tc>
          <w:tcPr>
            <w:tcW w:w="4608" w:type="dxa"/>
            <w:tcBorders>
              <w:bottom w:val="single" w:color="000000" w:sz="12" w:space="0"/>
            </w:tcBorders>
            <w:vAlign w:val="center"/>
          </w:tcPr>
          <w:p w14:paraId="65C18776">
            <w:pPr>
              <w:spacing w:before="0" w:after="0" w:line="240" w:lineRule="auto"/>
              <w:jc w:val="both"/>
              <w:rPr>
                <w:rFonts w:hint="default" w:ascii="Times New Roman" w:hAnsi="Times New Roman" w:cs="Times New Roman"/>
                <w:b/>
                <w:bCs/>
                <w:sz w:val="24"/>
                <w:szCs w:val="24"/>
              </w:rPr>
            </w:pPr>
            <w:r>
              <w:rPr>
                <w:rFonts w:hint="default" w:ascii="Times New Roman" w:hAnsi="Times New Roman" w:eastAsia="Times New Roman" w:cs="Times New Roman"/>
                <w:b/>
                <w:bCs/>
                <w:sz w:val="24"/>
                <w:szCs w:val="24"/>
              </w:rPr>
              <w:t>Interpretation</w:t>
            </w:r>
          </w:p>
        </w:tc>
      </w:tr>
      <w:tr w14:paraId="0BF466E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24" w:type="dxa"/>
            <w:tcBorders>
              <w:top w:val="nil"/>
              <w:left w:val="nil"/>
              <w:bottom w:val="nil"/>
              <w:right w:val="nil"/>
            </w:tcBorders>
            <w:vAlign w:val="center"/>
          </w:tcPr>
          <w:p w14:paraId="28B02540">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Evaluated samples</w:t>
            </w:r>
          </w:p>
        </w:tc>
        <w:tc>
          <w:tcPr>
            <w:tcW w:w="3168" w:type="dxa"/>
            <w:tcBorders>
              <w:top w:val="nil"/>
              <w:left w:val="nil"/>
              <w:bottom w:val="nil"/>
              <w:right w:val="nil"/>
            </w:tcBorders>
            <w:vAlign w:val="center"/>
          </w:tcPr>
          <w:p w14:paraId="78A22DD6">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9</w:t>
            </w:r>
          </w:p>
        </w:tc>
        <w:tc>
          <w:tcPr>
            <w:tcW w:w="4896" w:type="dxa"/>
            <w:tcBorders>
              <w:top w:val="nil"/>
              <w:left w:val="nil"/>
              <w:bottom w:val="nil"/>
              <w:right w:val="nil"/>
            </w:tcBorders>
            <w:vAlign w:val="center"/>
          </w:tcPr>
          <w:p w14:paraId="7B8B0121">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Displayed confusion matrix</w:t>
            </w:r>
          </w:p>
        </w:tc>
        <w:tc>
          <w:tcPr>
            <w:tcW w:w="4608" w:type="dxa"/>
            <w:tcBorders>
              <w:top w:val="nil"/>
              <w:left w:val="nil"/>
              <w:bottom w:val="nil"/>
              <w:right w:val="nil"/>
            </w:tcBorders>
            <w:vAlign w:val="center"/>
          </w:tcPr>
          <w:p w14:paraId="7E4E5637">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Held-out evaluation set used for Figure 9B</w:t>
            </w:r>
          </w:p>
        </w:tc>
      </w:tr>
      <w:tr w14:paraId="5CA1B0C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24" w:type="dxa"/>
            <w:tcBorders>
              <w:top w:val="nil"/>
              <w:left w:val="nil"/>
              <w:bottom w:val="nil"/>
              <w:right w:val="nil"/>
            </w:tcBorders>
            <w:vAlign w:val="center"/>
          </w:tcPr>
          <w:p w14:paraId="6F46F990">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Class distribution</w:t>
            </w:r>
          </w:p>
        </w:tc>
        <w:tc>
          <w:tcPr>
            <w:tcW w:w="3168" w:type="dxa"/>
            <w:tcBorders>
              <w:top w:val="nil"/>
              <w:left w:val="nil"/>
              <w:bottom w:val="nil"/>
              <w:right w:val="nil"/>
            </w:tcBorders>
            <w:vAlign w:val="center"/>
          </w:tcPr>
          <w:p w14:paraId="4AD5998C">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Death, 4; Survival, 5</w:t>
            </w:r>
          </w:p>
        </w:tc>
        <w:tc>
          <w:tcPr>
            <w:tcW w:w="4896" w:type="dxa"/>
            <w:tcBorders>
              <w:top w:val="nil"/>
              <w:left w:val="nil"/>
              <w:bottom w:val="nil"/>
              <w:right w:val="nil"/>
            </w:tcBorders>
            <w:vAlign w:val="center"/>
          </w:tcPr>
          <w:p w14:paraId="3A5F9BD1">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Displayed confusion matrix</w:t>
            </w:r>
          </w:p>
        </w:tc>
        <w:tc>
          <w:tcPr>
            <w:tcW w:w="4608" w:type="dxa"/>
            <w:tcBorders>
              <w:top w:val="nil"/>
              <w:left w:val="nil"/>
              <w:bottom w:val="nil"/>
              <w:right w:val="nil"/>
            </w:tcBorders>
            <w:vAlign w:val="center"/>
          </w:tcPr>
          <w:p w14:paraId="4440F3C0">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True-label distribution of the held-out evaluation set</w:t>
            </w:r>
          </w:p>
        </w:tc>
      </w:tr>
      <w:tr w14:paraId="07D27A3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24" w:type="dxa"/>
            <w:tcBorders>
              <w:top w:val="nil"/>
              <w:left w:val="nil"/>
              <w:bottom w:val="nil"/>
              <w:right w:val="nil"/>
            </w:tcBorders>
            <w:vAlign w:val="center"/>
          </w:tcPr>
          <w:p w14:paraId="75901284">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AUC</w:t>
            </w:r>
          </w:p>
        </w:tc>
        <w:tc>
          <w:tcPr>
            <w:tcW w:w="3168" w:type="dxa"/>
            <w:tcBorders>
              <w:top w:val="nil"/>
              <w:left w:val="nil"/>
              <w:bottom w:val="nil"/>
              <w:right w:val="nil"/>
            </w:tcBorders>
            <w:vAlign w:val="center"/>
          </w:tcPr>
          <w:p w14:paraId="27C7F34B">
            <w:r>
              <w:t>0.85 (95% CI, 0.68-0.97)</w:t>
            </w:r>
          </w:p>
        </w:tc>
        <w:tc>
          <w:tcPr>
            <w:tcW w:w="4896" w:type="dxa"/>
            <w:tcBorders>
              <w:top w:val="nil"/>
              <w:left w:val="nil"/>
              <w:bottom w:val="nil"/>
              <w:right w:val="nil"/>
            </w:tcBorders>
            <w:vAlign w:val="center"/>
          </w:tcPr>
          <w:p w14:paraId="1D283B67">
            <w:r>
              <w:t>Reported ROC performance; CI matched to the ROC analysis shown in Figure 9A</w:t>
            </w:r>
          </w:p>
        </w:tc>
        <w:tc>
          <w:tcPr>
            <w:tcW w:w="4608" w:type="dxa"/>
            <w:tcBorders>
              <w:top w:val="nil"/>
              <w:left w:val="nil"/>
              <w:bottom w:val="nil"/>
              <w:right w:val="nil"/>
            </w:tcBorders>
            <w:vAlign w:val="center"/>
          </w:tcPr>
          <w:p w14:paraId="095D7376">
            <w:r>
              <w:t>Primary discrimination metric with wide uncertainty due to the small evaluation and validation sample sizes</w:t>
            </w:r>
          </w:p>
        </w:tc>
      </w:tr>
      <w:tr w14:paraId="0EF187F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24" w:type="dxa"/>
            <w:tcBorders>
              <w:top w:val="nil"/>
              <w:left w:val="nil"/>
              <w:bottom w:val="nil"/>
              <w:right w:val="nil"/>
            </w:tcBorders>
            <w:vAlign w:val="center"/>
          </w:tcPr>
          <w:p w14:paraId="0DDC4C72">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Accuracy</w:t>
            </w:r>
          </w:p>
        </w:tc>
        <w:tc>
          <w:tcPr>
            <w:tcW w:w="3168" w:type="dxa"/>
            <w:tcBorders>
              <w:top w:val="nil"/>
              <w:left w:val="nil"/>
              <w:bottom w:val="nil"/>
              <w:right w:val="nil"/>
            </w:tcBorders>
            <w:vAlign w:val="center"/>
          </w:tcPr>
          <w:p w14:paraId="09AB937C">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0.78 (7/9)</w:t>
            </w:r>
          </w:p>
        </w:tc>
        <w:tc>
          <w:tcPr>
            <w:tcW w:w="4896" w:type="dxa"/>
            <w:tcBorders>
              <w:top w:val="nil"/>
              <w:left w:val="nil"/>
              <w:bottom w:val="nil"/>
              <w:right w:val="nil"/>
            </w:tcBorders>
            <w:vAlign w:val="center"/>
          </w:tcPr>
          <w:p w14:paraId="055C5DC3">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(TN + TP) / total = (3 + 4) / 9</w:t>
            </w:r>
          </w:p>
        </w:tc>
        <w:tc>
          <w:tcPr>
            <w:tcW w:w="4608" w:type="dxa"/>
            <w:tcBorders>
              <w:top w:val="nil"/>
              <w:left w:val="nil"/>
              <w:bottom w:val="nil"/>
              <w:right w:val="nil"/>
            </w:tcBorders>
            <w:vAlign w:val="center"/>
          </w:tcPr>
          <w:p w14:paraId="485A14FA">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Overall proportion of correctly classified cases</w:t>
            </w:r>
          </w:p>
        </w:tc>
      </w:tr>
      <w:tr w14:paraId="292949A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24" w:type="dxa"/>
            <w:tcBorders>
              <w:top w:val="nil"/>
              <w:left w:val="nil"/>
              <w:bottom w:val="nil"/>
              <w:right w:val="nil"/>
            </w:tcBorders>
            <w:vAlign w:val="center"/>
          </w:tcPr>
          <w:p w14:paraId="7447BF17">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Precision for Survival</w:t>
            </w:r>
          </w:p>
        </w:tc>
        <w:tc>
          <w:tcPr>
            <w:tcW w:w="3168" w:type="dxa"/>
            <w:tcBorders>
              <w:top w:val="nil"/>
              <w:left w:val="nil"/>
              <w:bottom w:val="nil"/>
              <w:right w:val="nil"/>
            </w:tcBorders>
            <w:vAlign w:val="center"/>
          </w:tcPr>
          <w:p w14:paraId="749AE68B">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0.80 (4/5)</w:t>
            </w:r>
          </w:p>
        </w:tc>
        <w:tc>
          <w:tcPr>
            <w:tcW w:w="4896" w:type="dxa"/>
            <w:tcBorders>
              <w:top w:val="nil"/>
              <w:left w:val="nil"/>
              <w:bottom w:val="nil"/>
              <w:right w:val="nil"/>
            </w:tcBorders>
            <w:vAlign w:val="center"/>
          </w:tcPr>
          <w:p w14:paraId="71C3BBDE">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TP / (TP + FP) = 4 / (4 + 1)</w:t>
            </w:r>
          </w:p>
        </w:tc>
        <w:tc>
          <w:tcPr>
            <w:tcW w:w="4608" w:type="dxa"/>
            <w:tcBorders>
              <w:top w:val="nil"/>
              <w:left w:val="nil"/>
              <w:bottom w:val="nil"/>
              <w:right w:val="nil"/>
            </w:tcBorders>
            <w:vAlign w:val="center"/>
          </w:tcPr>
          <w:p w14:paraId="25FA64E8">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Positive predictive value when Survival is treated as the positive class</w:t>
            </w:r>
          </w:p>
        </w:tc>
      </w:tr>
      <w:tr w14:paraId="7CE2731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24" w:type="dxa"/>
            <w:tcBorders>
              <w:top w:val="nil"/>
              <w:left w:val="nil"/>
              <w:bottom w:val="nil"/>
              <w:right w:val="nil"/>
            </w:tcBorders>
            <w:vAlign w:val="center"/>
          </w:tcPr>
          <w:p w14:paraId="21D72EDD">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Recall/Sensitivity for Survival</w:t>
            </w:r>
          </w:p>
        </w:tc>
        <w:tc>
          <w:tcPr>
            <w:tcW w:w="3168" w:type="dxa"/>
            <w:tcBorders>
              <w:top w:val="nil"/>
              <w:left w:val="nil"/>
              <w:bottom w:val="nil"/>
              <w:right w:val="nil"/>
            </w:tcBorders>
            <w:vAlign w:val="center"/>
          </w:tcPr>
          <w:p w14:paraId="5876566D">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0.80 (4/5)</w:t>
            </w:r>
          </w:p>
        </w:tc>
        <w:tc>
          <w:tcPr>
            <w:tcW w:w="4896" w:type="dxa"/>
            <w:tcBorders>
              <w:top w:val="nil"/>
              <w:left w:val="nil"/>
              <w:bottom w:val="nil"/>
              <w:right w:val="nil"/>
            </w:tcBorders>
            <w:vAlign w:val="center"/>
          </w:tcPr>
          <w:p w14:paraId="2F8CC400">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TP / (TP + FN) = 4 / (4 + 1)</w:t>
            </w:r>
          </w:p>
        </w:tc>
        <w:tc>
          <w:tcPr>
            <w:tcW w:w="4608" w:type="dxa"/>
            <w:tcBorders>
              <w:top w:val="nil"/>
              <w:left w:val="nil"/>
              <w:bottom w:val="nil"/>
              <w:right w:val="nil"/>
            </w:tcBorders>
            <w:vAlign w:val="center"/>
          </w:tcPr>
          <w:p w14:paraId="169D00E2">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Ability to identify Survival cases</w:t>
            </w:r>
          </w:p>
        </w:tc>
      </w:tr>
      <w:tr w14:paraId="7557679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24" w:type="dxa"/>
            <w:tcBorders>
              <w:top w:val="nil"/>
              <w:left w:val="nil"/>
              <w:bottom w:val="nil"/>
              <w:right w:val="nil"/>
            </w:tcBorders>
            <w:vAlign w:val="center"/>
          </w:tcPr>
          <w:p w14:paraId="271F5A6E">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Specificity for Death</w:t>
            </w:r>
          </w:p>
        </w:tc>
        <w:tc>
          <w:tcPr>
            <w:tcW w:w="3168" w:type="dxa"/>
            <w:tcBorders>
              <w:top w:val="nil"/>
              <w:left w:val="nil"/>
              <w:bottom w:val="nil"/>
              <w:right w:val="nil"/>
            </w:tcBorders>
            <w:vAlign w:val="center"/>
          </w:tcPr>
          <w:p w14:paraId="64648846">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0.75 (3/4)</w:t>
            </w:r>
          </w:p>
        </w:tc>
        <w:tc>
          <w:tcPr>
            <w:tcW w:w="4896" w:type="dxa"/>
            <w:tcBorders>
              <w:top w:val="nil"/>
              <w:left w:val="nil"/>
              <w:bottom w:val="nil"/>
              <w:right w:val="nil"/>
            </w:tcBorders>
            <w:vAlign w:val="center"/>
          </w:tcPr>
          <w:p w14:paraId="35A109CA">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TN / (TN + FP) = 3 / (3 + 1)</w:t>
            </w:r>
          </w:p>
        </w:tc>
        <w:tc>
          <w:tcPr>
            <w:tcW w:w="4608" w:type="dxa"/>
            <w:tcBorders>
              <w:top w:val="nil"/>
              <w:left w:val="nil"/>
              <w:bottom w:val="nil"/>
              <w:right w:val="nil"/>
            </w:tcBorders>
            <w:vAlign w:val="center"/>
          </w:tcPr>
          <w:p w14:paraId="01B100FB">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Ability to identify Death cases</w:t>
            </w:r>
          </w:p>
        </w:tc>
      </w:tr>
      <w:tr w14:paraId="4910348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24" w:type="dxa"/>
            <w:tcBorders>
              <w:top w:val="nil"/>
              <w:left w:val="nil"/>
              <w:bottom w:val="nil"/>
              <w:right w:val="nil"/>
            </w:tcBorders>
            <w:vAlign w:val="center"/>
          </w:tcPr>
          <w:p w14:paraId="35530C2D">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F1 score for Survival</w:t>
            </w:r>
          </w:p>
        </w:tc>
        <w:tc>
          <w:tcPr>
            <w:tcW w:w="3168" w:type="dxa"/>
            <w:tcBorders>
              <w:top w:val="nil"/>
              <w:left w:val="nil"/>
              <w:bottom w:val="nil"/>
              <w:right w:val="nil"/>
            </w:tcBorders>
            <w:vAlign w:val="center"/>
          </w:tcPr>
          <w:p w14:paraId="07EDB68C">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0.80</w:t>
            </w:r>
          </w:p>
        </w:tc>
        <w:tc>
          <w:tcPr>
            <w:tcW w:w="4896" w:type="dxa"/>
            <w:tcBorders>
              <w:top w:val="nil"/>
              <w:left w:val="nil"/>
              <w:bottom w:val="nil"/>
              <w:right w:val="nil"/>
            </w:tcBorders>
            <w:vAlign w:val="center"/>
          </w:tcPr>
          <w:p w14:paraId="63B042F1">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2 x precision x recall / (precision + recall)</w:t>
            </w:r>
          </w:p>
        </w:tc>
        <w:tc>
          <w:tcPr>
            <w:tcW w:w="4608" w:type="dxa"/>
            <w:tcBorders>
              <w:top w:val="nil"/>
              <w:left w:val="nil"/>
              <w:bottom w:val="nil"/>
              <w:right w:val="nil"/>
            </w:tcBorders>
            <w:vAlign w:val="center"/>
          </w:tcPr>
          <w:p w14:paraId="0D28821C">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Harmonic mean of precision and recall</w:t>
            </w:r>
          </w:p>
        </w:tc>
      </w:tr>
      <w:tr w14:paraId="55CC48C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24" w:type="dxa"/>
            <w:tcBorders>
              <w:top w:val="nil"/>
              <w:left w:val="nil"/>
              <w:bottom w:val="nil"/>
              <w:right w:val="nil"/>
            </w:tcBorders>
            <w:vAlign w:val="center"/>
          </w:tcPr>
          <w:p w14:paraId="3CBF5724">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Balanced accuracy</w:t>
            </w:r>
          </w:p>
        </w:tc>
        <w:tc>
          <w:tcPr>
            <w:tcW w:w="3168" w:type="dxa"/>
            <w:tcBorders>
              <w:top w:val="nil"/>
              <w:left w:val="nil"/>
              <w:bottom w:val="nil"/>
              <w:right w:val="nil"/>
            </w:tcBorders>
            <w:vAlign w:val="center"/>
          </w:tcPr>
          <w:p w14:paraId="680B4ADC">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0.78</w:t>
            </w:r>
          </w:p>
        </w:tc>
        <w:tc>
          <w:tcPr>
            <w:tcW w:w="4896" w:type="dxa"/>
            <w:tcBorders>
              <w:top w:val="nil"/>
              <w:left w:val="nil"/>
              <w:bottom w:val="nil"/>
              <w:right w:val="nil"/>
            </w:tcBorders>
            <w:vAlign w:val="center"/>
          </w:tcPr>
          <w:p w14:paraId="3DADB28E">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(Sensitivity + specificity) / 2 = (0.80 + 0.75) / 2</w:t>
            </w:r>
          </w:p>
        </w:tc>
        <w:tc>
          <w:tcPr>
            <w:tcW w:w="4608" w:type="dxa"/>
            <w:tcBorders>
              <w:top w:val="nil"/>
              <w:left w:val="nil"/>
              <w:bottom w:val="nil"/>
              <w:right w:val="nil"/>
            </w:tcBorders>
            <w:vAlign w:val="center"/>
          </w:tcPr>
          <w:p w14:paraId="1B3FFAEC">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Average of sensitivity and specificity</w:t>
            </w:r>
          </w:p>
        </w:tc>
      </w:tr>
      <w:tr w14:paraId="334B46D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24" w:type="dxa"/>
            <w:tcBorders>
              <w:top w:val="nil"/>
              <w:left w:val="nil"/>
              <w:bottom w:val="nil"/>
              <w:right w:val="nil"/>
            </w:tcBorders>
            <w:vAlign w:val="center"/>
          </w:tcPr>
          <w:p w14:paraId="42E81FBA">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Weighted recall</w:t>
            </w:r>
          </w:p>
        </w:tc>
        <w:tc>
          <w:tcPr>
            <w:tcW w:w="3168" w:type="dxa"/>
            <w:tcBorders>
              <w:top w:val="nil"/>
              <w:left w:val="nil"/>
              <w:bottom w:val="nil"/>
              <w:right w:val="nil"/>
            </w:tcBorders>
            <w:vAlign w:val="center"/>
          </w:tcPr>
          <w:p w14:paraId="39187E78">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0.78</w:t>
            </w:r>
          </w:p>
        </w:tc>
        <w:tc>
          <w:tcPr>
            <w:tcW w:w="4896" w:type="dxa"/>
            <w:tcBorders>
              <w:top w:val="nil"/>
              <w:left w:val="nil"/>
              <w:bottom w:val="nil"/>
              <w:right w:val="nil"/>
            </w:tcBorders>
            <w:vAlign w:val="center"/>
          </w:tcPr>
          <w:p w14:paraId="4B869AB8">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Reported model performance</w:t>
            </w:r>
          </w:p>
        </w:tc>
        <w:tc>
          <w:tcPr>
            <w:tcW w:w="4608" w:type="dxa"/>
            <w:tcBorders>
              <w:top w:val="nil"/>
              <w:left w:val="nil"/>
              <w:bottom w:val="nil"/>
              <w:right w:val="nil"/>
            </w:tcBorders>
            <w:vAlign w:val="center"/>
          </w:tcPr>
          <w:p w14:paraId="1959F520">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Matches the overall accuracy in this binary setting</w:t>
            </w:r>
          </w:p>
        </w:tc>
      </w:tr>
      <w:tr w14:paraId="591F084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24" w:type="dxa"/>
            <w:tcBorders>
              <w:top w:val="nil"/>
              <w:left w:val="nil"/>
              <w:bottom w:val="nil"/>
              <w:right w:val="nil"/>
            </w:tcBorders>
            <w:vAlign w:val="center"/>
          </w:tcPr>
          <w:p w14:paraId="32AE2234">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Weighted F1 score</w:t>
            </w:r>
          </w:p>
        </w:tc>
        <w:tc>
          <w:tcPr>
            <w:tcW w:w="3168" w:type="dxa"/>
            <w:tcBorders>
              <w:top w:val="nil"/>
              <w:left w:val="nil"/>
              <w:bottom w:val="nil"/>
              <w:right w:val="nil"/>
            </w:tcBorders>
            <w:vAlign w:val="center"/>
          </w:tcPr>
          <w:p w14:paraId="30BCFCFA">
            <w:pPr>
              <w:spacing w:before="0" w:after="0" w:line="240" w:lineRule="auto"/>
              <w:jc w:val="both"/>
              <w:rPr>
                <w:rFonts w:hint="eastAsia" w:ascii="Times New Roman" w:hAnsi="Times New Roman" w:eastAsia="宋体" w:cs="Times New Roman"/>
                <w:sz w:val="24"/>
                <w:szCs w:val="24"/>
                <w:lang w:val="en-US" w:eastAsia="zh-CN"/>
              </w:rPr>
            </w:pPr>
            <w:r>
              <w:rPr>
                <w:rFonts w:hint="default" w:ascii="Times New Roman" w:hAnsi="Times New Roman" w:eastAsia="Times New Roman" w:cs="Times New Roman"/>
                <w:b w:val="0"/>
                <w:sz w:val="24"/>
                <w:szCs w:val="24"/>
              </w:rPr>
              <w:t>0.7</w:t>
            </w:r>
            <w:r>
              <w:rPr>
                <w:rFonts w:hint="eastAsia" w:eastAsia="宋体" w:cs="Times New Roman"/>
                <w:b w:val="0"/>
                <w:sz w:val="24"/>
                <w:szCs w:val="24"/>
                <w:lang w:val="en-US" w:eastAsia="zh-CN"/>
              </w:rPr>
              <w:t>8</w:t>
            </w:r>
          </w:p>
        </w:tc>
        <w:tc>
          <w:tcPr>
            <w:tcW w:w="4896" w:type="dxa"/>
            <w:tcBorders>
              <w:top w:val="nil"/>
              <w:left w:val="nil"/>
              <w:bottom w:val="nil"/>
              <w:right w:val="nil"/>
            </w:tcBorders>
            <w:vAlign w:val="center"/>
          </w:tcPr>
          <w:p w14:paraId="0FCB835A">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Reported model performance</w:t>
            </w:r>
          </w:p>
        </w:tc>
        <w:tc>
          <w:tcPr>
            <w:tcW w:w="4608" w:type="dxa"/>
            <w:tcBorders>
              <w:top w:val="nil"/>
              <w:left w:val="nil"/>
              <w:bottom w:val="nil"/>
              <w:right w:val="nil"/>
            </w:tcBorders>
            <w:vAlign w:val="center"/>
          </w:tcPr>
          <w:p w14:paraId="0D4F88E7">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Class-weighted summary of F1 performance</w:t>
            </w:r>
          </w:p>
        </w:tc>
      </w:tr>
      <w:tr w14:paraId="6BC6237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24" w:type="dxa"/>
            <w:tcBorders>
              <w:top w:val="nil"/>
              <w:left w:val="nil"/>
              <w:bottom w:val="nil"/>
              <w:right w:val="nil"/>
            </w:tcBorders>
            <w:vAlign w:val="center"/>
          </w:tcPr>
          <w:p w14:paraId="3B42088E">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True negative</w:t>
            </w:r>
          </w:p>
        </w:tc>
        <w:tc>
          <w:tcPr>
            <w:tcW w:w="3168" w:type="dxa"/>
            <w:tcBorders>
              <w:top w:val="nil"/>
              <w:left w:val="nil"/>
              <w:bottom w:val="nil"/>
              <w:right w:val="nil"/>
            </w:tcBorders>
            <w:vAlign w:val="center"/>
          </w:tcPr>
          <w:p w14:paraId="704BF5F6">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3</w:t>
            </w:r>
          </w:p>
        </w:tc>
        <w:tc>
          <w:tcPr>
            <w:tcW w:w="4896" w:type="dxa"/>
            <w:tcBorders>
              <w:top w:val="nil"/>
              <w:left w:val="nil"/>
              <w:bottom w:val="nil"/>
              <w:right w:val="nil"/>
            </w:tcBorders>
            <w:vAlign w:val="center"/>
          </w:tcPr>
          <w:p w14:paraId="188DF897">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Displayed confusion matrix</w:t>
            </w:r>
          </w:p>
        </w:tc>
        <w:tc>
          <w:tcPr>
            <w:tcW w:w="4608" w:type="dxa"/>
            <w:tcBorders>
              <w:top w:val="nil"/>
              <w:left w:val="nil"/>
              <w:bottom w:val="nil"/>
              <w:right w:val="nil"/>
            </w:tcBorders>
            <w:vAlign w:val="center"/>
          </w:tcPr>
          <w:p w14:paraId="63522AD4">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True Death predicted as Death</w:t>
            </w:r>
          </w:p>
        </w:tc>
      </w:tr>
      <w:tr w14:paraId="469D8C4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24" w:type="dxa"/>
            <w:tcBorders>
              <w:top w:val="nil"/>
              <w:left w:val="nil"/>
              <w:bottom w:val="nil"/>
              <w:right w:val="nil"/>
            </w:tcBorders>
            <w:vAlign w:val="center"/>
          </w:tcPr>
          <w:p w14:paraId="3FE44569">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False positive</w:t>
            </w:r>
          </w:p>
        </w:tc>
        <w:tc>
          <w:tcPr>
            <w:tcW w:w="3168" w:type="dxa"/>
            <w:tcBorders>
              <w:top w:val="nil"/>
              <w:left w:val="nil"/>
              <w:bottom w:val="nil"/>
              <w:right w:val="nil"/>
            </w:tcBorders>
            <w:vAlign w:val="center"/>
          </w:tcPr>
          <w:p w14:paraId="25AA3119">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1</w:t>
            </w:r>
          </w:p>
        </w:tc>
        <w:tc>
          <w:tcPr>
            <w:tcW w:w="4896" w:type="dxa"/>
            <w:tcBorders>
              <w:top w:val="nil"/>
              <w:left w:val="nil"/>
              <w:bottom w:val="nil"/>
              <w:right w:val="nil"/>
            </w:tcBorders>
            <w:vAlign w:val="center"/>
          </w:tcPr>
          <w:p w14:paraId="463F0BE9">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Displayed confusion matrix</w:t>
            </w:r>
          </w:p>
        </w:tc>
        <w:tc>
          <w:tcPr>
            <w:tcW w:w="4608" w:type="dxa"/>
            <w:tcBorders>
              <w:top w:val="nil"/>
              <w:left w:val="nil"/>
              <w:bottom w:val="nil"/>
              <w:right w:val="nil"/>
            </w:tcBorders>
            <w:vAlign w:val="center"/>
          </w:tcPr>
          <w:p w14:paraId="49679C7D">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True Death predicted as Survival</w:t>
            </w:r>
          </w:p>
        </w:tc>
      </w:tr>
      <w:tr w14:paraId="1470762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24" w:type="dxa"/>
            <w:tcBorders>
              <w:top w:val="nil"/>
              <w:left w:val="nil"/>
              <w:bottom w:val="nil"/>
              <w:right w:val="nil"/>
            </w:tcBorders>
            <w:vAlign w:val="center"/>
          </w:tcPr>
          <w:p w14:paraId="6C9B9F12">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False negative</w:t>
            </w:r>
          </w:p>
        </w:tc>
        <w:tc>
          <w:tcPr>
            <w:tcW w:w="3168" w:type="dxa"/>
            <w:tcBorders>
              <w:top w:val="nil"/>
              <w:left w:val="nil"/>
              <w:bottom w:val="nil"/>
              <w:right w:val="nil"/>
            </w:tcBorders>
            <w:vAlign w:val="center"/>
          </w:tcPr>
          <w:p w14:paraId="7E3D3CE7">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1</w:t>
            </w:r>
          </w:p>
        </w:tc>
        <w:tc>
          <w:tcPr>
            <w:tcW w:w="4896" w:type="dxa"/>
            <w:tcBorders>
              <w:top w:val="nil"/>
              <w:left w:val="nil"/>
              <w:bottom w:val="nil"/>
              <w:right w:val="nil"/>
            </w:tcBorders>
            <w:vAlign w:val="center"/>
          </w:tcPr>
          <w:p w14:paraId="4469C37A">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Displayed confusion matrix</w:t>
            </w:r>
          </w:p>
        </w:tc>
        <w:tc>
          <w:tcPr>
            <w:tcW w:w="4608" w:type="dxa"/>
            <w:tcBorders>
              <w:top w:val="nil"/>
              <w:left w:val="nil"/>
              <w:bottom w:val="nil"/>
              <w:right w:val="nil"/>
            </w:tcBorders>
            <w:vAlign w:val="center"/>
          </w:tcPr>
          <w:p w14:paraId="4BA2FD31">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True Survival predicted as Death</w:t>
            </w:r>
          </w:p>
        </w:tc>
      </w:tr>
      <w:tr w14:paraId="6F7A663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24" w:type="dxa"/>
            <w:tcBorders>
              <w:top w:val="nil"/>
              <w:left w:val="nil"/>
              <w:bottom w:val="single" w:color="000000" w:sz="12" w:space="0"/>
              <w:right w:val="nil"/>
            </w:tcBorders>
            <w:vAlign w:val="center"/>
          </w:tcPr>
          <w:p w14:paraId="56EF666A">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True positive</w:t>
            </w:r>
          </w:p>
        </w:tc>
        <w:tc>
          <w:tcPr>
            <w:tcW w:w="3168" w:type="dxa"/>
            <w:tcBorders>
              <w:top w:val="nil"/>
              <w:left w:val="nil"/>
              <w:bottom w:val="single" w:color="000000" w:sz="12" w:space="0"/>
              <w:right w:val="nil"/>
            </w:tcBorders>
            <w:vAlign w:val="center"/>
          </w:tcPr>
          <w:p w14:paraId="55DF3BEF">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4</w:t>
            </w:r>
          </w:p>
        </w:tc>
        <w:tc>
          <w:tcPr>
            <w:tcW w:w="4896" w:type="dxa"/>
            <w:tcBorders>
              <w:top w:val="nil"/>
              <w:left w:val="nil"/>
              <w:bottom w:val="single" w:color="000000" w:sz="12" w:space="0"/>
              <w:right w:val="nil"/>
            </w:tcBorders>
            <w:vAlign w:val="center"/>
          </w:tcPr>
          <w:p w14:paraId="476E6905">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Displayed confusion matrix</w:t>
            </w:r>
          </w:p>
        </w:tc>
        <w:tc>
          <w:tcPr>
            <w:tcW w:w="4608" w:type="dxa"/>
            <w:tcBorders>
              <w:top w:val="nil"/>
              <w:left w:val="nil"/>
              <w:bottom w:val="single" w:color="000000" w:sz="12" w:space="0"/>
              <w:right w:val="nil"/>
            </w:tcBorders>
            <w:vAlign w:val="center"/>
          </w:tcPr>
          <w:p w14:paraId="49A21C3F">
            <w:pPr>
              <w:spacing w:before="0" w:after="0" w:line="240" w:lineRule="auto"/>
              <w:jc w:val="both"/>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True Survival predicted as Survival</w:t>
            </w:r>
          </w:p>
        </w:tc>
      </w:tr>
    </w:tbl>
    <w:p w14:paraId="17E544A1">
      <w:pPr>
        <w:jc w:val="both"/>
        <w:rPr>
          <w:rFonts w:hint="default" w:ascii="Times New Roman" w:hAnsi="Times New Roman" w:cs="Times New Roman"/>
          <w:sz w:val="24"/>
          <w:szCs w:val="24"/>
        </w:rPr>
      </w:pPr>
      <w:bookmarkStart w:id="0" w:name="_GoBack"/>
      <w:bookmarkEnd w:id="0"/>
    </w:p>
    <w:sectPr>
      <w:pgSz w:w="16838" w:h="11906" w:orient="landscape"/>
      <w:pgMar w:top="864" w:right="936" w:bottom="864" w:left="936"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BBF79FF"/>
    <w:rsid w:val="703F753B"/>
    <w:rsid w:val="7307600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20"/>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5</Pages>
  <Words>306</Words>
  <Characters>2168</Characters>
  <TotalTime>0</TotalTime>
  <ScaleCrop>false</ScaleCrop>
  <LinksUpToDate>false</LinksUpToDate>
  <CharactersWithSpaces>2407</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2026-08-27T06:51:24Z</dcterms:created>
  <dc:creator>Administrator</dc:creator>
  <cp:lastModifiedBy>administrator</cp:lastModifiedBy>
  <dcterms:modified xsi:type="dcterms:W3CDTF">2026-08-27T06:54:19Z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eyJoZGlkIjoiMTJmZjIzNmM4MzlhMTNkYzJkZTM2M2YxZmZiNWJjMjYiLCJ1c2VySWQiOiI3OTkxNjM5MTgifQ==</vt:lpwstr>
  </property>
  <property fmtid="{D5CDD505-2E9C-101B-9397-08002B2CF9AE}" pid="3" name="KSOProductBuildVer">
    <vt:lpwstr>2052-12.1.0.28043</vt:lpwstr>
  </property>
  <property fmtid="{D5CDD505-2E9C-101B-9397-08002B2CF9AE}" pid="4" name="ICV">
    <vt:lpwstr>EFFBB47E119B4BFBB7DD9CDAC607F4F2_12</vt:lpwstr>
  </property>
</Properties>
</file>