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200B60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Arial-BoldMT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</w:pPr>
      <w:bookmarkStart w:id="0" w:name="_GoBack"/>
      <w:r>
        <w:rPr>
          <w:rFonts w:hint="default" w:ascii="Times New Roman" w:hAnsi="Times New Roman" w:eastAsia="Arial-BoldMT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>Method S1. Patient recruitment</w:t>
      </w:r>
    </w:p>
    <w:p w14:paraId="3A4ABAA0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 w:eastAsiaTheme="minorEastAsia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This retrospective study included neonates admitted to the Department of Neonatology, Children’s Hospital of Soochow University, between J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anuary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 202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0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 and December 2025. Birth asphyxia was identified based on perinatal hypoxic–ischemic history and related clinical findings.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The inclusion criteria were: (1) gestational age &gt; 37 weeks; (2) completion of conventional brain MRI during hospitalization, including T1-weighted imaging (T1WI), T2-weighted imaging (T2WI), and diffusion-weighted imaging (DWI); (3) negative visual findings on brain MRI; and (4) availability of clinical and laboratory examination data.The exclusion criteria were: (1) gestational age &lt; 37 weeks; (2)</w:t>
      </w:r>
      <w:r>
        <w:rPr>
          <w:rFonts w:hint="default" w:ascii="Times New Roman" w:hAnsi="Times New Roman" w:cs="Times New Roman" w:eastAsiaTheme="minorEastAsia"/>
          <w:kern w:val="0"/>
          <w:sz w:val="24"/>
          <w:szCs w:val="24"/>
          <w:highlight w:val="none"/>
          <w:lang w:val="en-US" w:eastAsia="zh-CN" w:bidi="ar"/>
        </w:rPr>
        <w:t xml:space="preserve"> no brain MRI performed during hospitalization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;(3) abnormal findings on brain MRI; (4) poor image quality or severe motion artifacts; and (5)</w:t>
      </w:r>
      <w:r>
        <w:rPr>
          <w:rFonts w:hint="default" w:ascii="Times New Roman" w:hAnsi="Times New Roman" w:cs="Times New Roman" w:eastAsiaTheme="minorEastAsia"/>
          <w:kern w:val="0"/>
          <w:sz w:val="24"/>
          <w:szCs w:val="24"/>
          <w:highlight w:val="none"/>
          <w:lang w:val="en-US" w:eastAsia="zh-CN" w:bidi="ar"/>
        </w:rPr>
        <w:t xml:space="preserve"> infants with metabolic diseases.</w:t>
      </w:r>
    </w:p>
    <w:p w14:paraId="13C57AB5">
      <w:pPr>
        <w:keepNext w:val="0"/>
        <w:keepLines w:val="0"/>
        <w:widowControl/>
        <w:suppressLineNumbers w:val="0"/>
        <w:ind w:firstLine="240" w:firstLineChars="100"/>
        <w:jc w:val="both"/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A total of 297 neonates were retrospectively enrolled, including 156 in the HIE group and 141 in the non-HIE group. An additional 54 neonates were prospectively recruited, consisting of 20 patients in the HIE group and 34 in the non-HIE group.Patients were assigned to the HIE and non-HIE groups according to the final in-hospital clinical diagnosis made by attending neonatologists on the basis of perinatal hypoxic–ischemic history and neurological assessment, with reference to the Sarnat staging system.</w:t>
      </w:r>
    </w:p>
    <w:p w14:paraId="7219F945">
      <w:pPr>
        <w:keepNext w:val="0"/>
        <w:keepLines w:val="0"/>
        <w:widowControl/>
        <w:suppressLineNumbers w:val="0"/>
        <w:ind w:firstLine="240" w:firstLineChars="100"/>
        <w:jc w:val="both"/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</w:p>
    <w:p w14:paraId="598E535D">
      <w:pPr>
        <w:keepNext w:val="0"/>
        <w:keepLines w:val="0"/>
        <w:widowControl/>
        <w:suppressLineNumbers w:val="0"/>
        <w:ind w:firstLine="240" w:firstLineChars="100"/>
        <w:jc w:val="both"/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</w:p>
    <w:p w14:paraId="58076B1A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Arial-BoldMT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default" w:ascii="Times New Roman" w:hAnsi="Times New Roman" w:eastAsia="Arial-BoldMT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 xml:space="preserve">Method S2. Magnetic resonance imaging acquisition </w:t>
      </w:r>
      <w:r>
        <w:rPr>
          <w:rFonts w:hint="default" w:ascii="Times New Roman" w:hAnsi="Times New Roman" w:eastAsia="Arial-BoldMT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>and preprocessing</w:t>
      </w:r>
    </w:p>
    <w:p w14:paraId="34C9BE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jc w:val="both"/>
        <w:textAlignment w:val="auto"/>
        <w:rPr>
          <w:rFonts w:hint="default" w:ascii="Times New Roman" w:hAnsi="Times New Roman" w:cs="Times New Roman" w:eastAsiaTheme="minorEastAsia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default" w:ascii="Times New Roman" w:hAnsi="Times New Roman" w:cs="Times New Roman" w:eastAsiaTheme="minorEastAsia"/>
          <w:kern w:val="0"/>
          <w:sz w:val="24"/>
          <w:szCs w:val="24"/>
          <w:highlight w:val="none"/>
          <w:lang w:val="en-US" w:eastAsia="zh-CN" w:bidi="ar"/>
        </w:rPr>
        <w:t xml:space="preserve">All eligible patients received multiparametric MRI examinations consisting of T1WI, T2WI, and DWI. All images were obtained on two clinical MRI scanners: an Ingenia system (Philips Healthcare, Best, the Netherlands) and a Discovery series system (GE Healthcare, Milwaukee, WI, USA).Uncooperative children received sedation with sponge earplugs placed in the external auditory canals for hearing protection. </w:t>
      </w:r>
    </w:p>
    <w:p w14:paraId="64DE5C6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jc w:val="both"/>
        <w:textAlignment w:val="auto"/>
        <w:rPr>
          <w:rFonts w:hint="default" w:ascii="Times New Roman" w:hAnsi="Times New Roman" w:cs="Times New Roman" w:eastAsiaTheme="minorEastAsia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default" w:ascii="Times New Roman" w:hAnsi="Times New Roman" w:cs="Times New Roman" w:eastAsiaTheme="minorEastAsia"/>
          <w:kern w:val="0"/>
          <w:sz w:val="24"/>
          <w:szCs w:val="24"/>
          <w:highlight w:val="none"/>
          <w:lang w:val="en-US" w:eastAsia="zh-CN" w:bidi="ar"/>
        </w:rPr>
        <w:t>The scanning parameters for different devices are shown in the table below.:</w:t>
      </w:r>
    </w:p>
    <w:tbl>
      <w:tblPr>
        <w:tblStyle w:val="3"/>
        <w:tblW w:w="532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4"/>
        <w:gridCol w:w="1715"/>
        <w:gridCol w:w="1758"/>
      </w:tblGrid>
      <w:tr w14:paraId="5B59F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3F8CDAB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2EC05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GE Discovery</w:t>
            </w:r>
          </w:p>
        </w:tc>
        <w:tc>
          <w:tcPr>
            <w:tcW w:w="175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B38F8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Philips Ingenia</w:t>
            </w:r>
          </w:p>
        </w:tc>
      </w:tr>
      <w:tr w14:paraId="1FD1B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53CC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T1WI TR/TE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E8C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3316/31.2 ms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B35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2178/20 ms</w:t>
            </w:r>
          </w:p>
        </w:tc>
      </w:tr>
      <w:tr w14:paraId="0E85C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2EFF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T2WI TR/TE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5E0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5350/103 ms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CF81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2762/129 ms</w:t>
            </w:r>
          </w:p>
        </w:tc>
      </w:tr>
      <w:tr w14:paraId="76B55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85C7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DWI TR/TE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267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4781/74.4 ms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BA3B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2400/83.5 ms</w:t>
            </w:r>
          </w:p>
        </w:tc>
      </w:tr>
      <w:tr w14:paraId="167D1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F62A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DWI b-values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6B98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750.0 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E2D0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750.0 </w:t>
            </w:r>
          </w:p>
        </w:tc>
      </w:tr>
      <w:tr w14:paraId="151C3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87FA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Slice thickness/gap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234F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5/5mm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D16D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5/5mm</w:t>
            </w:r>
          </w:p>
        </w:tc>
      </w:tr>
      <w:tr w14:paraId="2EBE4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7BD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T1/T2 matrix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620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512×512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766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512×512</w:t>
            </w:r>
          </w:p>
        </w:tc>
      </w:tr>
      <w:tr w14:paraId="3C738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DF5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DWI matrix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2C5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256×256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BF2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256×256</w:t>
            </w:r>
          </w:p>
        </w:tc>
      </w:tr>
      <w:tr w14:paraId="1B190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903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Number of scans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C12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266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97A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</w:t>
            </w:r>
          </w:p>
        </w:tc>
      </w:tr>
      <w:tr w14:paraId="1A486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613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HIE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542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650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</w:t>
            </w:r>
          </w:p>
        </w:tc>
      </w:tr>
      <w:tr w14:paraId="057DA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85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1991B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Non-HIE</w:t>
            </w:r>
          </w:p>
        </w:tc>
        <w:tc>
          <w:tcPr>
            <w:tcW w:w="171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98A1B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124</w:t>
            </w:r>
          </w:p>
        </w:tc>
        <w:tc>
          <w:tcPr>
            <w:tcW w:w="175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C4E63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</w:t>
            </w:r>
          </w:p>
        </w:tc>
      </w:tr>
    </w:tbl>
    <w:p w14:paraId="770AB11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jc w:val="both"/>
        <w:textAlignment w:val="auto"/>
        <w:rPr>
          <w:rFonts w:hint="default" w:ascii="Times New Roman" w:hAnsi="Times New Roman" w:cs="Times New Roman" w:eastAsiaTheme="minorEastAsia"/>
          <w:kern w:val="0"/>
          <w:sz w:val="24"/>
          <w:szCs w:val="24"/>
          <w:highlight w:val="none"/>
          <w:lang w:val="en-US" w:eastAsia="zh-CN" w:bidi="ar"/>
        </w:rPr>
      </w:pPr>
    </w:p>
    <w:p w14:paraId="6C935E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jc w:val="both"/>
        <w:textAlignment w:val="auto"/>
        <w:rPr>
          <w:rFonts w:hint="default" w:ascii="Times New Roman" w:hAnsi="Times New Roman" w:cs="Times New Roman" w:eastAsiaTheme="minorEastAsia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default" w:ascii="Times New Roman" w:hAnsi="Times New Roman" w:cs="Times New Roman" w:eastAsiaTheme="minorEastAsia"/>
          <w:kern w:val="0"/>
          <w:sz w:val="24"/>
          <w:szCs w:val="24"/>
          <w:highlight w:val="none"/>
          <w:lang w:val="en-US" w:eastAsia="zh-CN" w:bidi="ar"/>
        </w:rPr>
        <w:t>To minimize variability across different scanners and ensure the generation of suitable inputs for quantitative radiomics feature computation, image standardization was implemented. This standardization procedure included N4 bias</w:t>
      </w:r>
      <w:r>
        <w:rPr>
          <w:rFonts w:hint="default" w:ascii="Times New Roman" w:hAnsi="Times New Roman" w:cs="Times New Roman" w:eastAsiaTheme="minorEastAsia"/>
          <w:kern w:val="0"/>
          <w:sz w:val="24"/>
          <w:szCs w:val="24"/>
          <w:highlight w:val="none"/>
          <w:lang w:val="en-US" w:eastAsia="zh-CN" w:bidi="ar"/>
        </w:rPr>
        <w:noBreakHyphen/>
      </w:r>
      <w:r>
        <w:rPr>
          <w:rFonts w:hint="default" w:ascii="Times New Roman" w:hAnsi="Times New Roman" w:cs="Times New Roman" w:eastAsiaTheme="minorEastAsia"/>
          <w:kern w:val="0"/>
          <w:sz w:val="24"/>
          <w:szCs w:val="24"/>
          <w:highlight w:val="none"/>
          <w:lang w:val="en-US" w:eastAsia="zh-CN" w:bidi="ar"/>
        </w:rPr>
        <w:t>field correction, intensity normalization (normalize = true, normalizeScale = 100), resampling to an isotropic voxel spacing of 1×1×1 mm using B</w:t>
      </w:r>
      <w:r>
        <w:rPr>
          <w:rFonts w:hint="default" w:ascii="Times New Roman" w:hAnsi="Times New Roman" w:cs="Times New Roman" w:eastAsiaTheme="minorEastAsia"/>
          <w:kern w:val="0"/>
          <w:sz w:val="24"/>
          <w:szCs w:val="24"/>
          <w:highlight w:val="none"/>
          <w:lang w:val="en-US" w:eastAsia="zh-CN" w:bidi="ar"/>
        </w:rPr>
        <w:noBreakHyphen/>
      </w:r>
      <w:r>
        <w:rPr>
          <w:rFonts w:hint="default" w:ascii="Times New Roman" w:hAnsi="Times New Roman" w:cs="Times New Roman" w:eastAsiaTheme="minorEastAsia"/>
          <w:kern w:val="0"/>
          <w:sz w:val="24"/>
          <w:szCs w:val="24"/>
          <w:highlight w:val="none"/>
          <w:lang w:val="en-US" w:eastAsia="zh-CN" w:bidi="ar"/>
        </w:rPr>
        <w:t>spline interpolation, and discretization using a fixed bin width of 25.</w:t>
      </w:r>
    </w:p>
    <w:p w14:paraId="621E81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jc w:val="both"/>
        <w:textAlignment w:val="auto"/>
        <w:rPr>
          <w:rFonts w:hint="default" w:ascii="Times New Roman" w:hAnsi="Times New Roman" w:cs="Times New Roman" w:eastAsiaTheme="minorEastAsia"/>
          <w:kern w:val="0"/>
          <w:sz w:val="24"/>
          <w:szCs w:val="24"/>
          <w:highlight w:val="none"/>
          <w:lang w:val="en-US" w:eastAsia="zh-CN" w:bidi="ar"/>
        </w:rPr>
      </w:pPr>
    </w:p>
    <w:p w14:paraId="5C58D447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Arial-BoldMT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default" w:ascii="Times New Roman" w:hAnsi="Times New Roman" w:eastAsia="Arial-BoldMT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>Method S3. Image registration and ROI segmentation</w:t>
      </w:r>
    </w:p>
    <w:p w14:paraId="6F11B3BC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T1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WI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, T2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WI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, and DWI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images were retrieved from the picture archiving and communication system (PACS) for further analysis. Using ITK-SNAP software(version 3.8.0; 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fldChar w:fldCharType="begin"/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instrText xml:space="preserve"> HYPERLINK "http://www.itksnap.org" \t "_new" </w:instrTex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fldChar w:fldCharType="separate"/>
      </w:r>
      <w:r>
        <w:rPr>
          <w:rStyle w:val="6"/>
          <w:rFonts w:hint="default" w:ascii="Times New Roman" w:hAnsi="Times New Roman" w:cs="Times New Roman"/>
          <w:sz w:val="24"/>
          <w:szCs w:val="24"/>
          <w:highlight w:val="none"/>
        </w:rPr>
        <w:t>http://www.itksnap.org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fldChar w:fldCharType="end"/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)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T2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WI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 and DWI images were automatically aligned to the T1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WI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 image space with intensity-based affine registration to ensure spatial consistency across sequences.For each neonate, the axial slice showing the largest visible area of the basal ganglia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 (BG)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 or thalami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 (TH)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 was selected for ROI delineation. Accordingly, two ROIs were defined: ROI for the 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BG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 and the 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TH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. The segmented images were saved for subsequent radiomics feature extraction.</w:t>
      </w:r>
    </w:p>
    <w:p w14:paraId="363D78C2">
      <w:pPr>
        <w:keepNext w:val="0"/>
        <w:keepLines w:val="0"/>
        <w:widowControl/>
        <w:suppressLineNumbers w:val="0"/>
        <w:ind w:firstLine="240" w:firstLineChars="100"/>
        <w:jc w:val="left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Two-dimensional ROI segmentation was manually performed on the selected axial slice by Radiologist A, who had 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3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 years of experience in pediatric neuroradiology, using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ITK-SNAP software (version 3.8.0). One month later, 60 cases were randomly selected from the training set for repeated ROI delineation. Radiologist A and another radiologist (Radiologist B, with 10 years of experience in neuroradiology) independently performed the repeat segmentation while blinded to the study data. Intra- and interobserver reproducibility of radiomics features was evaluated, and only features with both intra- and interobserver correlation coefficients greater than 0.85 were retained for subsequent feature selection.</w:t>
      </w:r>
    </w:p>
    <w:p w14:paraId="04DABADD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Arial-BoldMT" w:cs="Calibri"/>
          <w:b/>
          <w:bCs/>
          <w:color w:val="000000"/>
          <w:kern w:val="0"/>
          <w:sz w:val="28"/>
          <w:szCs w:val="28"/>
          <w:highlight w:val="none"/>
          <w:lang w:val="en-US" w:eastAsia="zh-CN" w:bidi="ar"/>
        </w:rPr>
      </w:pPr>
    </w:p>
    <w:p w14:paraId="6B6A6776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Arial-BoldMT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default" w:ascii="Times New Roman" w:hAnsi="Times New Roman" w:eastAsia="Arial-BoldMT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>Method S4. Radiomics feature extraction</w:t>
      </w:r>
    </w:p>
    <w:p w14:paraId="77D50DDF">
      <w:pPr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 xml:space="preserve">Radiomics features of the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D ROIs representing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HIE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 xml:space="preserve">lesions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were extracted using Pyradiomics Module (http://pyradiomics.readthedocs.io),A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total of 1,197 quantitative features from seven categories were extracted for each patient: (1) 14 shape-based features; (2) 234 first-order features; (3) 286 gray-level co-occurrence matrix (GLCM) features; (4) 182 gray-level dependence matrix (GLDM) features; (5) 208 gray-level run-length matrix (GLRLM) features; (6) 208 gray-level size zone matrix (GLSZM) features; and (7) 65 neighboring gray-tone difference matrix (NGTDM) features.</w:t>
      </w:r>
    </w:p>
    <w:p w14:paraId="6212CCCE">
      <w:pPr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</w:p>
    <w:p w14:paraId="17FC35E4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Arial-BoldMT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default" w:ascii="Times New Roman" w:hAnsi="Times New Roman" w:eastAsia="Arial-BoldMT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>Method S</w:t>
      </w:r>
      <w:r>
        <w:rPr>
          <w:rFonts w:hint="eastAsia" w:ascii="Times New Roman" w:hAnsi="Times New Roman" w:eastAsia="Arial-BoldMT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>5. Random Forest Parameters</w:t>
      </w:r>
    </w:p>
    <w:p w14:paraId="08B6C47E">
      <w:pP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 xml:space="preserve">RF hyperparameters were optimized using five-fold cross-validation within the training set, with AUC as the optimization metric. The candidate values were 10,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20,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50, and 100 for the number of trees (n_estimators) and 2, 3, and 5 for the maximum tree depth (max_depth), while the minimum number of samples per leaf (min_samples_leaf) was fixed at 10. The parameter combination yielding the highest mean cross-validated AUC was selected, and the model was then refitted using the entire training set. A fixed random seed of 0 was used for RF modeling.</w:t>
      </w:r>
    </w:p>
    <w:p w14:paraId="41D1349B">
      <w:pPr>
        <w:rPr>
          <w:rFonts w:hint="default" w:ascii="Calibri" w:hAnsi="Calibri" w:eastAsia="宋体" w:cs="Calibri"/>
          <w:sz w:val="24"/>
          <w:szCs w:val="24"/>
          <w:highlight w:val="none"/>
        </w:rPr>
      </w:pPr>
    </w:p>
    <w:p w14:paraId="3563DEC7">
      <w:pPr>
        <w:rPr>
          <w:rFonts w:hint="default" w:ascii="Calibri" w:hAnsi="Calibri" w:eastAsia="宋体" w:cs="Calibri"/>
          <w:sz w:val="24"/>
          <w:szCs w:val="24"/>
          <w:highlight w:val="none"/>
        </w:rPr>
      </w:pPr>
    </w:p>
    <w:p w14:paraId="38DAB263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Arial-BoldMT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Times New Roman" w:hAnsi="Times New Roman" w:eastAsia="Arial-BoldMT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>Figure</w:t>
      </w:r>
      <w:r>
        <w:rPr>
          <w:rFonts w:hint="default" w:ascii="Times New Roman" w:hAnsi="Times New Roman" w:eastAsia="Arial-BoldMT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 xml:space="preserve"> </w:t>
      </w:r>
      <w:r>
        <w:rPr>
          <w:rFonts w:hint="eastAsia" w:ascii="Times New Roman" w:hAnsi="Times New Roman" w:eastAsia="Arial-BoldMT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>1</w:t>
      </w:r>
      <w:r>
        <w:rPr>
          <w:rFonts w:hint="default" w:ascii="Times New Roman" w:hAnsi="Times New Roman" w:eastAsia="Arial-BoldMT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 xml:space="preserve">. </w:t>
      </w:r>
      <w:r>
        <w:rPr>
          <w:rFonts w:hint="eastAsia" w:ascii="Times New Roman" w:hAnsi="Times New Roman" w:eastAsia="Arial-BoldMT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>Radiomics feature selection by LASSO logistic regression.</w:t>
      </w:r>
    </w:p>
    <w:p w14:paraId="5B9FBC4F">
      <w:pPr>
        <w:rPr>
          <w:rFonts w:ascii="Times New Roman" w:hAnsi="Times New Roman"/>
          <w:kern w:val="0"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F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>igures 1-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 </w:t>
      </w:r>
      <w:r>
        <w:rPr>
          <w:rFonts w:ascii="Times New Roman" w:hAnsi="Times New Roman"/>
          <w:kern w:val="0"/>
          <w:sz w:val="24"/>
          <w:szCs w:val="24"/>
          <w:highlight w:val="none"/>
        </w:rPr>
        <w:t xml:space="preserve">The </w:t>
      </w:r>
      <w:r>
        <w:rPr>
          <w:rFonts w:ascii="Times New Roman" w:hAnsi="Times New Roman"/>
          <w:color w:val="000000"/>
          <w:kern w:val="0"/>
          <w:sz w:val="24"/>
          <w:szCs w:val="24"/>
          <w:highlight w:val="none"/>
        </w:rPr>
        <w:t xml:space="preserve">least absolute shrinkage and selection operator (LASSO) </w:t>
      </w:r>
      <w:r>
        <w:rPr>
          <w:rFonts w:ascii="Times New Roman" w:hAnsi="Times New Roman"/>
          <w:kern w:val="0"/>
          <w:sz w:val="24"/>
          <w:szCs w:val="24"/>
          <w:highlight w:val="none"/>
        </w:rPr>
        <w:t>including the selection of the regular parameter \(\lambda\) and determination of the number of features.</w:t>
      </w:r>
    </w:p>
    <w:p w14:paraId="453E29BD">
      <w:pPr>
        <w:keepNext w:val="0"/>
        <w:keepLines w:val="0"/>
        <w:widowControl/>
        <w:suppressLineNumbers w:val="0"/>
        <w:jc w:val="left"/>
        <w:rPr>
          <w:rFonts w:hint="eastAsia" w:ascii="Calibri" w:hAnsi="Calibri" w:eastAsia="Arial-BoldMT" w:cs="Calibri"/>
          <w:b/>
          <w:bCs/>
          <w:color w:val="000000"/>
          <w:kern w:val="0"/>
          <w:sz w:val="28"/>
          <w:szCs w:val="28"/>
          <w:highlight w:val="none"/>
          <w:lang w:val="en-US" w:eastAsia="zh-CN" w:bidi="ar"/>
        </w:rPr>
      </w:pPr>
    </w:p>
    <w:p w14:paraId="27AC54B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Arial-BoldMT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default" w:ascii="Times New Roman" w:hAnsi="Times New Roman" w:eastAsia="Arial-BoldMT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>Figure 1 T1-BG</w:t>
      </w:r>
    </w:p>
    <w:p w14:paraId="1B8665EE">
      <w:pPr>
        <w:rPr>
          <w:rFonts w:hint="eastAsia" w:eastAsiaTheme="minorEastAsia"/>
          <w:highlight w:val="none"/>
          <w:lang w:eastAsia="zh-CN"/>
        </w:rPr>
      </w:pPr>
      <w:r>
        <w:rPr>
          <w:rFonts w:hint="eastAsia" w:eastAsiaTheme="minorEastAsia"/>
          <w:highlight w:val="none"/>
          <w:lang w:eastAsia="zh-CN"/>
        </w:rPr>
        <w:drawing>
          <wp:inline distT="0" distB="0" distL="114300" distR="114300">
            <wp:extent cx="3529330" cy="2344420"/>
            <wp:effectExtent l="0" t="0" r="1270" b="5080"/>
            <wp:docPr id="13" name="图片 13" descr="新建 PPTX 演示文稿_0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新建 PPTX 演示文稿_01(1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29330" cy="234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6C9B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Arial-BoldMT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default" w:ascii="Times New Roman" w:hAnsi="Times New Roman" w:eastAsia="Arial-BoldMT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>Figure 2 T2-BG</w:t>
      </w:r>
    </w:p>
    <w:p w14:paraId="067E92C9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Arial-BoldMT" w:cs="Calibri"/>
          <w:b/>
          <w:bCs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default" w:ascii="Calibri" w:hAnsi="Calibri" w:eastAsia="Arial-BoldMT" w:cs="Calibri"/>
          <w:b/>
          <w:bCs/>
          <w:color w:val="000000"/>
          <w:kern w:val="0"/>
          <w:sz w:val="28"/>
          <w:szCs w:val="28"/>
          <w:highlight w:val="none"/>
          <w:lang w:val="en-US" w:eastAsia="zh-CN" w:bidi="ar"/>
        </w:rPr>
        <w:drawing>
          <wp:inline distT="0" distB="0" distL="114300" distR="114300">
            <wp:extent cx="3528060" cy="2343785"/>
            <wp:effectExtent l="0" t="0" r="2540" b="5715"/>
            <wp:docPr id="14" name="图片 14" descr="新建 PPTX 演示文稿_02(1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新建 PPTX 演示文稿_02(1)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28060" cy="2343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29A3A7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Arial-BoldMT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default" w:ascii="Times New Roman" w:hAnsi="Times New Roman" w:eastAsia="Arial-BoldMT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>Figure 3 DWI-BG</w:t>
      </w:r>
    </w:p>
    <w:p w14:paraId="3F00F22E">
      <w:pPr>
        <w:keepNext w:val="0"/>
        <w:keepLines w:val="0"/>
        <w:widowControl/>
        <w:suppressLineNumbers w:val="0"/>
        <w:jc w:val="left"/>
        <w:rPr>
          <w:rFonts w:hint="eastAsia" w:ascii="Calibri" w:hAnsi="Calibri" w:eastAsia="Arial-BoldMT" w:cs="Calibri"/>
          <w:b/>
          <w:bCs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Calibri" w:hAnsi="Calibri" w:eastAsia="Arial-BoldMT" w:cs="Calibri"/>
          <w:b/>
          <w:bCs/>
          <w:color w:val="000000"/>
          <w:kern w:val="0"/>
          <w:sz w:val="28"/>
          <w:szCs w:val="28"/>
          <w:highlight w:val="none"/>
          <w:lang w:val="en-US" w:eastAsia="zh-CN" w:bidi="ar"/>
        </w:rPr>
        <w:drawing>
          <wp:inline distT="0" distB="0" distL="114300" distR="114300">
            <wp:extent cx="3528060" cy="2343785"/>
            <wp:effectExtent l="0" t="0" r="2540" b="5715"/>
            <wp:docPr id="15" name="图片 15" descr="新建 PPTX 演示文稿_03(1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新建 PPTX 演示文稿_03(1)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28060" cy="2343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E8C2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Arial-BoldMT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default" w:ascii="Times New Roman" w:hAnsi="Times New Roman" w:eastAsia="Arial-BoldMT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>Figure 4 T1-TH</w:t>
      </w:r>
    </w:p>
    <w:p w14:paraId="3436F99B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Arial-BoldMT" w:cs="Calibri"/>
          <w:b/>
          <w:bCs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default" w:ascii="Calibri" w:hAnsi="Calibri" w:eastAsia="Arial-BoldMT" w:cs="Calibri"/>
          <w:b/>
          <w:bCs/>
          <w:color w:val="000000"/>
          <w:kern w:val="0"/>
          <w:sz w:val="28"/>
          <w:szCs w:val="28"/>
          <w:highlight w:val="none"/>
          <w:lang w:val="en-US" w:eastAsia="zh-CN" w:bidi="ar"/>
        </w:rPr>
        <w:drawing>
          <wp:inline distT="0" distB="0" distL="114300" distR="114300">
            <wp:extent cx="3528060" cy="2343785"/>
            <wp:effectExtent l="0" t="0" r="2540" b="5715"/>
            <wp:docPr id="16" name="图片 16" descr="新建 PPTX 演示文稿_04(1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新建 PPTX 演示文稿_04(1)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28060" cy="2343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6A8A3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Arial-BoldMT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default" w:ascii="Times New Roman" w:hAnsi="Times New Roman" w:eastAsia="Arial-BoldMT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>Figure 5 T2-TH</w:t>
      </w:r>
    </w:p>
    <w:p w14:paraId="74A2A841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Arial-BoldMT" w:cs="Calibri"/>
          <w:b/>
          <w:bCs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default" w:ascii="Calibri" w:hAnsi="Calibri" w:eastAsia="Arial-BoldMT" w:cs="Calibri"/>
          <w:b/>
          <w:bCs/>
          <w:color w:val="000000"/>
          <w:kern w:val="0"/>
          <w:sz w:val="28"/>
          <w:szCs w:val="28"/>
          <w:highlight w:val="none"/>
          <w:lang w:val="en-US" w:eastAsia="zh-CN" w:bidi="ar"/>
        </w:rPr>
        <w:drawing>
          <wp:inline distT="0" distB="0" distL="114300" distR="114300">
            <wp:extent cx="3528060" cy="2343785"/>
            <wp:effectExtent l="0" t="0" r="2540" b="5715"/>
            <wp:docPr id="17" name="图片 17" descr="新建 PPTX 演示文稿_05(1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新建 PPTX 演示文稿_05(1)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28060" cy="2343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B8FC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Arial-BoldMT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default" w:ascii="Times New Roman" w:hAnsi="Times New Roman" w:eastAsia="Arial-BoldMT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>Figure 6 DWI-TH</w:t>
      </w:r>
    </w:p>
    <w:p w14:paraId="01853159">
      <w:pPr>
        <w:rPr>
          <w:rFonts w:hint="default" w:eastAsiaTheme="minorEastAsia"/>
          <w:highlight w:val="none"/>
          <w:lang w:val="en-US" w:eastAsia="zh-CN"/>
        </w:rPr>
      </w:pPr>
      <w:r>
        <w:rPr>
          <w:rFonts w:hint="default" w:eastAsiaTheme="minorEastAsia"/>
          <w:highlight w:val="none"/>
          <w:lang w:val="en-US" w:eastAsia="zh-CN"/>
        </w:rPr>
        <w:drawing>
          <wp:inline distT="0" distB="0" distL="114300" distR="114300">
            <wp:extent cx="3528060" cy="2343785"/>
            <wp:effectExtent l="0" t="0" r="2540" b="5715"/>
            <wp:docPr id="18" name="图片 18" descr="新建 PPTX 演示文稿_06(1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新建 PPTX 演示文稿_06(1)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28060" cy="2343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B2CE5">
      <w:pPr>
        <w:rPr>
          <w:rFonts w:hint="default" w:eastAsiaTheme="minorEastAsia"/>
          <w:highlight w:val="none"/>
          <w:lang w:val="en-US" w:eastAsia="zh-CN"/>
        </w:rPr>
      </w:pPr>
    </w:p>
    <w:p w14:paraId="10E9C7E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Arial-BoldMT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default" w:ascii="Times New Roman" w:hAnsi="Times New Roman" w:eastAsia="Arial-BoldMT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 xml:space="preserve">Figure 2. Confusion matrix diagrams of the </w:t>
      </w:r>
      <w:r>
        <w:rPr>
          <w:rFonts w:hint="eastAsia" w:ascii="Times New Roman" w:hAnsi="Times New Roman" w:eastAsia="Arial-BoldMT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>C</w:t>
      </w:r>
      <w:r>
        <w:rPr>
          <w:rFonts w:hint="default" w:ascii="Times New Roman" w:hAnsi="Times New Roman" w:eastAsia="Arial-BoldMT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>ombined model in all three cohorts.</w:t>
      </w:r>
    </w:p>
    <w:p w14:paraId="2C85903C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Arial-BoldMT" w:cs="Calibri"/>
          <w:b/>
          <w:bCs/>
          <w:color w:val="000000"/>
          <w:kern w:val="0"/>
          <w:sz w:val="28"/>
          <w:szCs w:val="28"/>
          <w:highlight w:val="none"/>
          <w:lang w:val="en-US" w:eastAsia="zh-CN" w:bidi="ar"/>
        </w:rPr>
      </w:pPr>
    </w:p>
    <w:p w14:paraId="3951958D">
      <w:pPr>
        <w:rPr>
          <w:rFonts w:hint="default" w:eastAsiaTheme="minorEastAsia"/>
          <w:highlight w:val="none"/>
          <w:lang w:val="en-US" w:eastAsia="zh-CN"/>
        </w:rPr>
      </w:pPr>
      <w:r>
        <w:rPr>
          <w:rFonts w:hint="default" w:eastAsiaTheme="minorEastAsia"/>
          <w:highlight w:val="none"/>
          <w:lang w:val="en-US" w:eastAsia="zh-CN"/>
        </w:rPr>
        <w:drawing>
          <wp:inline distT="0" distB="0" distL="114300" distR="114300">
            <wp:extent cx="5271770" cy="1753870"/>
            <wp:effectExtent l="0" t="0" r="11430" b="11430"/>
            <wp:docPr id="2" name="图片 2" descr="combined_model_confusion_matri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ombined_model_confusion_matrices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75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1528F">
      <w:pPr>
        <w:rPr>
          <w:rFonts w:hint="default" w:eastAsiaTheme="minorEastAsia"/>
          <w:highlight w:val="none"/>
          <w:lang w:val="en-US" w:eastAsia="zh-CN"/>
        </w:rPr>
      </w:pPr>
    </w:p>
    <w:p w14:paraId="2CCD7BAA">
      <w:pPr>
        <w:rPr>
          <w:rFonts w:hint="default" w:eastAsiaTheme="minorEastAsia"/>
          <w:highlight w:val="none"/>
          <w:lang w:val="en-US" w:eastAsia="zh-CN"/>
        </w:rPr>
      </w:pPr>
    </w:p>
    <w:p w14:paraId="754C611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Arial-BoldMT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default" w:ascii="Times New Roman" w:hAnsi="Times New Roman" w:eastAsia="Arial-BoldMT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 xml:space="preserve">Figure </w:t>
      </w:r>
      <w:r>
        <w:rPr>
          <w:rFonts w:hint="eastAsia" w:ascii="Times New Roman" w:hAnsi="Times New Roman" w:eastAsia="Arial-BoldMT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>3</w:t>
      </w:r>
      <w:r>
        <w:rPr>
          <w:rFonts w:hint="default" w:ascii="Times New Roman" w:hAnsi="Times New Roman" w:eastAsia="Arial-BoldMT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>. DCA curve of the prospective validation cohort.</w:t>
      </w:r>
    </w:p>
    <w:p w14:paraId="36B0F5E0">
      <w:pPr>
        <w:rPr>
          <w:rFonts w:hint="default" w:eastAsiaTheme="minorEastAsia"/>
          <w:highlight w:val="none"/>
          <w:lang w:val="en-US" w:eastAsia="zh-CN"/>
        </w:rPr>
      </w:pPr>
    </w:p>
    <w:p w14:paraId="7D5A6649">
      <w:pPr>
        <w:rPr>
          <w:rFonts w:hint="default" w:eastAsiaTheme="minorEastAsia"/>
          <w:highlight w:val="none"/>
          <w:lang w:val="en-US" w:eastAsia="zh-CN"/>
        </w:rPr>
      </w:pPr>
      <w:r>
        <w:rPr>
          <w:rFonts w:hint="default" w:eastAsiaTheme="minorEastAsia"/>
          <w:highlight w:val="none"/>
          <w:lang w:val="en-US" w:eastAsia="zh-CN"/>
        </w:rPr>
        <w:drawing>
          <wp:inline distT="0" distB="0" distL="114300" distR="114300">
            <wp:extent cx="3004820" cy="2537460"/>
            <wp:effectExtent l="0" t="0" r="5080" b="2540"/>
            <wp:docPr id="1" name="图片 1" descr="前瞻DCA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前瞻DCA_0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04820" cy="253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8911A">
      <w:pPr>
        <w:rPr>
          <w:rFonts w:hint="default" w:eastAsiaTheme="minorEastAsia"/>
          <w:highlight w:val="none"/>
          <w:lang w:val="en-US" w:eastAsia="zh-CN"/>
        </w:rPr>
      </w:pPr>
    </w:p>
    <w:p w14:paraId="4893B498">
      <w:pPr>
        <w:rPr>
          <w:rFonts w:hint="default" w:eastAsiaTheme="minorEastAsia"/>
          <w:highlight w:val="none"/>
          <w:lang w:val="en-US" w:eastAsia="zh-CN"/>
        </w:rPr>
      </w:pPr>
    </w:p>
    <w:p w14:paraId="7B490EF2">
      <w:pPr>
        <w:rPr>
          <w:rFonts w:hint="eastAsia" w:ascii="Times New Roman" w:hAnsi="Times New Roman" w:eastAsia="Arial-BoldMT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default" w:ascii="Times New Roman" w:hAnsi="Times New Roman" w:eastAsia="Arial-BoldMT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 xml:space="preserve">Figure </w:t>
      </w:r>
      <w:r>
        <w:rPr>
          <w:rFonts w:hint="eastAsia" w:ascii="Times New Roman" w:hAnsi="Times New Roman" w:eastAsia="Arial-BoldMT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>4</w:t>
      </w:r>
      <w:r>
        <w:rPr>
          <w:rFonts w:hint="default" w:ascii="Times New Roman" w:hAnsi="Times New Roman" w:eastAsia="Arial-BoldMT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 xml:space="preserve">. </w:t>
      </w:r>
      <w:r>
        <w:rPr>
          <w:rFonts w:hint="eastAsia" w:ascii="Times New Roman" w:hAnsi="Times New Roman" w:eastAsia="Arial-BoldMT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>Model performance at the two centers in prospective validation.</w:t>
      </w:r>
      <w:r>
        <w:rPr>
          <w:rFonts w:hint="eastAsia" w:ascii="Times New Roman" w:hAnsi="Times New Roman" w:eastAsia="Arial-BoldMT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ab/>
      </w:r>
    </w:p>
    <w:p w14:paraId="5C9F07EB">
      <w:pPr>
        <w:rPr>
          <w:rFonts w:hint="default" w:ascii="Times New Roman" w:hAnsi="Times New Roman" w:eastAsia="Arial-BoldMT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</w:pPr>
    </w:p>
    <w:p w14:paraId="07C8B796">
      <w:pPr>
        <w:rPr>
          <w:rFonts w:hint="default" w:ascii="Times New Roman" w:hAnsi="Times New Roman" w:eastAsia="Arial-BoldMT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default" w:ascii="Times New Roman" w:hAnsi="Times New Roman" w:eastAsia="Arial-BoldMT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drawing>
          <wp:inline distT="0" distB="0" distL="114300" distR="114300">
            <wp:extent cx="2853690" cy="2556510"/>
            <wp:effectExtent l="0" t="0" r="3810" b="8890"/>
            <wp:docPr id="5" name="图片 5" descr="Prospective_validation_RO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Prospective_validation_ROC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53690" cy="255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3AA92D">
      <w:pPr>
        <w:rPr>
          <w:rFonts w:hint="default" w:eastAsiaTheme="minorEastAsia"/>
          <w:highlight w:val="none"/>
          <w:lang w:val="en-US" w:eastAsia="zh-CN"/>
        </w:rPr>
      </w:pP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-Bold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Medical Imaging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wttr2p5fvsra7ed2aapvdvlvwfx0t9pxevf&quot;&gt;My EndNote Library&lt;record-ids&gt;&lt;item&gt;33&lt;/item&gt;&lt;/record-ids&gt;&lt;/item&gt;&lt;/Libraries&gt;"/>
  </w:docVars>
  <w:rsids>
    <w:rsidRoot w:val="00000000"/>
    <w:rsid w:val="01043573"/>
    <w:rsid w:val="0EBB2865"/>
    <w:rsid w:val="0EDE7624"/>
    <w:rsid w:val="16D80CF5"/>
    <w:rsid w:val="1EC64945"/>
    <w:rsid w:val="20E0703E"/>
    <w:rsid w:val="2168773E"/>
    <w:rsid w:val="23003975"/>
    <w:rsid w:val="2CB61A9B"/>
    <w:rsid w:val="318E43F6"/>
    <w:rsid w:val="322B19A5"/>
    <w:rsid w:val="327E42E0"/>
    <w:rsid w:val="34D22190"/>
    <w:rsid w:val="35111DA2"/>
    <w:rsid w:val="365F06AF"/>
    <w:rsid w:val="38034F38"/>
    <w:rsid w:val="3BF04057"/>
    <w:rsid w:val="42DE55DB"/>
    <w:rsid w:val="46F36951"/>
    <w:rsid w:val="4ED92382"/>
    <w:rsid w:val="53A474D8"/>
    <w:rsid w:val="53FC0283"/>
    <w:rsid w:val="55A9308F"/>
    <w:rsid w:val="55F83586"/>
    <w:rsid w:val="56A554E4"/>
    <w:rsid w:val="59C16C5B"/>
    <w:rsid w:val="5EF47DCE"/>
    <w:rsid w:val="65E63183"/>
    <w:rsid w:val="68310E83"/>
    <w:rsid w:val="70361AE0"/>
    <w:rsid w:val="735D4844"/>
    <w:rsid w:val="74546BF4"/>
    <w:rsid w:val="76AE24B4"/>
    <w:rsid w:val="7B5A1010"/>
    <w:rsid w:val="7E5B5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  <w:style w:type="paragraph" w:customStyle="1" w:styleId="7">
    <w:name w:val="EndNote Bibliography Title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jc w:val="center"/>
    </w:pPr>
    <w:rPr>
      <w:rFonts w:ascii="Calibri" w:hAnsi="Calibri" w:cs="Calibri" w:eastAsiaTheme="minorEastAsia"/>
      <w:kern w:val="2"/>
      <w:sz w:val="20"/>
      <w:szCs w:val="24"/>
      <w:lang w:val="en-US" w:eastAsia="zh-CN" w:bidi="ar-SA"/>
    </w:rPr>
  </w:style>
  <w:style w:type="paragraph" w:customStyle="1" w:styleId="8">
    <w:name w:val="EndNote Bibliography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jc w:val="both"/>
    </w:pPr>
    <w:rPr>
      <w:rFonts w:ascii="Calibri" w:hAnsi="Calibri" w:cs="Calibri" w:eastAsiaTheme="minorEastAsia"/>
      <w:kern w:val="2"/>
      <w:sz w:val="20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829</Words>
  <Characters>4997</Characters>
  <Lines>0</Lines>
  <Paragraphs>0</Paragraphs>
  <TotalTime>1</TotalTime>
  <ScaleCrop>false</ScaleCrop>
  <LinksUpToDate>false</LinksUpToDate>
  <CharactersWithSpaces>5773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2026-04-07T13:17:00Z</dcterms:created>
  <dc:creator>YYH</dc:creator>
  <cp:lastModifiedBy>半生流离ぶ</cp:lastModifiedBy>
  <dcterms:modified xsi:type="dcterms:W3CDTF">2026-08-26T03:22:53Z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eyJoZGlkIjoiZWNkMGU0ZDVjZWI4ZTViZDI4MWRiOWNkMjY3YmQ0YTAiLCJ1c2VySWQiOiI4MTM0MDg3NzIifQ==</vt:lpwstr>
  </property>
  <property fmtid="{D5CDD505-2E9C-101B-9397-08002B2CF9AE}" pid="4" name="ICV">
    <vt:lpwstr>CA0C29AFB4074486A407F073CE9BBD10_12</vt:lpwstr>
  </property>
</Properties>
</file>