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AE8" w:rsidRPr="00ED5EA0" w:rsidRDefault="00ED5EA0">
      <w:pPr>
        <w:pStyle w:val="KonuBal"/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Supplementary Material</w:t>
      </w:r>
    </w:p>
    <w:p w:rsidR="000A0AE8" w:rsidRPr="00ED5EA0" w:rsidRDefault="00ED5EA0">
      <w:pPr>
        <w:jc w:val="center"/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Association Between Waist-to-Hip Ratio and Radiation Dose Metrics in Coronary CT Angiography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Table S1. Pearson correlations between anthropometric indices and dose/scan variables.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1872"/>
        <w:gridCol w:w="1872"/>
        <w:gridCol w:w="1872"/>
        <w:gridCol w:w="1872"/>
      </w:tblGrid>
      <w:tr w:rsidR="000A0AE8" w:rsidRPr="00ED5EA0" w:rsidTr="00ED5EA0">
        <w:trPr>
          <w:jc w:val="center"/>
        </w:trPr>
        <w:tc>
          <w:tcPr>
            <w:tcW w:w="2448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Anthropometric index</w:t>
            </w:r>
          </w:p>
        </w:tc>
        <w:tc>
          <w:tcPr>
            <w:tcW w:w="187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Cardiac CTDIvol</w:t>
            </w:r>
          </w:p>
        </w:tc>
        <w:tc>
          <w:tcPr>
            <w:tcW w:w="187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Cardiac DLP</w:t>
            </w:r>
          </w:p>
        </w:tc>
        <w:tc>
          <w:tcPr>
            <w:tcW w:w="187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Total DLP</w:t>
            </w:r>
          </w:p>
        </w:tc>
        <w:tc>
          <w:tcPr>
            <w:tcW w:w="187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Scan length</w:t>
            </w:r>
          </w:p>
        </w:tc>
      </w:tr>
      <w:tr w:rsidR="000A0AE8" w:rsidRPr="00ED5EA0">
        <w:trPr>
          <w:jc w:val="center"/>
        </w:trPr>
        <w:tc>
          <w:tcPr>
            <w:tcW w:w="244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+0.06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-0.21*</w:t>
            </w:r>
          </w:p>
        </w:tc>
      </w:tr>
      <w:tr w:rsidR="000A0AE8" w:rsidRPr="00ED5EA0">
        <w:trPr>
          <w:jc w:val="center"/>
        </w:trPr>
        <w:tc>
          <w:tcPr>
            <w:tcW w:w="244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Waist circumference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+0.06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-0.18*</w:t>
            </w:r>
          </w:p>
        </w:tc>
      </w:tr>
      <w:tr w:rsidR="000A0AE8" w:rsidRPr="00ED5EA0">
        <w:trPr>
          <w:jc w:val="center"/>
        </w:trPr>
        <w:tc>
          <w:tcPr>
            <w:tcW w:w="244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Hip circumference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+0.08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+0.08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+0.11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+0.01</w:t>
            </w:r>
          </w:p>
        </w:tc>
      </w:tr>
      <w:tr w:rsidR="000A0AE8" w:rsidRPr="00ED5EA0">
        <w:trPr>
          <w:jc w:val="center"/>
        </w:trPr>
        <w:tc>
          <w:tcPr>
            <w:tcW w:w="244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BSA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+0.12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+0.17*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+0.21*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+0.12</w:t>
            </w:r>
          </w:p>
        </w:tc>
      </w:tr>
      <w:tr w:rsidR="000A0AE8" w:rsidRPr="00ED5EA0">
        <w:trPr>
          <w:jc w:val="center"/>
        </w:trPr>
        <w:tc>
          <w:tcPr>
            <w:tcW w:w="244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WHR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+0.00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-0.19*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-0.29***</w:t>
            </w:r>
          </w:p>
        </w:tc>
      </w:tr>
      <w:tr w:rsidR="000A0AE8" w:rsidRPr="00ED5EA0">
        <w:trPr>
          <w:jc w:val="center"/>
        </w:trPr>
        <w:tc>
          <w:tcPr>
            <w:tcW w:w="244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WHtR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+0.01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-0.20*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-0.17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-0.34***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Values are Pearson r. * p &lt; 0.05; ** p &lt; 0.01; *** p &lt; 0.001.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Table S2. Mediation sensitivity analysis additionally adjusted for pre-scan heart rate and beta-blocker exposure.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2592"/>
        <w:gridCol w:w="2592"/>
      </w:tblGrid>
      <w:tr w:rsidR="000A0AE8" w:rsidRPr="00ED5EA0" w:rsidTr="00ED5EA0">
        <w:trPr>
          <w:jc w:val="center"/>
        </w:trPr>
        <w:tc>
          <w:tcPr>
            <w:tcW w:w="4608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Path / quantity</w:t>
            </w:r>
          </w:p>
        </w:tc>
        <w:tc>
          <w:tcPr>
            <w:tcW w:w="259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</w:p>
        </w:tc>
        <w:tc>
          <w:tcPr>
            <w:tcW w:w="259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Bootstrap 95% CI</w:t>
            </w:r>
          </w:p>
        </w:tc>
      </w:tr>
      <w:tr w:rsidR="000A0AE8" w:rsidRPr="00ED5EA0">
        <w:trPr>
          <w:jc w:val="center"/>
        </w:trPr>
        <w:tc>
          <w:tcPr>
            <w:tcW w:w="460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a path: WHR (per 0.1) →</w:t>
            </w: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 xml:space="preserve"> scan length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-0.67 cm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0A0AE8" w:rsidRPr="00ED5EA0">
        <w:trPr>
          <w:jc w:val="center"/>
        </w:trPr>
        <w:tc>
          <w:tcPr>
            <w:tcW w:w="460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b path: scan length → cardiac DLP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45.21 mGy·cm/cm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0A0AE8" w:rsidRPr="00ED5EA0">
        <w:trPr>
          <w:jc w:val="center"/>
        </w:trPr>
        <w:tc>
          <w:tcPr>
            <w:tcW w:w="460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Total effect (c)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-28.27 mGy·cm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0A0AE8" w:rsidRPr="00ED5EA0">
        <w:trPr>
          <w:jc w:val="center"/>
        </w:trPr>
        <w:tc>
          <w:tcPr>
            <w:tcW w:w="460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Direct effect (c′)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2.09 mGy·cm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0A0AE8" w:rsidRPr="00ED5EA0">
        <w:trPr>
          <w:jc w:val="center"/>
        </w:trPr>
        <w:tc>
          <w:tcPr>
            <w:tcW w:w="460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Indirect effect (a×b)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-30.36 mGy·cm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-45.65 to -16.40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 xml:space="preserve">The sensitivity model adjusted for BSA, age, sex, </w:t>
      </w:r>
      <w:r w:rsidRPr="00ED5EA0">
        <w:rPr>
          <w:rFonts w:ascii="Times New Roman" w:hAnsi="Times New Roman" w:cs="Times New Roman"/>
          <w:sz w:val="24"/>
          <w:szCs w:val="24"/>
        </w:rPr>
        <w:t>pre-scan heart rate, and any beta-blocker administration. The indirect effect was estimated with 10,000 bootstrap resamples. Because the residual direct effect changed sign, the ratio-based proportion mediated exceeded 100% and was not interpreted.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</w:t>
      </w:r>
      <w:r w:rsidRPr="00ED5EA0">
        <w:rPr>
          <w:rFonts w:ascii="Times New Roman" w:hAnsi="Times New Roman" w:cs="Times New Roman"/>
          <w:b/>
          <w:sz w:val="24"/>
          <w:szCs w:val="24"/>
        </w:rPr>
        <w:t>entary Table S3. WHR-by-sex interaction analyses and sex-stratified WHR estimates.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2592"/>
        <w:gridCol w:w="2592"/>
        <w:gridCol w:w="1296"/>
      </w:tblGrid>
      <w:tr w:rsidR="000A0AE8" w:rsidRPr="00ED5EA0" w:rsidTr="00ED5EA0">
        <w:trPr>
          <w:jc w:val="center"/>
        </w:trPr>
        <w:tc>
          <w:tcPr>
            <w:tcW w:w="3168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259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WHR×male interaction B</w:t>
            </w:r>
          </w:p>
        </w:tc>
        <w:tc>
          <w:tcPr>
            <w:tcW w:w="259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296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A0AE8" w:rsidRPr="00ED5EA0">
        <w:trPr>
          <w:jc w:val="center"/>
        </w:trPr>
        <w:tc>
          <w:tcPr>
            <w:tcW w:w="316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CTDIvol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-1.34 to 2.85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</w:tr>
      <w:tr w:rsidR="000A0AE8" w:rsidRPr="00ED5EA0">
        <w:trPr>
          <w:jc w:val="center"/>
        </w:trPr>
        <w:tc>
          <w:tcPr>
            <w:tcW w:w="316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-40.36 to 46.73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</w:tr>
      <w:tr w:rsidR="000A0AE8" w:rsidRPr="00ED5EA0">
        <w:trPr>
          <w:jc w:val="center"/>
        </w:trPr>
        <w:tc>
          <w:tcPr>
            <w:tcW w:w="316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Total DLP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7.51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-40.21 to 55.23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0.756</w:t>
            </w:r>
          </w:p>
        </w:tc>
      </w:tr>
      <w:tr w:rsidR="000A0AE8" w:rsidRPr="00ED5EA0">
        <w:trPr>
          <w:jc w:val="center"/>
        </w:trPr>
        <w:tc>
          <w:tcPr>
            <w:tcW w:w="316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Scan length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-0.80 to 0.44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0.560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No interaction term was statistically significant.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22"/>
        <w:gridCol w:w="2538"/>
        <w:gridCol w:w="849"/>
        <w:gridCol w:w="1971"/>
        <w:gridCol w:w="2523"/>
        <w:gridCol w:w="1137"/>
      </w:tblGrid>
      <w:tr w:rsidR="000A0AE8" w:rsidRPr="00ED5EA0" w:rsidTr="00ED5EA0">
        <w:trPr>
          <w:jc w:val="center"/>
        </w:trPr>
        <w:tc>
          <w:tcPr>
            <w:tcW w:w="144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259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864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2016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B per 0.1 WHR</w:t>
            </w:r>
          </w:p>
        </w:tc>
        <w:tc>
          <w:tcPr>
            <w:tcW w:w="259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15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A0AE8" w:rsidRPr="00ED5EA0">
        <w:trPr>
          <w:jc w:val="center"/>
        </w:trPr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</w:t>
            </w:r>
          </w:p>
        </w:tc>
        <w:tc>
          <w:tcPr>
            <w:tcW w:w="86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-31.03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-65.17 to 3.11</w:t>
            </w:r>
          </w:p>
        </w:tc>
        <w:tc>
          <w:tcPr>
            <w:tcW w:w="115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</w:tr>
      <w:tr w:rsidR="000A0AE8" w:rsidRPr="00ED5EA0">
        <w:trPr>
          <w:jc w:val="center"/>
        </w:trPr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Scan length</w:t>
            </w:r>
          </w:p>
        </w:tc>
        <w:tc>
          <w:tcPr>
            <w:tcW w:w="86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-0.60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-1.10 to -0.10</w:t>
            </w:r>
          </w:p>
        </w:tc>
        <w:tc>
          <w:tcPr>
            <w:tcW w:w="115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0A0AE8" w:rsidRPr="00ED5EA0">
        <w:trPr>
          <w:jc w:val="center"/>
        </w:trPr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</w:t>
            </w:r>
          </w:p>
        </w:tc>
        <w:tc>
          <w:tcPr>
            <w:tcW w:w="86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-27.22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-60.22 to 5.79</w:t>
            </w:r>
          </w:p>
        </w:tc>
        <w:tc>
          <w:tcPr>
            <w:tcW w:w="115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</w:tr>
      <w:tr w:rsidR="000A0AE8" w:rsidRPr="00ED5EA0">
        <w:trPr>
          <w:jc w:val="center"/>
        </w:trPr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Scan length</w:t>
            </w:r>
          </w:p>
        </w:tc>
        <w:tc>
          <w:tcPr>
            <w:tcW w:w="86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259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-1.24 to -0.34</w:t>
            </w:r>
          </w:p>
        </w:tc>
        <w:tc>
          <w:tcPr>
            <w:tcW w:w="115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Sex-stratified models adjusted for BSA, age, pre-scan heart rate, and beta-blocker exposure.</w:t>
      </w:r>
    </w:p>
    <w:p w:rsidR="00ED5EA0" w:rsidRDefault="00ED5EA0">
      <w:pPr>
        <w:rPr>
          <w:rFonts w:ascii="Times New Roman" w:hAnsi="Times New Roman" w:cs="Times New Roman"/>
          <w:b/>
          <w:sz w:val="24"/>
          <w:szCs w:val="24"/>
        </w:rPr>
      </w:pP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5EA0">
        <w:rPr>
          <w:rFonts w:ascii="Times New Roman" w:hAnsi="Times New Roman" w:cs="Times New Roman"/>
          <w:b/>
          <w:sz w:val="24"/>
          <w:szCs w:val="24"/>
        </w:rPr>
        <w:lastRenderedPageBreak/>
        <w:t>Supplementary Table S4. Regression assumption and influence diagnostics.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1316"/>
        <w:gridCol w:w="1416"/>
        <w:gridCol w:w="1186"/>
        <w:gridCol w:w="1186"/>
        <w:gridCol w:w="1711"/>
        <w:gridCol w:w="1301"/>
      </w:tblGrid>
      <w:tr w:rsidR="000A0AE8" w:rsidRPr="00ED5EA0" w:rsidTr="00ED5EA0">
        <w:trPr>
          <w:jc w:val="center"/>
        </w:trPr>
        <w:tc>
          <w:tcPr>
            <w:tcW w:w="288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144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Shapiro-Wilk p</w:t>
            </w:r>
          </w:p>
        </w:tc>
        <w:tc>
          <w:tcPr>
            <w:tcW w:w="1584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Breusch-Pagan p</w:t>
            </w:r>
          </w:p>
        </w:tc>
        <w:tc>
          <w:tcPr>
            <w:tcW w:w="144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Max Cook D</w:t>
            </w:r>
          </w:p>
        </w:tc>
        <w:tc>
          <w:tcPr>
            <w:tcW w:w="144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Cook D &gt;4/n</w:t>
            </w:r>
          </w:p>
        </w:tc>
        <w:tc>
          <w:tcPr>
            <w:tcW w:w="187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|studentized residual| &gt;3</w:t>
            </w:r>
          </w:p>
        </w:tc>
        <w:tc>
          <w:tcPr>
            <w:tcW w:w="144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Max leverage</w:t>
            </w:r>
          </w:p>
        </w:tc>
      </w:tr>
      <w:tr w:rsidR="000A0AE8" w:rsidRPr="00ED5EA0">
        <w:trPr>
          <w:jc w:val="center"/>
        </w:trPr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CTDIvol</w:t>
            </w:r>
          </w:p>
        </w:tc>
        <w:tc>
          <w:tcPr>
            <w:tcW w:w="1440" w:type="dxa"/>
            <w:vAlign w:val="center"/>
          </w:tcPr>
          <w:p w:rsidR="000A0AE8" w:rsidRPr="00ED5EA0" w:rsidRDefault="00CB7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58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0.260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</w:tr>
      <w:tr w:rsidR="000A0AE8" w:rsidRPr="00ED5EA0">
        <w:trPr>
          <w:jc w:val="center"/>
        </w:trPr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0.114</w:t>
            </w:r>
          </w:p>
        </w:tc>
        <w:tc>
          <w:tcPr>
            <w:tcW w:w="158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0.278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</w:tr>
      <w:tr w:rsidR="000A0AE8" w:rsidRPr="00ED5EA0">
        <w:trPr>
          <w:jc w:val="center"/>
        </w:trPr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Total examination DLP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  <w:tc>
          <w:tcPr>
            <w:tcW w:w="158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</w:tr>
      <w:tr w:rsidR="000A0AE8" w:rsidRPr="00ED5EA0">
        <w:trPr>
          <w:jc w:val="center"/>
        </w:trPr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CCTA scan length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158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</w:tr>
      <w:tr w:rsidR="000A0AE8" w:rsidRPr="00ED5EA0">
        <w:trPr>
          <w:jc w:val="center"/>
        </w:trPr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 xml:space="preserve">Cardiac </w:t>
            </w: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DLP + scan length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584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0.353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0.132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Variance inflation factors were &lt;1.8 in all reported models. Cook’s distance thresholds are heuristic; no observation had Cook’s D &gt;1.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Table S5. HC3 heteroscedasticity-robust sensitivity analysi</w:t>
      </w:r>
      <w:r w:rsidRPr="00ED5EA0">
        <w:rPr>
          <w:rFonts w:ascii="Times New Roman" w:hAnsi="Times New Roman" w:cs="Times New Roman"/>
          <w:b/>
          <w:sz w:val="24"/>
          <w:szCs w:val="24"/>
        </w:rPr>
        <w:t>s for the WHR coefficient.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2016"/>
        <w:gridCol w:w="2880"/>
        <w:gridCol w:w="1440"/>
      </w:tblGrid>
      <w:tr w:rsidR="000A0AE8" w:rsidRPr="00ED5EA0" w:rsidTr="00ED5EA0">
        <w:trPr>
          <w:jc w:val="center"/>
        </w:trPr>
        <w:tc>
          <w:tcPr>
            <w:tcW w:w="3456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Outcome / model</w:t>
            </w:r>
          </w:p>
        </w:tc>
        <w:tc>
          <w:tcPr>
            <w:tcW w:w="2016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WHR B per 0.1</w:t>
            </w:r>
          </w:p>
        </w:tc>
        <w:tc>
          <w:tcPr>
            <w:tcW w:w="288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HC3 95% CI</w:t>
            </w:r>
          </w:p>
        </w:tc>
        <w:tc>
          <w:tcPr>
            <w:tcW w:w="144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HC3 p</w:t>
            </w:r>
          </w:p>
        </w:tc>
      </w:tr>
      <w:tr w:rsidR="000A0AE8" w:rsidRPr="00ED5EA0">
        <w:trPr>
          <w:jc w:val="center"/>
        </w:trPr>
        <w:tc>
          <w:tcPr>
            <w:tcW w:w="345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CTDIvol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-1.09 to 1.46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0.775</w:t>
            </w:r>
          </w:p>
        </w:tc>
      </w:tr>
      <w:tr w:rsidR="000A0AE8" w:rsidRPr="00ED5EA0">
        <w:trPr>
          <w:jc w:val="center"/>
        </w:trPr>
        <w:tc>
          <w:tcPr>
            <w:tcW w:w="345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-28.27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-54.70 to -1.84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0A0AE8" w:rsidRPr="00ED5EA0">
        <w:trPr>
          <w:jc w:val="center"/>
        </w:trPr>
        <w:tc>
          <w:tcPr>
            <w:tcW w:w="345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Total examination DLP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-27.83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-56.28 to 0.63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0A0AE8" w:rsidRPr="00ED5EA0">
        <w:trPr>
          <w:jc w:val="center"/>
        </w:trPr>
        <w:tc>
          <w:tcPr>
            <w:tcW w:w="345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CCTA scan length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-0.67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-0.99 to -0.35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0A0AE8" w:rsidRPr="00ED5EA0">
        <w:trPr>
          <w:jc w:val="center"/>
        </w:trPr>
        <w:tc>
          <w:tcPr>
            <w:tcW w:w="345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 + scan length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-19.48 to 23.66</w:t>
            </w:r>
          </w:p>
        </w:tc>
        <w:tc>
          <w:tcPr>
            <w:tcW w:w="144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0.849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The WHR associations with cardiac DLP and scan length remained statistically significant with HC3 robust inference; the total-examination DLP association became borderline (p = 0.055). WHR remained null</w:t>
      </w:r>
      <w:r w:rsidRPr="00ED5EA0">
        <w:rPr>
          <w:rFonts w:ascii="Times New Roman" w:hAnsi="Times New Roman" w:cs="Times New Roman"/>
          <w:sz w:val="24"/>
          <w:szCs w:val="24"/>
        </w:rPr>
        <w:t xml:space="preserve"> after scan-length adjustment.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Table S6. Extreme-BMI verification and sensitivity analysis.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24"/>
        <w:gridCol w:w="2118"/>
        <w:gridCol w:w="2814"/>
        <w:gridCol w:w="1284"/>
      </w:tblGrid>
      <w:tr w:rsidR="000A0AE8" w:rsidRPr="00ED5EA0" w:rsidTr="00ED5EA0">
        <w:trPr>
          <w:jc w:val="center"/>
        </w:trPr>
        <w:tc>
          <w:tcPr>
            <w:tcW w:w="432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Outcome / model after excluding BMI 52.6 case</w:t>
            </w:r>
          </w:p>
        </w:tc>
        <w:tc>
          <w:tcPr>
            <w:tcW w:w="216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WHR B per 0.1</w:t>
            </w:r>
          </w:p>
        </w:tc>
        <w:tc>
          <w:tcPr>
            <w:tcW w:w="288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296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A0AE8" w:rsidRPr="00ED5EA0">
        <w:trPr>
          <w:jc w:val="center"/>
        </w:trPr>
        <w:tc>
          <w:tcPr>
            <w:tcW w:w="432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CTDIvol</w:t>
            </w:r>
          </w:p>
        </w:tc>
        <w:tc>
          <w:tcPr>
            <w:tcW w:w="216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-0.86 to 1.32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0.678</w:t>
            </w:r>
          </w:p>
        </w:tc>
      </w:tr>
      <w:tr w:rsidR="000A0AE8" w:rsidRPr="00ED5EA0">
        <w:trPr>
          <w:jc w:val="center"/>
        </w:trPr>
        <w:tc>
          <w:tcPr>
            <w:tcW w:w="432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</w:t>
            </w:r>
          </w:p>
        </w:tc>
        <w:tc>
          <w:tcPr>
            <w:tcW w:w="216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-27.88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-50.58 to -5.17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0A0AE8" w:rsidRPr="00ED5EA0">
        <w:trPr>
          <w:jc w:val="center"/>
        </w:trPr>
        <w:tc>
          <w:tcPr>
            <w:tcW w:w="432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Total DLP</w:t>
            </w:r>
          </w:p>
        </w:tc>
        <w:tc>
          <w:tcPr>
            <w:tcW w:w="216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-26.77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-51.64 to -1.90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0A0AE8" w:rsidRPr="00ED5EA0">
        <w:trPr>
          <w:jc w:val="center"/>
        </w:trPr>
        <w:tc>
          <w:tcPr>
            <w:tcW w:w="432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Scan length</w:t>
            </w:r>
          </w:p>
        </w:tc>
        <w:tc>
          <w:tcPr>
            <w:tcW w:w="216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-1.00 to -0.35</w:t>
            </w:r>
          </w:p>
        </w:tc>
        <w:tc>
          <w:tcPr>
            <w:tcW w:w="1296" w:type="dxa"/>
            <w:vAlign w:val="center"/>
          </w:tcPr>
          <w:p w:rsidR="000A0AE8" w:rsidRPr="00ED5EA0" w:rsidRDefault="00CB7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0A0AE8" w:rsidRPr="00ED5EA0">
        <w:trPr>
          <w:jc w:val="center"/>
        </w:trPr>
        <w:tc>
          <w:tcPr>
            <w:tcW w:w="432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Cardiac DLP scan-adjusted</w:t>
            </w:r>
          </w:p>
        </w:tc>
        <w:tc>
          <w:tcPr>
            <w:tcW w:w="216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2.74</w:t>
            </w:r>
          </w:p>
        </w:tc>
        <w:tc>
          <w:tcPr>
            <w:tcW w:w="288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-15.85 to 21.33</w:t>
            </w:r>
          </w:p>
        </w:tc>
        <w:tc>
          <w:tcPr>
            <w:tcW w:w="129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 xml:space="preserve">The extreme BMI observation was source-verified as 120 kg and 151 cm (BMI 52.6 kg/m²). Its Cook’s D was &lt;0.006 in </w:t>
      </w:r>
      <w:r w:rsidRPr="00ED5EA0">
        <w:rPr>
          <w:rFonts w:ascii="Times New Roman" w:hAnsi="Times New Roman" w:cs="Times New Roman"/>
          <w:sz w:val="24"/>
          <w:szCs w:val="24"/>
        </w:rPr>
        <w:t>each primary model, and exclusion did not materially change the study conclusions.</w:t>
      </w:r>
    </w:p>
    <w:p w:rsidR="00ED5EA0" w:rsidRDefault="00ED5EA0">
      <w:pPr>
        <w:rPr>
          <w:rFonts w:ascii="Times New Roman" w:hAnsi="Times New Roman" w:cs="Times New Roman"/>
          <w:b/>
          <w:sz w:val="24"/>
          <w:szCs w:val="24"/>
        </w:rPr>
      </w:pPr>
    </w:p>
    <w:p w:rsidR="00ED5EA0" w:rsidRDefault="00ED5EA0">
      <w:pPr>
        <w:rPr>
          <w:rFonts w:ascii="Times New Roman" w:hAnsi="Times New Roman" w:cs="Times New Roman"/>
          <w:b/>
          <w:sz w:val="24"/>
          <w:szCs w:val="24"/>
        </w:rPr>
      </w:pPr>
    </w:p>
    <w:p w:rsidR="00ED5EA0" w:rsidRDefault="00ED5EA0">
      <w:pPr>
        <w:rPr>
          <w:rFonts w:ascii="Times New Roman" w:hAnsi="Times New Roman" w:cs="Times New Roman"/>
          <w:b/>
          <w:sz w:val="24"/>
          <w:szCs w:val="24"/>
        </w:rPr>
      </w:pPr>
    </w:p>
    <w:p w:rsidR="00ED5EA0" w:rsidRDefault="00ED5EA0">
      <w:pPr>
        <w:rPr>
          <w:rFonts w:ascii="Times New Roman" w:hAnsi="Times New Roman" w:cs="Times New Roman"/>
          <w:b/>
          <w:sz w:val="24"/>
          <w:szCs w:val="24"/>
        </w:rPr>
      </w:pPr>
    </w:p>
    <w:p w:rsidR="00ED5EA0" w:rsidRDefault="00ED5EA0">
      <w:pPr>
        <w:rPr>
          <w:rFonts w:ascii="Times New Roman" w:hAnsi="Times New Roman" w:cs="Times New Roman"/>
          <w:b/>
          <w:sz w:val="24"/>
          <w:szCs w:val="24"/>
        </w:rPr>
      </w:pPr>
    </w:p>
    <w:p w:rsidR="00ED5EA0" w:rsidRDefault="00ED5EA0">
      <w:pPr>
        <w:rPr>
          <w:rFonts w:ascii="Times New Roman" w:hAnsi="Times New Roman" w:cs="Times New Roman"/>
          <w:b/>
          <w:sz w:val="24"/>
          <w:szCs w:val="24"/>
        </w:rPr>
      </w:pP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Table S7. Available characteristics of included participants and seven excluded technically inadequate/non-diagnostic examinations.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21"/>
        <w:gridCol w:w="686"/>
        <w:gridCol w:w="1761"/>
        <w:gridCol w:w="1547"/>
        <w:gridCol w:w="1772"/>
        <w:gridCol w:w="1853"/>
      </w:tblGrid>
      <w:tr w:rsidR="000A0AE8" w:rsidRPr="00ED5EA0" w:rsidTr="00ED5EA0">
        <w:trPr>
          <w:jc w:val="center"/>
        </w:trPr>
        <w:tc>
          <w:tcPr>
            <w:tcW w:w="3312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72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2016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Age (years)</w:t>
            </w:r>
          </w:p>
        </w:tc>
        <w:tc>
          <w:tcPr>
            <w:tcW w:w="1728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Men / w</w:t>
            </w: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omen</w:t>
            </w:r>
          </w:p>
        </w:tc>
        <w:tc>
          <w:tcPr>
            <w:tcW w:w="2016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BMI (kg/m²)</w:t>
            </w:r>
          </w:p>
        </w:tc>
        <w:tc>
          <w:tcPr>
            <w:tcW w:w="2160" w:type="dxa"/>
            <w:shd w:val="clear" w:color="auto" w:fill="auto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b/>
                <w:sz w:val="24"/>
                <w:szCs w:val="24"/>
              </w:rPr>
              <w:t>Pre-scan HR (bpm)</w:t>
            </w:r>
          </w:p>
        </w:tc>
      </w:tr>
      <w:tr w:rsidR="000A0AE8" w:rsidRPr="00ED5EA0">
        <w:trPr>
          <w:jc w:val="center"/>
        </w:trPr>
        <w:tc>
          <w:tcPr>
            <w:tcW w:w="331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Included cohort</w:t>
            </w:r>
          </w:p>
        </w:tc>
        <w:tc>
          <w:tcPr>
            <w:tcW w:w="72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52.2 ± 10.6</w:t>
            </w:r>
          </w:p>
        </w:tc>
        <w:tc>
          <w:tcPr>
            <w:tcW w:w="172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81 / 53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28.2 ± 4.4</w:t>
            </w:r>
          </w:p>
        </w:tc>
        <w:tc>
          <w:tcPr>
            <w:tcW w:w="216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65.2 ± 7.3</w:t>
            </w:r>
          </w:p>
        </w:tc>
      </w:tr>
      <w:tr w:rsidR="000A0AE8" w:rsidRPr="00ED5EA0">
        <w:trPr>
          <w:jc w:val="center"/>
        </w:trPr>
        <w:tc>
          <w:tcPr>
            <w:tcW w:w="3312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Excluded non-diagnostic group</w:t>
            </w:r>
          </w:p>
        </w:tc>
        <w:tc>
          <w:tcPr>
            <w:tcW w:w="72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50.7 ± 7.7</w:t>
            </w:r>
          </w:p>
        </w:tc>
        <w:tc>
          <w:tcPr>
            <w:tcW w:w="1728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4 / 3</w:t>
            </w:r>
          </w:p>
        </w:tc>
        <w:tc>
          <w:tcPr>
            <w:tcW w:w="2016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30.6 ± 4.4</w:t>
            </w:r>
          </w:p>
        </w:tc>
        <w:tc>
          <w:tcPr>
            <w:tcW w:w="2160" w:type="dxa"/>
            <w:vAlign w:val="center"/>
          </w:tcPr>
          <w:p w:rsidR="000A0AE8" w:rsidRPr="00ED5EA0" w:rsidRDefault="00ED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A0">
              <w:rPr>
                <w:rFonts w:ascii="Times New Roman" w:hAnsi="Times New Roman" w:cs="Times New Roman"/>
                <w:sz w:val="24"/>
                <w:szCs w:val="24"/>
              </w:rPr>
              <w:t>66.6 ± 8.7</w:t>
            </w:r>
          </w:p>
        </w:tc>
      </w:tr>
    </w:tbl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 xml:space="preserve">Values are mean ± SD or counts. Available characteristics were summarized </w:t>
      </w:r>
      <w:r w:rsidRPr="00ED5EA0">
        <w:rPr>
          <w:rFonts w:ascii="Times New Roman" w:hAnsi="Times New Roman" w:cs="Times New Roman"/>
          <w:sz w:val="24"/>
          <w:szCs w:val="24"/>
        </w:rPr>
        <w:t>descriptively; no inferential comparison was performed because only seven examinations were excluded for technical/non-diagnostic reasons and complete WHR/imaging variables were unavailable for these cases.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Note S1. Dose-report verification.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sz w:val="24"/>
          <w:szCs w:val="24"/>
        </w:rPr>
        <w:t>All 134 scanner-generated dose reports were source-audited. Cardiac CTDIvol and cardiac DLP were extracted from the Cardiac Helical event; total examination DLP was reconciled against the sum of all cine, axial, and cardiac-helical DLP components. The comp</w:t>
      </w:r>
      <w:r w:rsidRPr="00ED5EA0">
        <w:rPr>
          <w:rFonts w:ascii="Times New Roman" w:hAnsi="Times New Roman" w:cs="Times New Roman"/>
          <w:sz w:val="24"/>
          <w:szCs w:val="24"/>
        </w:rPr>
        <w:t>onent sum agreed with the scanner-reported total within rounding tolerance in every examination. The Cardiac Helical event used the Body 32-cm phantom in all 134 examinations.</w:t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Figure S1. Representative anonymized scanner-generated dose report</w:t>
      </w:r>
      <w:r w:rsidRPr="00ED5EA0">
        <w:rPr>
          <w:rFonts w:ascii="Times New Roman" w:hAnsi="Times New Roman" w:cs="Times New Roman"/>
          <w:b/>
          <w:sz w:val="24"/>
          <w:szCs w:val="24"/>
        </w:rPr>
        <w:t xml:space="preserve"> showing cine, axial, and Cardiac Helical events, event-specific CTDIvol and DLP values, the 32-cm body phantom reference, and total examination DLP.</w:t>
      </w:r>
    </w:p>
    <w:p w:rsidR="000A0AE8" w:rsidRPr="00ED5EA0" w:rsidRDefault="00ED5EA0">
      <w:pPr>
        <w:jc w:val="center"/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52160" cy="19086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 report 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90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AE8" w:rsidRPr="00ED5EA0" w:rsidRDefault="00ED5EA0">
      <w:pPr>
        <w:rPr>
          <w:rFonts w:ascii="Times New Roman" w:hAnsi="Times New Roman" w:cs="Times New Roman"/>
          <w:sz w:val="24"/>
          <w:szCs w:val="24"/>
        </w:rPr>
      </w:pPr>
      <w:r w:rsidRPr="00ED5EA0">
        <w:rPr>
          <w:rFonts w:ascii="Times New Roman" w:hAnsi="Times New Roman" w:cs="Times New Roman"/>
          <w:b/>
          <w:sz w:val="24"/>
          <w:szCs w:val="24"/>
        </w:rPr>
        <w:t>Supplementary Figure S2. Quantile-quantile plots of regression residuals for the primary CTDIvol, cardia</w:t>
      </w:r>
      <w:r w:rsidRPr="00ED5EA0">
        <w:rPr>
          <w:rFonts w:ascii="Times New Roman" w:hAnsi="Times New Roman" w:cs="Times New Roman"/>
          <w:b/>
          <w:sz w:val="24"/>
          <w:szCs w:val="24"/>
        </w:rPr>
        <w:t>c DLP, total examination DLP, CCTA scan-length, and scan-length-adjusted cardiac-DLP models.</w:t>
      </w:r>
    </w:p>
    <w:p w:rsidR="000A0AE8" w:rsidRDefault="00ED5EA0">
      <w:pPr>
        <w:jc w:val="center"/>
      </w:pPr>
      <w:r>
        <w:rPr>
          <w:noProof/>
        </w:rPr>
        <w:lastRenderedPageBreak/>
        <w:drawing>
          <wp:inline distT="0" distB="0" distL="0" distR="0">
            <wp:extent cx="6126480" cy="77605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2_QQ_plot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76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AE8" w:rsidRDefault="00ED5EA0">
      <w:r>
        <w:rPr>
          <w:b/>
        </w:rPr>
        <w:t>Supplementary Figure S3. Residual-versus-fitted plots for the primary CTDIvol, cardiac DLP, total examination DLP, CCTA scan-length, and scan-length-adjusted car</w:t>
      </w:r>
      <w:r>
        <w:rPr>
          <w:b/>
        </w:rPr>
        <w:t>diac-DLP models.</w:t>
      </w:r>
    </w:p>
    <w:p w:rsidR="000A0AE8" w:rsidRDefault="00ED5EA0">
      <w:pPr>
        <w:jc w:val="center"/>
      </w:pPr>
      <w:r>
        <w:rPr>
          <w:noProof/>
        </w:rPr>
        <w:lastRenderedPageBreak/>
        <w:drawing>
          <wp:inline distT="0" distB="0" distL="0" distR="0">
            <wp:extent cx="6126480" cy="735603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3_residual_vs_fitt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35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0AE8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AE8"/>
    <w:rsid w:val="0015074B"/>
    <w:rsid w:val="0029639D"/>
    <w:rsid w:val="00326F90"/>
    <w:rsid w:val="00AA1D8D"/>
    <w:rsid w:val="00B47730"/>
    <w:rsid w:val="00CB0664"/>
    <w:rsid w:val="00CB76DF"/>
    <w:rsid w:val="00ED5E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4C40D4"/>
  <w14:defaultImageDpi w14:val="300"/>
  <w15:docId w15:val="{A57A7F6F-250C-46BA-A001-9AB8EAFE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334B2B-C84E-44CD-BEDE-01308B511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Oba Rad Dr</cp:lastModifiedBy>
  <cp:revision>3</cp:revision>
  <dcterms:created xsi:type="dcterms:W3CDTF">2013-12-23T23:15:00Z</dcterms:created>
  <dcterms:modified xsi:type="dcterms:W3CDTF">2026-08-14T10:26:00Z</dcterms:modified>
  <cp:category/>
</cp:coreProperties>
</file>