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20" w:line="24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Supplementary Table S1. Fracture-type classification by GPT-5.2 Instant versus the final adjudicated reference standard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</w:tblGrid>
      <w:tr>
        <w:trPr>
          <w:cantSplit/>
          <w:tblHeader w:val="true"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Final reference classification</w:t>
            </w:r>
          </w:p>
        </w:tc>
        <w:tc>
          <w:tcPr>
            <w:tcW w:type="dxa" w:w="1115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gridSpan w:val="9"/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GPT-5.2 Instant classification</w:t>
            </w:r>
          </w:p>
        </w:tc>
      </w:tr>
      <w:tr>
        <w:trPr>
          <w:cantSplit/>
          <w:tblHeader w:val="true"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None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Ulna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Ulna + radius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Radius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SC-I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SC-II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SC-III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Epicondyle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Total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None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320 (77.7)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 (2.2)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 (0.7)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38 (9.2)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371 (90.0)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Ulna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 (0.5)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 (0.7)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Ulna + radius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Radius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 (0.7)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 (1.0)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SC-I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 (2.7)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 (2.9)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 (5.8)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SC-II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 (0.7)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SC-III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 (0.5)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 (0.5)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Epicondyle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 (0.7)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 (1.0)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Total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338 (82.0)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11 (2.7)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4 (1.0)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56 (13.6)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1 (0.2)</w:t>
            </w:r>
          </w:p>
        </w:tc>
        <w:tc>
          <w:tcPr>
            <w:tcW w:type="dxa" w:w="11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1 (0.2)</w:t>
            </w:r>
          </w:p>
        </w:tc>
        <w:tc>
          <w:tcPr>
            <w:tcW w:type="dxa" w:w="13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0 (0.0)</w:t>
            </w:r>
          </w:p>
        </w:tc>
        <w:tc>
          <w:tcPr>
            <w:tcW w:type="dxa" w:w="144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A6A6A6"/>
              <w:left w:val="single" w:sz="5" w:color="A6A6A6"/>
              <w:bottom w:val="single" w:sz="5" w:color="A6A6A6"/>
              <w:right w:val="single" w:sz="5" w:color="A6A6A6"/>
            </w:tcBorders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412 (100.0)</w:t>
            </w:r>
          </w:p>
        </w:tc>
      </w:tr>
    </w:tbl>
    <w:p>
      <w:pPr>
        <w:spacing w:before="100" w:after="0" w:line="240" w:lineRule="auto"/>
      </w:pPr>
      <w:r>
        <w:rPr>
          <w:rFonts w:ascii="Times New Roman" w:hAnsi="Times New Roman" w:eastAsia="Times New Roman"/>
          <w:b/>
          <w:i/>
          <w:sz w:val="17"/>
        </w:rPr>
        <w:t xml:space="preserve">Note. </w:t>
      </w:r>
      <w:r>
        <w:rPr>
          <w:rFonts w:ascii="Times New Roman" w:hAnsi="Times New Roman" w:eastAsia="Times New Roman"/>
          <w:b w:val="0"/>
          <w:i w:val="0"/>
          <w:sz w:val="17"/>
        </w:rPr>
        <w:t>Values are n (% of the total cohort). Cohen κ = 0.271 (95% CI, 0.160–0.376); p &lt; 0.001; overall agreement = 81.55% (95% CI, 77.67–85.19). SC-I, SC-II, and SC-III denote supracondylar fracture Types I, II, and III, respectively. CI, confidence interval.</w:t>
      </w:r>
    </w:p>
    <w:sectPr w:rsidR="00FC693F" w:rsidRPr="0006063C" w:rsidSect="00034616">
      <w:pgSz w:w="15840" w:h="12240" w:orient="landscape"/>
      <w:pgMar w:top="792" w:right="792" w:bottom="792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