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9FA82" w14:textId="77777777" w:rsidR="00F210E4" w:rsidRDefault="0000000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Table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1S</w:t>
      </w:r>
      <w:r>
        <w:rPr>
          <w:rFonts w:ascii="Times New Roman" w:hAnsi="Times New Roman" w:cs="Times New Roman"/>
          <w:sz w:val="20"/>
          <w:szCs w:val="20"/>
        </w:rPr>
        <w:t xml:space="preserve"> The radiomics features </w:t>
      </w:r>
      <w:r>
        <w:rPr>
          <w:rFonts w:ascii="Times New Roman" w:hAnsi="Times New Roman" w:cs="Times New Roman" w:hint="eastAsia"/>
          <w:sz w:val="20"/>
          <w:szCs w:val="20"/>
        </w:rPr>
        <w:t>screened</w:t>
      </w:r>
      <w:r>
        <w:rPr>
          <w:rFonts w:ascii="Times New Roman" w:hAnsi="Times New Roman" w:cs="Times New Roman"/>
          <w:sz w:val="20"/>
          <w:szCs w:val="20"/>
        </w:rPr>
        <w:t xml:space="preserve"> from T2WI, ADC and HBP </w:t>
      </w:r>
      <w:r>
        <w:rPr>
          <w:rFonts w:ascii="Times New Roman" w:hAnsi="Times New Roman" w:cs="Times New Roman" w:hint="eastAsia"/>
          <w:sz w:val="20"/>
          <w:szCs w:val="20"/>
        </w:rPr>
        <w:t>sequences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for</w:t>
      </w:r>
      <w:r>
        <w:rPr>
          <w:rFonts w:ascii="Times New Roman" w:hAnsi="Times New Roman" w:cs="Times New Roman"/>
          <w:sz w:val="20"/>
          <w:szCs w:val="20"/>
        </w:rPr>
        <w:t xml:space="preserve"> radiomics model</w:t>
      </w:r>
      <w:r>
        <w:rPr>
          <w:rFonts w:ascii="Times New Roman" w:hAnsi="Times New Roman" w:cs="Times New Roman" w:hint="eastAsia"/>
          <w:sz w:val="20"/>
          <w:szCs w:val="20"/>
        </w:rPr>
        <w:t xml:space="preserve"> construction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c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5999"/>
        <w:gridCol w:w="1212"/>
      </w:tblGrid>
      <w:tr w:rsidR="00F210E4" w14:paraId="78932E8F" w14:textId="77777777"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B8C123D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equences</w:t>
            </w:r>
          </w:p>
        </w:tc>
        <w:tc>
          <w:tcPr>
            <w:tcW w:w="5999" w:type="dxa"/>
            <w:tcBorders>
              <w:top w:val="single" w:sz="4" w:space="0" w:color="auto"/>
              <w:bottom w:val="single" w:sz="4" w:space="0" w:color="auto"/>
            </w:tcBorders>
          </w:tcPr>
          <w:p w14:paraId="17A46CCE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adiomics features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</w:tcPr>
          <w:p w14:paraId="19EEC89F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Weight</w:t>
            </w:r>
          </w:p>
        </w:tc>
      </w:tr>
      <w:tr w:rsidR="00F210E4" w14:paraId="397A58FF" w14:textId="77777777">
        <w:tc>
          <w:tcPr>
            <w:tcW w:w="1089" w:type="dxa"/>
            <w:tcBorders>
              <w:top w:val="single" w:sz="4" w:space="0" w:color="auto"/>
            </w:tcBorders>
          </w:tcPr>
          <w:p w14:paraId="416E29FF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T2WI</w:t>
            </w:r>
          </w:p>
          <w:p w14:paraId="3A4DF3D4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5999" w:type="dxa"/>
            <w:tcBorders>
              <w:top w:val="single" w:sz="4" w:space="0" w:color="auto"/>
            </w:tcBorders>
          </w:tcPr>
          <w:p w14:paraId="5B8FDDD6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T2_wavelet-HHH_glszm_SizeZoneNonUniformityNormalized</w:t>
            </w:r>
          </w:p>
          <w:p w14:paraId="393E4212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T2_wavelet-HHL_firstorder_Skewness</w:t>
            </w:r>
          </w:p>
          <w:p w14:paraId="24797286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T2_wavelet-HHL_gldm_LargeDependenceEmphasis</w:t>
            </w:r>
          </w:p>
          <w:p w14:paraId="622B4B2E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T2_wavelet-HHL_gldm_SmallDependenceEmphasis</w:t>
            </w:r>
          </w:p>
          <w:p w14:paraId="31F00F02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T2_wavelet-HLH_ngtdm_Busyness</w:t>
            </w:r>
          </w:p>
          <w:p w14:paraId="617C9DC3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T2_wavelet-LLL_firstorder_Skewness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04BD1A1C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-0.12142</w:t>
            </w:r>
          </w:p>
          <w:p w14:paraId="659F5699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-0.02677</w:t>
            </w:r>
          </w:p>
          <w:p w14:paraId="2CCA0ECA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0.001703</w:t>
            </w:r>
          </w:p>
          <w:p w14:paraId="5EA621BD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-0.17443</w:t>
            </w:r>
          </w:p>
          <w:p w14:paraId="26693F01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0.000845</w:t>
            </w:r>
          </w:p>
          <w:p w14:paraId="2EA2E00F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-0.05295</w:t>
            </w:r>
          </w:p>
        </w:tc>
      </w:tr>
      <w:tr w:rsidR="00F210E4" w14:paraId="22164D6A" w14:textId="77777777">
        <w:tc>
          <w:tcPr>
            <w:tcW w:w="1089" w:type="dxa"/>
          </w:tcPr>
          <w:p w14:paraId="25B4F54C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ADC</w:t>
            </w:r>
          </w:p>
          <w:p w14:paraId="2A33231A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5999" w:type="dxa"/>
          </w:tcPr>
          <w:p w14:paraId="06D662A8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ADC_original_glcm_MCC</w:t>
            </w:r>
            <w:proofErr w:type="spellEnd"/>
          </w:p>
          <w:p w14:paraId="69938213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ADC_wavelet-HHH_ngtdm_Busyness</w:t>
            </w:r>
            <w:proofErr w:type="spellEnd"/>
          </w:p>
          <w:p w14:paraId="5AF1F1D6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ADC_wavelet-HHL_glcm_InverseVariance</w:t>
            </w:r>
            <w:proofErr w:type="spellEnd"/>
          </w:p>
          <w:p w14:paraId="0ED77DE8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ADC_wavelet-HLH_gldm_LowGrayLevelEmphasis</w:t>
            </w:r>
            <w:proofErr w:type="spellEnd"/>
          </w:p>
          <w:p w14:paraId="7C05D49E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ADC_wavelet-LHL_firstorder_Mean</w:t>
            </w:r>
            <w:proofErr w:type="spellEnd"/>
          </w:p>
          <w:p w14:paraId="06BA991A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ADC_wavelet-LLL_firstorder_Median</w:t>
            </w:r>
            <w:proofErr w:type="spellEnd"/>
          </w:p>
          <w:p w14:paraId="3F903CE8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ADC_wavelet-LLL_glcm_ClusterShade</w:t>
            </w:r>
            <w:proofErr w:type="spellEnd"/>
          </w:p>
        </w:tc>
        <w:tc>
          <w:tcPr>
            <w:tcW w:w="1212" w:type="dxa"/>
          </w:tcPr>
          <w:p w14:paraId="1B7D6E8B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0.076447</w:t>
            </w:r>
          </w:p>
          <w:p w14:paraId="3606914E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-0.00014</w:t>
            </w:r>
          </w:p>
          <w:p w14:paraId="350129C4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0.097652</w:t>
            </w:r>
          </w:p>
          <w:p w14:paraId="08AC022C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-0.03823</w:t>
            </w:r>
          </w:p>
          <w:p w14:paraId="49DC0DC7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0.000611</w:t>
            </w:r>
          </w:p>
          <w:p w14:paraId="1A096330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-3.3E-05</w:t>
            </w:r>
          </w:p>
          <w:p w14:paraId="752EDE62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4.28E-08</w:t>
            </w:r>
          </w:p>
        </w:tc>
      </w:tr>
      <w:tr w:rsidR="00F210E4" w14:paraId="6D86D306" w14:textId="77777777">
        <w:tc>
          <w:tcPr>
            <w:tcW w:w="1089" w:type="dxa"/>
          </w:tcPr>
          <w:p w14:paraId="4CA4A011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HBP</w:t>
            </w:r>
          </w:p>
          <w:p w14:paraId="629D8DBB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  <w:tc>
          <w:tcPr>
            <w:tcW w:w="5999" w:type="dxa"/>
          </w:tcPr>
          <w:p w14:paraId="51532BCE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HBP_original_glcm_Imc1</w:t>
            </w:r>
          </w:p>
          <w:p w14:paraId="7EC454C0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HBP_wavelet-HHH_gldm_DependenceEntropy</w:t>
            </w:r>
            <w:proofErr w:type="spellEnd"/>
          </w:p>
          <w:p w14:paraId="4CF43E90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HBP_wavelet-HHL_glcm_ClusterShade</w:t>
            </w:r>
            <w:proofErr w:type="spellEnd"/>
          </w:p>
          <w:p w14:paraId="5110FB0B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HBP_wavelet-HHL_ngtdm_Complexity</w:t>
            </w:r>
            <w:proofErr w:type="spellEnd"/>
          </w:p>
          <w:p w14:paraId="137BC1F2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HBP_wavelet-HLL_firstorder_Skewness</w:t>
            </w:r>
            <w:proofErr w:type="spellEnd"/>
          </w:p>
          <w:p w14:paraId="0DCC1870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HBP_wavelet-LHL_firstorder_10Percentile</w:t>
            </w:r>
          </w:p>
          <w:p w14:paraId="69D24B04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HBP_wavelet-LHL_glcm_Correlation</w:t>
            </w:r>
            <w:proofErr w:type="spellEnd"/>
          </w:p>
          <w:p w14:paraId="4394B97C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HBP_wavelet-LHL_gldm_LargeDependenceHighGrayLevelEmphasis</w:t>
            </w:r>
            <w:proofErr w:type="spellEnd"/>
          </w:p>
          <w:p w14:paraId="3B9CAC81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HBP_wavelet-LLH_glcm_ClusterShade</w:t>
            </w:r>
            <w:proofErr w:type="spellEnd"/>
          </w:p>
          <w:p w14:paraId="04929E45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HBP_wavelet-LLH_glcm_MCC</w:t>
            </w:r>
            <w:proofErr w:type="spellEnd"/>
          </w:p>
          <w:p w14:paraId="07CE6289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HBP_wavelet-LLL_ngtdm_Coarseness</w:t>
            </w:r>
            <w:proofErr w:type="spellEnd"/>
          </w:p>
          <w:p w14:paraId="13A6CE5B" w14:textId="77777777" w:rsidR="00F210E4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HBP_wavelet-LLL_ngtdm_Strength</w:t>
            </w:r>
            <w:proofErr w:type="spellEnd"/>
          </w:p>
        </w:tc>
        <w:tc>
          <w:tcPr>
            <w:tcW w:w="1212" w:type="dxa"/>
          </w:tcPr>
          <w:p w14:paraId="01472F76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0.182916</w:t>
            </w:r>
          </w:p>
          <w:p w14:paraId="22F47066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0.045429</w:t>
            </w:r>
          </w:p>
          <w:p w14:paraId="1688CB2E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-0.0002</w:t>
            </w:r>
          </w:p>
          <w:p w14:paraId="18E765B0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9.36E-06</w:t>
            </w:r>
          </w:p>
          <w:p w14:paraId="0034D517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0.049709</w:t>
            </w:r>
          </w:p>
          <w:p w14:paraId="05DF7B69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-0.00012</w:t>
            </w:r>
          </w:p>
          <w:p w14:paraId="698E0EC6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0.176123</w:t>
            </w:r>
          </w:p>
          <w:p w14:paraId="09D9A529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5.95E-06</w:t>
            </w:r>
          </w:p>
          <w:p w14:paraId="7DA1DC06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3.88E-06</w:t>
            </w:r>
          </w:p>
          <w:p w14:paraId="4582D2FB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-0.04226</w:t>
            </w:r>
          </w:p>
          <w:p w14:paraId="46E4CA50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-0.75361</w:t>
            </w:r>
          </w:p>
          <w:p w14:paraId="523244D0" w14:textId="77777777" w:rsidR="00F210E4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-8.4E-06</w:t>
            </w:r>
          </w:p>
        </w:tc>
      </w:tr>
    </w:tbl>
    <w:p w14:paraId="685A89DC" w14:textId="49A5BC53" w:rsidR="00F210E4" w:rsidRPr="00DD1AC2" w:rsidRDefault="00DD1AC2">
      <w:pPr>
        <w:rPr>
          <w:rFonts w:ascii="Times New Roman" w:hAnsi="Times New Roman" w:cs="Times New Roman"/>
          <w:sz w:val="20"/>
          <w:szCs w:val="20"/>
        </w:rPr>
      </w:pPr>
      <w:bookmarkStart w:id="0" w:name="OLE_LINK1"/>
      <w:r w:rsidRPr="00DD1AC2">
        <w:rPr>
          <w:rFonts w:ascii="Times New Roman" w:hAnsi="Times New Roman" w:cs="Times New Roman"/>
          <w:sz w:val="20"/>
          <w:szCs w:val="20"/>
        </w:rPr>
        <w:t>Note:</w:t>
      </w:r>
      <w:r>
        <w:rPr>
          <w:rFonts w:ascii="Times New Roman" w:hAnsi="Times New Roman" w:cs="Times New Roman" w:hint="eastAsia"/>
          <w:sz w:val="20"/>
          <w:szCs w:val="20"/>
        </w:rPr>
        <w:t xml:space="preserve"> The final radiomics score was calculated as: </w:t>
      </w:r>
      <w:r w:rsidRPr="00DD1AC2">
        <w:rPr>
          <w:rFonts w:ascii="Times New Roman" w:hAnsi="Times New Roman" w:cs="Times New Roman" w:hint="eastAsia"/>
          <w:sz w:val="20"/>
          <w:szCs w:val="20"/>
        </w:rPr>
        <w:t>Radiomics score = 0.3770 +</w:t>
      </w:r>
      <w:r w:rsidRPr="00DD1AC2">
        <w:rPr>
          <w:rFonts w:ascii="Times New Roman" w:hAnsi="Times New Roman" w:cs="Times New Roman" w:hint="eastAsia"/>
          <w:sz w:val="20"/>
          <w:szCs w:val="20"/>
        </w:rPr>
        <w:t>Σ</w:t>
      </w:r>
      <w:r w:rsidRPr="00DD1AC2">
        <w:rPr>
          <w:rFonts w:ascii="Times New Roman" w:hAnsi="Times New Roman" w:cs="Times New Roman" w:hint="eastAsia"/>
          <w:sz w:val="20"/>
          <w:szCs w:val="20"/>
        </w:rPr>
        <w:t>(</w:t>
      </w:r>
      <w:proofErr w:type="spellStart"/>
      <w:r w:rsidRPr="00DD1AC2">
        <w:rPr>
          <w:rFonts w:ascii="Times New Roman" w:hAnsi="Times New Roman" w:cs="Times New Roman" w:hint="eastAsia"/>
          <w:sz w:val="20"/>
          <w:szCs w:val="20"/>
        </w:rPr>
        <w:t>Feature</w:t>
      </w:r>
      <w:r w:rsidRPr="00DD1AC2">
        <w:rPr>
          <w:rFonts w:ascii="Times New Roman" w:hAnsi="Times New Roman" w:cs="Times New Roman" w:hint="eastAsia"/>
          <w:i/>
          <w:iCs/>
          <w:sz w:val="20"/>
          <w:szCs w:val="20"/>
          <w:vertAlign w:val="subscript"/>
        </w:rPr>
        <w:t>i</w:t>
      </w:r>
      <w:proofErr w:type="spellEnd"/>
      <w:r w:rsidRPr="00DD1AC2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D1AC2">
        <w:rPr>
          <w:rFonts w:ascii="Times New Roman" w:hAnsi="Times New Roman" w:cs="Times New Roman" w:hint="eastAsia"/>
          <w:sz w:val="20"/>
          <w:szCs w:val="20"/>
        </w:rPr>
        <w:t>×</w:t>
      </w:r>
      <w:r w:rsidRPr="00DD1AC2"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 w:rsidRPr="00DD1AC2">
        <w:rPr>
          <w:rFonts w:ascii="Times New Roman" w:hAnsi="Times New Roman" w:cs="Times New Roman" w:hint="eastAsia"/>
          <w:sz w:val="20"/>
          <w:szCs w:val="20"/>
        </w:rPr>
        <w:t>Weight</w:t>
      </w:r>
      <w:r w:rsidRPr="00DD1AC2">
        <w:rPr>
          <w:rFonts w:ascii="Times New Roman" w:hAnsi="Times New Roman" w:cs="Times New Roman" w:hint="eastAsia"/>
          <w:i/>
          <w:iCs/>
          <w:sz w:val="20"/>
          <w:szCs w:val="20"/>
          <w:vertAlign w:val="subscript"/>
        </w:rPr>
        <w:t>i</w:t>
      </w:r>
      <w:proofErr w:type="spellEnd"/>
      <w:r w:rsidRPr="00DD1AC2">
        <w:rPr>
          <w:rFonts w:ascii="Times New Roman" w:hAnsi="Times New Roman" w:cs="Times New Roman" w:hint="eastAsia"/>
          <w:sz w:val="20"/>
          <w:szCs w:val="20"/>
        </w:rPr>
        <w:t>)</w:t>
      </w:r>
      <w:bookmarkEnd w:id="0"/>
    </w:p>
    <w:p w14:paraId="7467A059" w14:textId="77777777" w:rsidR="00F210E4" w:rsidRDefault="00F210E4">
      <w:pPr>
        <w:rPr>
          <w:rFonts w:hint="eastAsia"/>
        </w:rPr>
      </w:pPr>
    </w:p>
    <w:p w14:paraId="0A024A85" w14:textId="77777777" w:rsidR="00DD1AC2" w:rsidRDefault="00DD1AC2">
      <w:pPr>
        <w:rPr>
          <w:rFonts w:hint="eastAsia"/>
        </w:rPr>
      </w:pPr>
    </w:p>
    <w:p w14:paraId="467F77F5" w14:textId="77777777" w:rsidR="00F210E4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2S</w:t>
      </w:r>
      <w:r>
        <w:rPr>
          <w:rFonts w:ascii="Times New Roman" w:hAnsi="Times New Roman" w:cs="Times New Roman" w:hint="eastAsia"/>
          <w:sz w:val="20"/>
          <w:szCs w:val="20"/>
        </w:rPr>
        <w:t xml:space="preserve"> The distribution of TRG heterogeneity and radiomics-predicted TRG heterogeneity in the training and validation groups.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84"/>
        <w:gridCol w:w="1654"/>
        <w:gridCol w:w="1656"/>
        <w:gridCol w:w="1655"/>
        <w:gridCol w:w="1657"/>
      </w:tblGrid>
      <w:tr w:rsidR="002E3825" w14:paraId="02B7FB77" w14:textId="77777777" w:rsidTr="00AD5579">
        <w:tc>
          <w:tcPr>
            <w:tcW w:w="1684" w:type="dxa"/>
            <w:vMerge w:val="restart"/>
            <w:tcBorders>
              <w:top w:val="single" w:sz="12" w:space="0" w:color="000000"/>
              <w:left w:val="nil"/>
              <w:right w:val="nil"/>
              <w:tl2br w:val="nil"/>
            </w:tcBorders>
            <w:shd w:val="clear" w:color="auto" w:fill="FFFFFF"/>
          </w:tcPr>
          <w:p w14:paraId="27142719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Predicted heterogeneity</w:t>
            </w:r>
          </w:p>
        </w:tc>
        <w:tc>
          <w:tcPr>
            <w:tcW w:w="331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FFFFFF" w:themeColor="background1"/>
            </w:tcBorders>
            <w:shd w:val="clear" w:color="auto" w:fill="FFFFFF"/>
          </w:tcPr>
          <w:p w14:paraId="4B2CB8C2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Training group</w:t>
            </w:r>
          </w:p>
        </w:tc>
        <w:tc>
          <w:tcPr>
            <w:tcW w:w="3312" w:type="dxa"/>
            <w:gridSpan w:val="2"/>
            <w:tcBorders>
              <w:top w:val="single" w:sz="12" w:space="0" w:color="000000"/>
              <w:left w:val="single" w:sz="12" w:space="0" w:color="FFFFFF" w:themeColor="background1"/>
              <w:bottom w:val="single" w:sz="4" w:space="0" w:color="000000"/>
              <w:right w:val="nil"/>
            </w:tcBorders>
            <w:shd w:val="clear" w:color="auto" w:fill="FFFFFF"/>
          </w:tcPr>
          <w:p w14:paraId="0DB8B9AE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Validation group</w:t>
            </w:r>
          </w:p>
        </w:tc>
      </w:tr>
      <w:tr w:rsidR="002E3825" w14:paraId="71FF8A37" w14:textId="77777777" w:rsidTr="00AD5579">
        <w:tc>
          <w:tcPr>
            <w:tcW w:w="168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736C0FF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A96DC64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TRG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vertAlign w:val="subscript"/>
              </w:rPr>
              <w:t>H-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auto"/>
              <w:right w:val="single" w:sz="12" w:space="0" w:color="FFFFFF" w:themeColor="background1"/>
            </w:tcBorders>
            <w:shd w:val="clear" w:color="auto" w:fill="FFFFFF"/>
          </w:tcPr>
          <w:p w14:paraId="4891CC6F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TRG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vertAlign w:val="subscript"/>
              </w:rPr>
              <w:t>H+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12" w:space="0" w:color="FFFFFF" w:themeColor="background1"/>
              <w:bottom w:val="single" w:sz="4" w:space="0" w:color="auto"/>
              <w:right w:val="nil"/>
            </w:tcBorders>
            <w:shd w:val="clear" w:color="auto" w:fill="FFFFFF"/>
          </w:tcPr>
          <w:p w14:paraId="1C5C8B94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TRG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vertAlign w:val="subscript"/>
              </w:rPr>
              <w:t>H-</w:t>
            </w:r>
          </w:p>
        </w:tc>
        <w:tc>
          <w:tcPr>
            <w:tcW w:w="165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636AA9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TRG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vertAlign w:val="subscript"/>
              </w:rPr>
              <w:t>H+</w:t>
            </w:r>
          </w:p>
        </w:tc>
      </w:tr>
      <w:tr w:rsidR="002E3825" w14:paraId="67996914" w14:textId="77777777" w:rsidTr="002E3825">
        <w:trPr>
          <w:trHeight w:val="90"/>
        </w:trPr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366625A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vertAlign w:val="subscript"/>
              </w:rPr>
              <w:t>H-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9D818FF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243C3AE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CB6CA44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B7A8DA9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</w:p>
        </w:tc>
      </w:tr>
      <w:tr w:rsidR="002E3825" w14:paraId="1F1F49FA" w14:textId="77777777" w:rsidTr="002E3825">
        <w:tc>
          <w:tcPr>
            <w:tcW w:w="16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361188F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vertAlign w:val="subscript"/>
              </w:rPr>
              <w:t>H+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EF7D5D4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44D3027A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6E12E1B4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656998FF" w14:textId="77777777" w:rsidR="002E3825" w:rsidRDefault="002E3825" w:rsidP="00AD55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</w:tr>
    </w:tbl>
    <w:p w14:paraId="77E93C30" w14:textId="77777777" w:rsidR="00F210E4" w:rsidRDefault="00F210E4">
      <w:pPr>
        <w:rPr>
          <w:rFonts w:ascii="Times New Roman" w:hAnsi="Times New Roman" w:cs="Times New Roman"/>
          <w:sz w:val="20"/>
          <w:szCs w:val="20"/>
        </w:rPr>
      </w:pPr>
    </w:p>
    <w:p w14:paraId="49B6F027" w14:textId="77777777" w:rsidR="00F210E4" w:rsidRDefault="00F210E4">
      <w:pPr>
        <w:rPr>
          <w:rFonts w:hint="eastAsia"/>
        </w:rPr>
      </w:pPr>
    </w:p>
    <w:p w14:paraId="0A27E59B" w14:textId="77777777" w:rsidR="00F210E4" w:rsidRDefault="00F210E4">
      <w:pPr>
        <w:rPr>
          <w:rFonts w:hint="eastAsia"/>
        </w:rPr>
      </w:pPr>
    </w:p>
    <w:p w14:paraId="37A03231" w14:textId="77777777" w:rsidR="00F210E4" w:rsidRDefault="00F210E4">
      <w:pPr>
        <w:rPr>
          <w:rFonts w:hint="eastAsia"/>
        </w:rPr>
      </w:pPr>
    </w:p>
    <w:p w14:paraId="17B25533" w14:textId="77777777" w:rsidR="00F210E4" w:rsidRPr="00F800F6" w:rsidRDefault="00000000">
      <w:pPr>
        <w:pStyle w:val="a9"/>
        <w:widowControl/>
        <w:snapToGrid w:val="0"/>
        <w:spacing w:after="480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800F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</w:t>
      </w:r>
      <w:r w:rsidRPr="00F800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able </w:t>
      </w:r>
      <w:r w:rsidRPr="00F800F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3S Comparison</w:t>
      </w:r>
      <w:r w:rsidRPr="00F800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different multivariate Cox models for the prediction of LTDFS.</w:t>
      </w:r>
    </w:p>
    <w:tbl>
      <w:tblPr>
        <w:tblStyle w:val="ac"/>
        <w:tblW w:w="8500" w:type="dxa"/>
        <w:tblLook w:val="04A0" w:firstRow="1" w:lastRow="0" w:firstColumn="1" w:lastColumn="0" w:noHBand="0" w:noVBand="1"/>
      </w:tblPr>
      <w:tblGrid>
        <w:gridCol w:w="2405"/>
        <w:gridCol w:w="2365"/>
        <w:gridCol w:w="2171"/>
        <w:gridCol w:w="851"/>
        <w:gridCol w:w="708"/>
      </w:tblGrid>
      <w:tr w:rsidR="00F210E4" w14:paraId="59EEADFA" w14:textId="77777777">
        <w:trPr>
          <w:trHeight w:hRule="exact" w:val="340"/>
        </w:trPr>
        <w:tc>
          <w:tcPr>
            <w:tcW w:w="2405" w:type="dxa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F7B3F60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fitText w:val="522" w:id="-1079565733"/>
              </w:rPr>
              <w:t>Model</w:t>
            </w:r>
          </w:p>
        </w:tc>
        <w:tc>
          <w:tcPr>
            <w:tcW w:w="2365" w:type="dxa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63B020B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Characteristic</w:t>
            </w:r>
          </w:p>
        </w:tc>
        <w:tc>
          <w:tcPr>
            <w:tcW w:w="2171" w:type="dxa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0CA345E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851" w:type="dxa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847C1DB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708" w:type="dxa"/>
            <w:tcBorders>
              <w:top w:val="single" w:sz="12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3E4C1E1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AUC</w:t>
            </w:r>
          </w:p>
        </w:tc>
      </w:tr>
      <w:tr w:rsidR="00F210E4" w14:paraId="2C385377" w14:textId="77777777">
        <w:trPr>
          <w:trHeight w:hRule="exact" w:val="340"/>
        </w:trPr>
        <w:tc>
          <w:tcPr>
            <w:tcW w:w="2405" w:type="dxa"/>
            <w:vMerge w:val="restar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34953679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Model (R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and intraoperative RFA)</w:t>
            </w:r>
          </w:p>
        </w:tc>
        <w:tc>
          <w:tcPr>
            <w:tcW w:w="236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5B5793F3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217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49D3C2DE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2.588 (1.367,4.900)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5BE7A693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708" w:type="dxa"/>
            <w:vMerge w:val="restar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60EE2CC4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0.797</w:t>
            </w:r>
          </w:p>
        </w:tc>
      </w:tr>
      <w:tr w:rsidR="00F210E4" w14:paraId="2E08E508" w14:textId="77777777">
        <w:trPr>
          <w:trHeight w:hRule="exact" w:val="340"/>
        </w:trPr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6C42A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0411F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Intraoperative RFA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71F0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1.816 (1.091, 3.021)</w:t>
            </w:r>
          </w:p>
          <w:p w14:paraId="42127BF0" w14:textId="77777777" w:rsidR="00F34765" w:rsidRPr="00F34765" w:rsidRDefault="00F34765" w:rsidP="00F34765">
            <w:pPr>
              <w:rPr>
                <w:rFonts w:hint="eastAsia"/>
              </w:rPr>
            </w:pPr>
          </w:p>
          <w:p w14:paraId="05C816B8" w14:textId="77777777" w:rsidR="00F34765" w:rsidRPr="00F34765" w:rsidRDefault="00F34765" w:rsidP="00F34765">
            <w:pPr>
              <w:rPr>
                <w:rFonts w:hint="eastAsia"/>
              </w:rPr>
            </w:pPr>
          </w:p>
          <w:p w14:paraId="13CF0F24" w14:textId="77777777" w:rsidR="00F34765" w:rsidRPr="00F34765" w:rsidRDefault="00F34765" w:rsidP="00F34765">
            <w:pPr>
              <w:rPr>
                <w:rFonts w:hint="eastAsi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4997F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14034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10E4" w14:paraId="2A034F20" w14:textId="77777777">
        <w:trPr>
          <w:trHeight w:hRule="exact" w:val="34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2B17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and intraoperative RFA)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DA44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min</w:t>
            </w:r>
            <w:proofErr w:type="spellEnd"/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0C11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1.926 (1.185, 3.129)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1A5D7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415C1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0.823</w:t>
            </w:r>
          </w:p>
        </w:tc>
      </w:tr>
      <w:tr w:rsidR="00F210E4" w14:paraId="6F588FBD" w14:textId="77777777">
        <w:trPr>
          <w:trHeight w:hRule="exact" w:val="340"/>
        </w:trPr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5970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6FD38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intraoperative RFA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D3DE4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2.002 (1.192, 3.362)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C00B6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41864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10E4" w14:paraId="3EA7750F" w14:textId="77777777">
        <w:trPr>
          <w:trHeight w:hRule="exact" w:val="34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F3694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 intraoperative RFA)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D9B6B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max</w:t>
            </w:r>
            <w:proofErr w:type="spellEnd"/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00E92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2.120 (1.177, 3.818)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BC172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0.012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8F40C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0.786</w:t>
            </w:r>
          </w:p>
        </w:tc>
      </w:tr>
      <w:tr w:rsidR="00F210E4" w14:paraId="31B5527C" w14:textId="77777777">
        <w:trPr>
          <w:trHeight w:hRule="exact" w:val="340"/>
        </w:trPr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28E4D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9EF3F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intraoperative RFA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C2479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1.860 (1.117, 3.097)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FEE9B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17012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10E4" w14:paraId="46E34249" w14:textId="77777777">
        <w:trPr>
          <w:trHeight w:hRule="exact" w:val="34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A20C3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(R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and intraoperative RFA)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797C8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69D51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.282 (1.200, 4.339)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DCEBF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.012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13036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.851</w:t>
            </w:r>
          </w:p>
        </w:tc>
      </w:tr>
      <w:tr w:rsidR="00F210E4" w14:paraId="33475C6B" w14:textId="77777777">
        <w:trPr>
          <w:trHeight w:hRule="exact" w:val="340"/>
        </w:trPr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2CCFA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E6039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min</w:t>
            </w:r>
            <w:proofErr w:type="spellEnd"/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3689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.836 (1.099, 3.068)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EF8B8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.020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8613E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10E4" w14:paraId="22DE9023" w14:textId="77777777">
        <w:trPr>
          <w:trHeight w:hRule="exact" w:val="340"/>
        </w:trPr>
        <w:tc>
          <w:tcPr>
            <w:tcW w:w="2405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53B146FE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52FD5B1C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intraoperative RFA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5C9D1D08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.982 (1.178, 3.336)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126FB046" w14:textId="77777777" w:rsidR="00F210E4" w:rsidRDefault="00000000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.010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61CA2447" w14:textId="77777777" w:rsidR="00F210E4" w:rsidRDefault="00F210E4">
            <w:pPr>
              <w:pStyle w:val="a9"/>
              <w:widowControl/>
              <w:spacing w:after="48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F4C481C" w14:textId="77777777" w:rsidR="00F210E4" w:rsidRDefault="00000000">
      <w:pPr>
        <w:pStyle w:val="a9"/>
        <w:widowControl/>
        <w:spacing w:after="480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 w:hint="eastAsia"/>
          <w:sz w:val="20"/>
          <w:szCs w:val="20"/>
        </w:rPr>
        <w:t>AUC</w:t>
      </w:r>
      <w:r>
        <w:rPr>
          <w:rFonts w:ascii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hAnsi="Times New Roman" w:cs="Times New Roman" w:hint="eastAsia"/>
          <w:sz w:val="20"/>
          <w:szCs w:val="20"/>
        </w:rPr>
        <w:t>area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under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he curve; RFA </w:t>
      </w:r>
      <w:r>
        <w:rPr>
          <w:rFonts w:ascii="Times New Roman" w:hAnsi="Times New Roman" w:cs="Times New Roman" w:hint="eastAsia"/>
          <w:sz w:val="20"/>
          <w:szCs w:val="20"/>
        </w:rPr>
        <w:t xml:space="preserve">= </w:t>
      </w:r>
      <w:r>
        <w:rPr>
          <w:rFonts w:ascii="Times New Roman" w:hAnsi="Times New Roman" w:cs="Times New Roman"/>
          <w:sz w:val="20"/>
          <w:szCs w:val="20"/>
        </w:rPr>
        <w:t>radiofrequency ablation</w:t>
      </w:r>
    </w:p>
    <w:p w14:paraId="3C773942" w14:textId="77777777" w:rsidR="00F210E4" w:rsidRDefault="00F210E4">
      <w:pPr>
        <w:rPr>
          <w:rFonts w:hint="eastAsia"/>
        </w:rPr>
      </w:pPr>
    </w:p>
    <w:p w14:paraId="44DC5FB5" w14:textId="77777777" w:rsidR="00F210E4" w:rsidRDefault="00F210E4">
      <w:pPr>
        <w:rPr>
          <w:rFonts w:hint="eastAsia"/>
        </w:rPr>
      </w:pPr>
    </w:p>
    <w:p w14:paraId="55508E93" w14:textId="77777777" w:rsidR="00F210E4" w:rsidRDefault="00000000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7C75F48" wp14:editId="569EFA7D">
            <wp:extent cx="3931920" cy="3133725"/>
            <wp:effectExtent l="0" t="0" r="508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A85DB" w14:textId="77777777" w:rsidR="00F210E4" w:rsidRDefault="00000000">
      <w:pPr>
        <w:pStyle w:val="a9"/>
        <w:ind w:firstLineChars="100" w:firstLine="2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Fig. </w:t>
      </w:r>
      <w:r>
        <w:rPr>
          <w:rFonts w:ascii="Times New Roman" w:hAnsi="Times New Roman" w:cs="Times New Roman" w:hint="eastAsia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S Kaplan-Meier curve for LTDFS according to R</w:t>
      </w:r>
      <w:r>
        <w:rPr>
          <w:rFonts w:ascii="Times New Roman" w:hAnsi="Times New Roman" w:cs="Times New Roman"/>
          <w:sz w:val="20"/>
          <w:szCs w:val="20"/>
          <w:vertAlign w:val="subscript"/>
        </w:rPr>
        <w:t>H</w:t>
      </w:r>
      <w:r>
        <w:rPr>
          <w:rFonts w:ascii="Times New Roman" w:hAnsi="Times New Roman" w:cs="Times New Roman"/>
          <w:sz w:val="20"/>
          <w:szCs w:val="20"/>
        </w:rPr>
        <w:t xml:space="preserve"> in patients with </w:t>
      </w:r>
      <w:r>
        <w:rPr>
          <w:rFonts w:ascii="Times New Roman" w:hAnsi="Times New Roman" w:cs="Times New Roman" w:hint="eastAsia"/>
          <w:sz w:val="20"/>
          <w:szCs w:val="20"/>
        </w:rPr>
        <w:t>genetic mutation data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D6DDDFB" w14:textId="77777777" w:rsidR="00F210E4" w:rsidRDefault="00F210E4">
      <w:pPr>
        <w:pStyle w:val="a9"/>
        <w:ind w:firstLineChars="100" w:firstLine="200"/>
        <w:jc w:val="both"/>
        <w:rPr>
          <w:rFonts w:ascii="Times New Roman" w:hAnsi="Times New Roman" w:cs="Times New Roman"/>
          <w:sz w:val="20"/>
          <w:szCs w:val="20"/>
        </w:rPr>
      </w:pPr>
    </w:p>
    <w:p w14:paraId="7D4D5879" w14:textId="77777777" w:rsidR="005146A6" w:rsidRDefault="005146A6">
      <w:pPr>
        <w:pStyle w:val="a9"/>
        <w:ind w:firstLineChars="100" w:firstLine="20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0"/>
        <w:gridCol w:w="4096"/>
      </w:tblGrid>
      <w:tr w:rsidR="00F210E4" w14:paraId="1B8DA746" w14:textId="77777777">
        <w:trPr>
          <w:trHeight w:val="2498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AE99B3C" w14:textId="77777777" w:rsidR="00F210E4" w:rsidRDefault="00000000">
            <w:pPr>
              <w:pStyle w:val="a9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noProof/>
              </w:rPr>
              <w:lastRenderedPageBreak/>
              <w:drawing>
                <wp:inline distT="0" distB="0" distL="114300" distR="114300" wp14:anchorId="2BFC6321" wp14:editId="0C73BB0A">
                  <wp:extent cx="2661920" cy="2122805"/>
                  <wp:effectExtent l="0" t="0" r="5080" b="1079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920" cy="212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EF51759" w14:textId="77777777" w:rsidR="00F210E4" w:rsidRDefault="00000000">
            <w:pPr>
              <w:pStyle w:val="a9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noProof/>
              </w:rPr>
              <w:drawing>
                <wp:inline distT="0" distB="0" distL="114300" distR="114300" wp14:anchorId="4EDB1E23" wp14:editId="472004B3">
                  <wp:extent cx="2568575" cy="2021205"/>
                  <wp:effectExtent l="0" t="0" r="22225" b="1079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02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0E4" w14:paraId="6B45A347" w14:textId="77777777">
        <w:trPr>
          <w:trHeight w:val="333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456D850" w14:textId="77777777" w:rsidR="00F210E4" w:rsidRDefault="00000000">
            <w:pPr>
              <w:pStyle w:val="a9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2B52B29" w14:textId="77777777" w:rsidR="00F210E4" w:rsidRDefault="00000000">
            <w:pPr>
              <w:pStyle w:val="a9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b</w:t>
            </w:r>
          </w:p>
        </w:tc>
      </w:tr>
    </w:tbl>
    <w:p w14:paraId="6995BD65" w14:textId="77777777" w:rsidR="00F210E4" w:rsidRDefault="00000000">
      <w:pPr>
        <w:pStyle w:val="a9"/>
        <w:ind w:firstLineChars="100" w:firstLine="2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Fig. 2S </w:t>
      </w:r>
      <w:r>
        <w:rPr>
          <w:rFonts w:ascii="Times New Roman" w:hAnsi="Times New Roman" w:cs="Times New Roman"/>
          <w:sz w:val="20"/>
          <w:szCs w:val="20"/>
        </w:rPr>
        <w:t>Kaplan-Meier curve for LTDFS according to R</w:t>
      </w:r>
      <w:r>
        <w:rPr>
          <w:rFonts w:ascii="Times New Roman" w:hAnsi="Times New Roman" w:cs="Times New Roman"/>
          <w:sz w:val="20"/>
          <w:szCs w:val="20"/>
          <w:vertAlign w:val="subscript"/>
        </w:rPr>
        <w:t>H</w:t>
      </w:r>
      <w:r>
        <w:rPr>
          <w:rFonts w:ascii="Times New Roman" w:hAnsi="Times New Roman" w:cs="Times New Roman"/>
          <w:sz w:val="20"/>
          <w:szCs w:val="20"/>
        </w:rPr>
        <w:t xml:space="preserve"> in patients </w:t>
      </w:r>
      <w:r>
        <w:rPr>
          <w:rFonts w:ascii="Times New Roman" w:hAnsi="Times New Roman" w:cs="Times New Roman" w:hint="eastAsia"/>
          <w:sz w:val="20"/>
          <w:szCs w:val="20"/>
        </w:rPr>
        <w:t>received surgical resection alone (a) and patients received surgical resection combined with intraoperative RFA (b)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08FCD65" w14:textId="77777777" w:rsidR="00F210E4" w:rsidRDefault="00F210E4">
      <w:pPr>
        <w:rPr>
          <w:rFonts w:ascii="Times New Roman" w:hAnsi="Times New Roman" w:cs="Times New Roman"/>
          <w:sz w:val="20"/>
          <w:szCs w:val="20"/>
        </w:rPr>
      </w:pPr>
    </w:p>
    <w:sectPr w:rsidR="00F210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C0867" w14:textId="77777777" w:rsidR="00456C49" w:rsidRDefault="00456C49" w:rsidP="00F34765">
      <w:pPr>
        <w:rPr>
          <w:rFonts w:hint="eastAsia"/>
        </w:rPr>
      </w:pPr>
      <w:r>
        <w:separator/>
      </w:r>
    </w:p>
  </w:endnote>
  <w:endnote w:type="continuationSeparator" w:id="0">
    <w:p w14:paraId="0B30011A" w14:textId="77777777" w:rsidR="00456C49" w:rsidRDefault="00456C49" w:rsidP="00F347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C4631" w14:textId="77777777" w:rsidR="00456C49" w:rsidRDefault="00456C49" w:rsidP="00F34765">
      <w:pPr>
        <w:rPr>
          <w:rFonts w:hint="eastAsia"/>
        </w:rPr>
      </w:pPr>
      <w:r>
        <w:separator/>
      </w:r>
    </w:p>
  </w:footnote>
  <w:footnote w:type="continuationSeparator" w:id="0">
    <w:p w14:paraId="18411EF1" w14:textId="77777777" w:rsidR="00456C49" w:rsidRDefault="00456C49" w:rsidP="00F347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1C9"/>
    <w:rsid w:val="EEFFA2C3"/>
    <w:rsid w:val="F7F7AD8C"/>
    <w:rsid w:val="001C162A"/>
    <w:rsid w:val="001C5E5C"/>
    <w:rsid w:val="002C2704"/>
    <w:rsid w:val="002C5737"/>
    <w:rsid w:val="002E3825"/>
    <w:rsid w:val="003850E7"/>
    <w:rsid w:val="003C39AB"/>
    <w:rsid w:val="00456C49"/>
    <w:rsid w:val="005146A6"/>
    <w:rsid w:val="00666ED1"/>
    <w:rsid w:val="0069518E"/>
    <w:rsid w:val="006D1A81"/>
    <w:rsid w:val="007A04D0"/>
    <w:rsid w:val="008103C5"/>
    <w:rsid w:val="008368EE"/>
    <w:rsid w:val="008E28BF"/>
    <w:rsid w:val="009A2327"/>
    <w:rsid w:val="00D85703"/>
    <w:rsid w:val="00DC0238"/>
    <w:rsid w:val="00DD1AC2"/>
    <w:rsid w:val="00E511C9"/>
    <w:rsid w:val="00F210E4"/>
    <w:rsid w:val="00F34765"/>
    <w:rsid w:val="00F800F6"/>
    <w:rsid w:val="37B266D1"/>
    <w:rsid w:val="69EFD7C6"/>
    <w:rsid w:val="75FE359F"/>
    <w:rsid w:val="77FCC7F6"/>
    <w:rsid w:val="7BEC01C6"/>
    <w:rsid w:val="7FF7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2344D3"/>
  <w15:docId w15:val="{A7631670-B381-43B6-B246-287AF807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widowControl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9">
    <w:name w:val="Normal (Web)"/>
    <w:basedOn w:val="a"/>
    <w:uiPriority w:val="99"/>
    <w:unhideWhenUsed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aa">
    <w:name w:val="Title"/>
    <w:basedOn w:val="a"/>
    <w:next w:val="a"/>
    <w:link w:val="ab"/>
    <w:uiPriority w:val="10"/>
    <w:qFormat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qFormat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1"/>
      <w:szCs w:val="22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280</Words>
  <Characters>2367</Characters>
  <Application>Microsoft Office Word</Application>
  <DocSecurity>0</DocSecurity>
  <Lines>169</Lines>
  <Paragraphs>139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ma</dc:creator>
  <cp:lastModifiedBy>chen ma</cp:lastModifiedBy>
  <cp:revision>10</cp:revision>
  <dcterms:created xsi:type="dcterms:W3CDTF">2026-04-28T23:14:00Z</dcterms:created>
  <dcterms:modified xsi:type="dcterms:W3CDTF">2026-09-25T06:34:00Z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2E34A9044B25496673E7986A89590597_42</vt:lpwstr>
  </property>
</Properties>
</file>