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96C27D0">
      <w:pPr>
        <w:pStyle w:val="31"/>
      </w:pPr>
      <w:r>
        <w:rPr>
          <w:i w:val="0"/>
        </w:rPr>
        <w:t>Additional file 1</w:t>
      </w:r>
    </w:p>
    <w:p w14:paraId="5C7B023F">
      <w:r>
        <w:t>Supplementary methods, tables, and figures for: Unenhanced CT Radiomics Within a Contrast-Defined Enhancing Phenotype for Differentiating Noncalcified Pulmonary Hamartoma From Peripheral Solid Invasive Lung Adenocarcinoma: A Retrospective Development and Internal Test Study</w:t>
      </w:r>
    </w:p>
    <w:p w14:paraId="656BBF1F">
      <w:r>
        <w:t>Analysis boundary. The primary models, feature sets, scalers, coefficients, cutoffs, and 29-case predictions were frozen before post hoc and sensitivity analyses. No ancillary analysis altered a frozen model or evaluation prediction. Because the same 29 cases had been examined in an earlier analysis, their finalized evaluation is explicitly described as second look rather than a strictly untouched hold-out.</w:t>
      </w:r>
    </w:p>
    <w:p w14:paraId="1B88B962">
      <w:pPr>
        <w:pStyle w:val="3"/>
        <w:keepNext/>
      </w:pPr>
      <w:r>
        <w:t>Supplementary Methods</w:t>
      </w:r>
    </w:p>
    <w:p w14:paraId="0F1704F8">
      <w:pPr>
        <w:pStyle w:val="4"/>
        <w:keepNext/>
      </w:pPr>
      <w:r>
        <w:t>S1. CT feature definitions and reader agreement</w:t>
      </w:r>
    </w:p>
    <w:p w14:paraId="4E2EF083">
      <w:r>
        <w:t>Morphologic features were evaluated on unenhanced CT by two thoracic radiologists blinded to pathology and to each other. Maximum diameter was measured on the axial image showing the largest lesion diameter. Pleural indentation was linear or triangular pleural retraction from the nodule toward the visceral pleura; vascular convergence was converging vessels toward or into the nodule; and internal attenuation was coded as heterogeneous versus homogeneous. Intralesional fat was a reader-perceived focal low-attenuation component on soft-tissue windows; no HU threshold, minimum region size, or minimum ROI was prespecified, and no included lesion had visually diagnostic macroscopic fat. Peripheral location, solid composition, and absence of visually detectable calcification were eligibility criteria resolved by blinded consensus. Independent pre-consensus eligibility labels were not retained; all final cases met each criterion, so kappa is not estimable. Measurement agreement is summarized in Table S1.</w:t>
      </w:r>
    </w:p>
    <w:p w14:paraId="6740CA90">
      <w:pPr>
        <w:pStyle w:val="4"/>
        <w:keepNext/>
      </w:pPr>
      <w:r>
        <w:t>S2. Frozen radiomics and combined-model specifications</w:t>
      </w:r>
    </w:p>
    <w:p w14:paraId="519EAF52">
      <w:r>
        <w:t>The full-development radiomics pipeline retained eight features after reproducibility gating, univariable screening, deterministic Spearman pruning, FCQ mRMR ranking, and L1-logistic selection. Spearman pruning was iterative: whenever the maximum absolute pairwise correlation exceeded 0.90, the lexicographically first pair among ties for that maximum (within 1e-12) was considered; the member with the larger mean absolute correlation to all other active features was removed, and if those mean correlation burdens were tied (within 1e-12), the lexicographically smaller feature name was retained. Pruning continued until all remaining pairwise |rho| values were ≤ 0.90. For FCQ-style mRMR, relevance was the one-way ANOVA F statistic from f_classif; nonfinite or nonpositive relevance was set to zero and excluded. Redundancy after the first selection was the mean absolute Pearson correlation with already selected features, with nonfinite correlations replaced by 0.001 and each absolute correlation floored at 0.001. The ranking score was relevance divided by redundancy; the highest-scoring feature was selected iteratively, with score ties within 1e-12 resolved lexicographically by feature name, until 10 features were retained. In the full-development feature-selection analysis, StandardScaler was fitted within each of 10 cross-validation training folds and liblinear L1 logistic regression in GridSearchCV evaluated the 100-value C grid by validation log-loss. The selected C was 0.4328761281 and eight coefficients were nonzero. For the final standalone model, StandardScaler was fitted on all 66 development cases and the eight ordered variables were entered into logistic regression with C = 1, L2 penalty, class_weight = balanced, lbfgs solver, and max_iter = 1000. The frozen probability cutoff was 0.5825520268. Exact scaler parameters and coefficients are listed in Table S7.</w:t>
      </w:r>
    </w:p>
    <w:p w14:paraId="41054345">
      <w:r>
        <w:t>For the repeated nested assessment, the identical 100-value C grid and fold-local scaling were retained, but a SAGA L1 regularization path was used to score validation log-loss within each feature-selection training subset, followed by a liblinear refit at the selected C to determine nonzero features. Thus, a cross-check on all 66 development cases reproduced the full-development C and eight-feature signature; fold-specific nested signatures varied, and solver/search implementations differed.</w:t>
      </w:r>
    </w:p>
    <w:p w14:paraId="0FFB7596">
      <w:r>
        <w:t>The combined model used repeated cross-fitted LR probabilities rather than the standalone full-66 LR probability. Development fitting used the mean of 10 out-of-fold probabilities per patient from repeated 5-fold cross-fitting. For evaluation, each patient's base score was the mean probability from 50 frozen fold-specific LR pipelines. The second-level equation was logit[P(IAC)] = −2.8942650338 + 2.4415859945 × pleural indentation + 3.6765207574 × CrossFitted_Rad_score. Its cutoff, 0.3731118318, was selected from in-sample second-level probabilities based on strictly out-of-fold radiomics inputs in all 66 development cases by maximum Youden J; ties were resolved by higher specificity and then higher threshold. The operating rule is pleural indentation present OR, if absent, CrossFitted_Rad_score ≥0.646093. Complete fold-level parameters, frozen objects, and executable code are provided in Additional file 2.</w:t>
      </w:r>
    </w:p>
    <w:p w14:paraId="1E490031">
      <w:pPr>
        <w:pStyle w:val="4"/>
        <w:keepNext/>
      </w:pPr>
      <w:r>
        <w:t>S3. Software environments</w:t>
      </w:r>
    </w:p>
    <w:p w14:paraId="3283DD1E">
      <w:r>
        <w:t>Before feature calculation, images were resampled to isotropic 1 × 1 × 1 mm³ voxels with B-spline interpolation and masks with nearest-neighbor interpolation. A fixed 25-HU bin width was applied independently after generation of each Original or Wavelet image. Original images and a single-level coif1 wavelet decomposition were enabled; normalize and force2D were false, and no LoG or other image type was enabled. All unlisted settings used PyRadiomics 3.1.0 defaults. Feature classes were shape, first order, GLCM, GLRLM, GLSZM, GLDM, and NGTDM, yielding 107 Original-image and 744 Wavelet features (851 total). Extraction used 3D Slicer 5.8.1 with embedded Python 3.9.10, PyRadiomics 3.1.0.post2+g146e3bd, SimpleITK 2.4.0rc2.dev213, NumPy 1.26.4, and PyWavelets 1.6.0. Formulae followed IBSI definitions where available, but GLCM MCC lacks an IBSI definition, IBSI version 1 did not standardize wavelet filters, and filtered-image discretization remains implementation dependent. The author-verified reconstructed YAML file is supplied in Additional file 2.</w:t>
      </w:r>
    </w:p>
    <w:p w14:paraId="1FD05B5F">
      <w:pPr>
        <w:pStyle w:val="4"/>
        <w:keepNext/>
      </w:pPr>
      <w:r>
        <w:t>S4. CT acquisition heterogeneity</w:t>
      </w:r>
    </w:p>
    <w:p w14:paraId="043159C2">
      <w:r>
        <w:t>CT data were acquired on seven scanner models from five manufacturers. Revolution CT and 1.25-mm reconstruction were the same exposure in all 45 cases. Cohort- and diagnosis-specific distributions are in Table S5: in development the joint setting occurred in 21/29 eNCPHs and 13/37 IACs, whereas in evaluation it occurred in 4/13 and 7/16. No ComBat harmonization or scanner-specific model was fitted. Descriptive within-diagnosis comparisons of the eight standardized final features were performed in development because acquisition was associated with diagnosis there. Acquisition-related confounding remains possible.</w:t>
      </w:r>
    </w:p>
    <w:p w14:paraId="3C665FF8">
      <w:pPr>
        <w:pStyle w:val="4"/>
        <w:keepNext/>
      </w:pPr>
      <w:r>
        <w:t>S5. Enhancement measurements</w:t>
      </w:r>
    </w:p>
    <w:p w14:paraId="0BFE92F6">
      <w:r>
        <w:t>Net venous-phase enhancement was venous-phase minus unenhanced attenuation. Two radiologists independently measured matched solid-lesion ROIs while avoiding vessels, margins, and partial-volume interfaces; consensus followed blinded joint review. Interobserver ICC(A,1) values were 0.944 for unenhanced attenuation, 0.951 for venous attenuation, and 0.915 for net enhancement (Table S1). Positive enhancement (&gt;0 HU) was an operational eligibility criterion, not a clinically validated threshold; very small positive changes may be measurement noise. Enhancement was analyzed continuously in development and in two post hoc benchmarks applied unchanged to evaluation. A &gt;10-HU sensitivity analysis excluded two development cases and repeated only conventional enhancement summaries and regression, not radiomic model development or evaluation.</w:t>
      </w:r>
    </w:p>
    <w:p w14:paraId="3B1D3E79">
      <w:pPr>
        <w:pStyle w:val="4"/>
        <w:keepNext/>
      </w:pPr>
      <w:r>
        <w:t>S6. Model-selection and stability framework</w:t>
      </w:r>
    </w:p>
    <w:p w14:paraId="3F96A189">
      <w:r>
        <w:t>Final classifier-family/configuration selection used a training-only five-fold model-selection CV on all 66 development cases (shuffle = true; seed 9090). Candidate configurations were LR (C = 1, L2, lbfgs, class_weight = balanced), RBF-SVM (C = 1, gamma = scale, class_weight = balanced), SGD logistic classification (L2, alpha = 10^-4, class_weight = balanced), LDA (svd), and GNB with var_smoothing = 10^-12,…,10^0 in 13 log-spaced steps. Complete feature selection and scaling were repeated inside each training fold. RepeatedStratifiedKFold with 5 folds × 10 repeats and random_state = 0 assessed the full procedure. The L1 feature-selection grid was 100 log-spaced C values from 10^-4 to 10^4. The patient-level development/evaluation split used stratification by diagnosis, test_size = 0.30, and random_state = 1. Candidate configurations and seeds are summarized in Table S8.</w:t>
      </w:r>
    </w:p>
    <w:p w14:paraId="20FFC050">
      <w:pPr>
        <w:pStyle w:val="4"/>
        <w:keepNext/>
      </w:pPr>
      <w:r>
        <w:t>S7. Post hoc ancillary analyses</w:t>
      </w:r>
    </w:p>
    <w:p w14:paraId="09BA4B4A">
      <w:r>
        <w:t>After model and prediction locking, ancillary analyses were performed without altering any frozen feature set, scaler, coefficient, cutoff, calibration parameter, or evaluation prediction.</w:t>
      </w:r>
    </w:p>
    <w:p w14:paraId="65953B77">
      <w:r>
        <w:t>Because all 1.25-mm examinations were acquired on Revolution CT, scanner model and thickness could not be separated. A frozen-prediction sensitivity analysis removed the 11 exposed evaluation cases. The excluded subgroup and remaining cases were summarized separately. For enhancement, development-fitted equations were logit[P(IAC)] = −1.679028 + 0.619007 × enhancement/10 HU and logit[P(IAC)] = −2.770437 + 2.695683 × pleural indentation + 0.506964 × enhancement/10 HU. Paired DeLong comparisons with radiomics were Holm-adjusted within a separate two-comparison family.</w:t>
      </w:r>
    </w:p>
    <w:p w14:paraId="3A1623C5">
      <w:r>
        <w:t>Approximate minimum detectable absolute paired AUC differences were calculated from the paired DeLong standard errors of locked predictions at 80% power and two-sided α = 0.05. The attainable headroom above the reference AUC was also reported. These post hoc quantities describe precision conditional on the observed covariance; they are not prospective sample-size calculations or equivalence margins.</w:t>
      </w:r>
    </w:p>
    <w:p w14:paraId="040B2E78">
      <w:pPr>
        <w:pStyle w:val="3"/>
        <w:keepNext/>
      </w:pPr>
      <w:r>
        <w:t>Supplementary Tables</w:t>
      </w:r>
    </w:p>
    <w:p w14:paraId="2FDA647B">
      <w:pPr>
        <w:pStyle w:val="168"/>
        <w:keepNext/>
        <w:keepLines/>
        <w:spacing w:before="160" w:after="60"/>
      </w:pPr>
      <w:r>
        <w:t>Table S1. Reproducibility of conventional CT and enhancement measurements (Panel A)</w:t>
      </w:r>
    </w:p>
    <w:tbl>
      <w:tblPr>
        <w:tblStyle w:val="33"/>
        <w:tblW w:w="0" w:type="auto"/>
        <w:jc w:val="center"/>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843"/>
        <w:gridCol w:w="1843"/>
        <w:gridCol w:w="1843"/>
        <w:gridCol w:w="1843"/>
        <w:gridCol w:w="1843"/>
      </w:tblGrid>
      <w:tr w14:paraId="5F824866">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tblHeader w:val="true"/>
          <w:jc w:val="center"/>
        </w:trPr>
        <w:tc>
          <w:tcPr>
            <w:tcW w:w="2376" w:type="dxa"/>
            <w:tcBorders>
              <w:top w:val="single" w:color="000000" w:sz="12" w:space="0"/>
              <w:left w:val="nil"/>
              <w:bottom w:val="single" w:color="000000" w:sz="6" w:space="0"/>
              <w:right w:val="nil"/>
            </w:tcBorders>
            <w:shd w:val="clear" w:color="auto" w:fill="D9EAF3"/>
            <w:vAlign w:val="center"/>
          </w:tcPr>
          <w:p w14:paraId="07857CDE">
            <w:pPr>
              <w:spacing w:before="0" w:after="0" w:line="240" w:lineRule="auto"/>
              <w:jc w:val="center"/>
            </w:pPr>
            <w:r>
              <w:rPr>
                <w:rFonts w:ascii="Arial" w:hAnsi="Arial"/>
                <w:b/>
                <w:sz w:val="15"/>
              </w:rPr>
              <w:t>Feature</w:t>
            </w:r>
          </w:p>
        </w:tc>
        <w:tc>
          <w:tcPr>
            <w:tcW w:w="2088" w:type="dxa"/>
            <w:tcBorders>
              <w:top w:val="single" w:color="000000" w:sz="12" w:space="0"/>
              <w:left w:val="nil"/>
              <w:bottom w:val="single" w:color="000000" w:sz="6" w:space="0"/>
              <w:right w:val="nil"/>
            </w:tcBorders>
            <w:shd w:val="clear" w:color="auto" w:fill="D9EAF3"/>
            <w:vAlign w:val="center"/>
          </w:tcPr>
          <w:p w14:paraId="6A1E9D54">
            <w:pPr>
              <w:spacing w:before="0" w:after="0" w:line="240" w:lineRule="auto"/>
              <w:jc w:val="center"/>
            </w:pPr>
            <w:r>
              <w:rPr>
                <w:rFonts w:ascii="Arial" w:hAnsi="Arial"/>
                <w:b/>
                <w:sz w:val="15"/>
              </w:rPr>
              <w:t>Intraobserver estimate (95% CI)</w:t>
            </w:r>
          </w:p>
        </w:tc>
        <w:tc>
          <w:tcPr>
            <w:tcW w:w="1080" w:type="dxa"/>
            <w:tcBorders>
              <w:top w:val="single" w:color="000000" w:sz="12" w:space="0"/>
              <w:left w:val="nil"/>
              <w:bottom w:val="single" w:color="000000" w:sz="6" w:space="0"/>
              <w:right w:val="nil"/>
            </w:tcBorders>
            <w:shd w:val="clear" w:color="auto" w:fill="D9EAF3"/>
            <w:vAlign w:val="center"/>
          </w:tcPr>
          <w:p w14:paraId="143E9B01">
            <w:pPr>
              <w:spacing w:before="0" w:after="0" w:line="240" w:lineRule="auto"/>
              <w:jc w:val="center"/>
            </w:pPr>
            <w:r>
              <w:rPr>
                <w:rFonts w:ascii="Arial" w:hAnsi="Arial"/>
                <w:b/>
                <w:sz w:val="15"/>
              </w:rPr>
              <w:t>Intraobserver agreement, %</w:t>
            </w:r>
          </w:p>
        </w:tc>
        <w:tc>
          <w:tcPr>
            <w:tcW w:w="2088" w:type="dxa"/>
            <w:tcBorders>
              <w:top w:val="single" w:color="000000" w:sz="12" w:space="0"/>
              <w:left w:val="nil"/>
              <w:bottom w:val="single" w:color="000000" w:sz="6" w:space="0"/>
              <w:right w:val="nil"/>
            </w:tcBorders>
            <w:shd w:val="clear" w:color="auto" w:fill="D9EAF3"/>
            <w:vAlign w:val="center"/>
          </w:tcPr>
          <w:p w14:paraId="5089087A">
            <w:pPr>
              <w:spacing w:before="0" w:after="0" w:line="240" w:lineRule="auto"/>
              <w:jc w:val="center"/>
            </w:pPr>
            <w:r>
              <w:rPr>
                <w:rFonts w:ascii="Arial" w:hAnsi="Arial"/>
                <w:b/>
                <w:sz w:val="15"/>
              </w:rPr>
              <w:t>Interobserver estimate (95% CI)</w:t>
            </w:r>
          </w:p>
        </w:tc>
        <w:tc>
          <w:tcPr>
            <w:tcW w:w="1080" w:type="dxa"/>
            <w:tcBorders>
              <w:top w:val="single" w:color="000000" w:sz="12" w:space="0"/>
              <w:left w:val="nil"/>
              <w:bottom w:val="single" w:color="000000" w:sz="6" w:space="0"/>
              <w:right w:val="nil"/>
            </w:tcBorders>
            <w:shd w:val="clear" w:color="auto" w:fill="D9EAF3"/>
            <w:vAlign w:val="center"/>
          </w:tcPr>
          <w:p w14:paraId="02BBC1CE">
            <w:pPr>
              <w:spacing w:before="0" w:after="0" w:line="240" w:lineRule="auto"/>
              <w:jc w:val="center"/>
            </w:pPr>
            <w:r>
              <w:rPr>
                <w:rFonts w:ascii="Arial" w:hAnsi="Arial"/>
                <w:b/>
                <w:sz w:val="15"/>
              </w:rPr>
              <w:t>Interobserver agreement, %</w:t>
            </w:r>
          </w:p>
        </w:tc>
      </w:tr>
      <w:tr w14:paraId="1D8BAB53">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2376" w:type="dxa"/>
            <w:tcBorders>
              <w:top w:val="nil"/>
              <w:left w:val="nil"/>
              <w:bottom w:val="nil"/>
              <w:right w:val="nil"/>
            </w:tcBorders>
            <w:vAlign w:val="center"/>
          </w:tcPr>
          <w:p w14:paraId="45C94DDB">
            <w:pPr>
              <w:spacing w:before="0" w:after="0" w:line="240" w:lineRule="auto"/>
            </w:pPr>
            <w:bookmarkStart w:id="0" w:name="_GoBack" w:colFirst="0" w:colLast="4"/>
            <w:r>
              <w:rPr>
                <w:rFonts w:ascii="Arial" w:hAnsi="Arial"/>
                <w:b w:val="0"/>
                <w:sz w:val="15"/>
              </w:rPr>
              <w:t>Maximum diameter, ICC(A,1)</w:t>
            </w:r>
          </w:p>
        </w:tc>
        <w:tc>
          <w:tcPr>
            <w:tcW w:w="2088" w:type="dxa"/>
            <w:tcBorders>
              <w:top w:val="nil"/>
              <w:left w:val="nil"/>
              <w:bottom w:val="nil"/>
              <w:right w:val="nil"/>
            </w:tcBorders>
            <w:vAlign w:val="center"/>
          </w:tcPr>
          <w:p w14:paraId="4F6C377A">
            <w:pPr>
              <w:spacing w:before="0" w:after="0" w:line="240" w:lineRule="auto"/>
            </w:pPr>
            <w:r>
              <w:rPr>
                <w:rFonts w:ascii="Arial" w:hAnsi="Arial"/>
                <w:b w:val="0"/>
                <w:sz w:val="15"/>
              </w:rPr>
              <w:t>0.924 (0.849-0.963)</w:t>
            </w:r>
          </w:p>
        </w:tc>
        <w:tc>
          <w:tcPr>
            <w:tcW w:w="1080" w:type="dxa"/>
            <w:tcBorders>
              <w:top w:val="nil"/>
              <w:left w:val="nil"/>
              <w:bottom w:val="nil"/>
              <w:right w:val="nil"/>
            </w:tcBorders>
            <w:vAlign w:val="center"/>
          </w:tcPr>
          <w:p w14:paraId="1664F6DA">
            <w:pPr>
              <w:spacing w:before="0" w:after="0" w:line="240" w:lineRule="auto"/>
            </w:pPr>
            <w:r>
              <w:rPr>
                <w:rFonts w:ascii="Arial" w:hAnsi="Arial"/>
                <w:b w:val="0"/>
                <w:sz w:val="15"/>
              </w:rPr>
              <w:t>—</w:t>
            </w:r>
          </w:p>
        </w:tc>
        <w:tc>
          <w:tcPr>
            <w:tcW w:w="2088" w:type="dxa"/>
            <w:tcBorders>
              <w:top w:val="nil"/>
              <w:left w:val="nil"/>
              <w:bottom w:val="nil"/>
              <w:right w:val="nil"/>
            </w:tcBorders>
            <w:vAlign w:val="center"/>
          </w:tcPr>
          <w:p w14:paraId="48DED49F">
            <w:pPr>
              <w:spacing w:before="0" w:after="0" w:line="240" w:lineRule="auto"/>
            </w:pPr>
            <w:r>
              <w:rPr>
                <w:rFonts w:ascii="Arial" w:hAnsi="Arial"/>
                <w:b w:val="0"/>
                <w:sz w:val="15"/>
              </w:rPr>
              <w:t>0.875 (0.755–0.938)</w:t>
            </w:r>
          </w:p>
        </w:tc>
        <w:tc>
          <w:tcPr>
            <w:tcW w:w="1080" w:type="dxa"/>
            <w:tcBorders>
              <w:top w:val="nil"/>
              <w:left w:val="nil"/>
              <w:bottom w:val="nil"/>
              <w:right w:val="nil"/>
            </w:tcBorders>
            <w:vAlign w:val="center"/>
          </w:tcPr>
          <w:p w14:paraId="3803CA8A">
            <w:pPr>
              <w:spacing w:before="0" w:after="0" w:line="240" w:lineRule="auto"/>
            </w:pPr>
            <w:r>
              <w:rPr>
                <w:rFonts w:ascii="Arial" w:hAnsi="Arial"/>
                <w:b w:val="0"/>
                <w:sz w:val="15"/>
              </w:rPr>
              <w:t>—</w:t>
            </w:r>
          </w:p>
        </w:tc>
      </w:tr>
      <w:tr w14:paraId="1686D79D">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2376" w:type="dxa"/>
            <w:tcBorders>
              <w:top w:val="nil"/>
              <w:left w:val="nil"/>
              <w:bottom w:val="nil"/>
              <w:right w:val="nil"/>
            </w:tcBorders>
            <w:vAlign w:val="center"/>
          </w:tcPr>
          <w:p w14:paraId="66FF735A">
            <w:pPr>
              <w:spacing w:before="0" w:after="0" w:line="240" w:lineRule="auto"/>
            </w:pPr>
            <w:r>
              <w:rPr>
                <w:rFonts w:ascii="Arial" w:hAnsi="Arial"/>
                <w:b w:val="0"/>
                <w:sz w:val="15"/>
              </w:rPr>
              <w:t>Adjacent to pleura, κ</w:t>
            </w:r>
          </w:p>
        </w:tc>
        <w:tc>
          <w:tcPr>
            <w:tcW w:w="2088" w:type="dxa"/>
            <w:tcBorders>
              <w:top w:val="nil"/>
              <w:left w:val="nil"/>
              <w:bottom w:val="nil"/>
              <w:right w:val="nil"/>
            </w:tcBorders>
            <w:vAlign w:val="center"/>
          </w:tcPr>
          <w:p w14:paraId="13410932">
            <w:pPr>
              <w:spacing w:before="0" w:after="0" w:line="240" w:lineRule="auto"/>
            </w:pPr>
            <w:r>
              <w:rPr>
                <w:rFonts w:ascii="Arial" w:hAnsi="Arial"/>
                <w:b w:val="0"/>
                <w:sz w:val="15"/>
              </w:rPr>
              <w:t>0.664 (0.395-0.932)</w:t>
            </w:r>
          </w:p>
        </w:tc>
        <w:tc>
          <w:tcPr>
            <w:tcW w:w="1080" w:type="dxa"/>
            <w:tcBorders>
              <w:top w:val="nil"/>
              <w:left w:val="nil"/>
              <w:bottom w:val="nil"/>
              <w:right w:val="nil"/>
            </w:tcBorders>
            <w:vAlign w:val="center"/>
          </w:tcPr>
          <w:p w14:paraId="03F4C6A2">
            <w:pPr>
              <w:spacing w:before="0" w:after="0" w:line="240" w:lineRule="auto"/>
            </w:pPr>
            <w:r>
              <w:rPr>
                <w:rFonts w:ascii="Arial" w:hAnsi="Arial"/>
                <w:b w:val="0"/>
                <w:sz w:val="15"/>
              </w:rPr>
              <w:t>83.3</w:t>
            </w:r>
          </w:p>
        </w:tc>
        <w:tc>
          <w:tcPr>
            <w:tcW w:w="2088" w:type="dxa"/>
            <w:tcBorders>
              <w:top w:val="nil"/>
              <w:left w:val="nil"/>
              <w:bottom w:val="nil"/>
              <w:right w:val="nil"/>
            </w:tcBorders>
            <w:vAlign w:val="center"/>
          </w:tcPr>
          <w:p w14:paraId="573F6775">
            <w:pPr>
              <w:spacing w:before="0" w:after="0" w:line="240" w:lineRule="auto"/>
            </w:pPr>
            <w:r>
              <w:rPr>
                <w:rFonts w:ascii="Arial" w:hAnsi="Arial"/>
                <w:b w:val="0"/>
                <w:sz w:val="15"/>
              </w:rPr>
              <w:t>0.670 (0.410-0.929)</w:t>
            </w:r>
          </w:p>
        </w:tc>
        <w:tc>
          <w:tcPr>
            <w:tcW w:w="1080" w:type="dxa"/>
            <w:tcBorders>
              <w:top w:val="nil"/>
              <w:left w:val="nil"/>
              <w:bottom w:val="nil"/>
              <w:right w:val="nil"/>
            </w:tcBorders>
            <w:vAlign w:val="center"/>
          </w:tcPr>
          <w:p w14:paraId="288645A4">
            <w:pPr>
              <w:spacing w:before="0" w:after="0" w:line="240" w:lineRule="auto"/>
            </w:pPr>
            <w:r>
              <w:rPr>
                <w:rFonts w:ascii="Arial" w:hAnsi="Arial"/>
                <w:b w:val="0"/>
                <w:sz w:val="15"/>
              </w:rPr>
              <w:t>83.3</w:t>
            </w:r>
          </w:p>
        </w:tc>
      </w:tr>
      <w:tr w14:paraId="0BF34C09">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2376" w:type="dxa"/>
            <w:tcBorders>
              <w:top w:val="nil"/>
              <w:left w:val="nil"/>
              <w:bottom w:val="nil"/>
              <w:right w:val="nil"/>
            </w:tcBorders>
            <w:vAlign w:val="center"/>
          </w:tcPr>
          <w:p w14:paraId="29A56B40">
            <w:pPr>
              <w:spacing w:before="0" w:after="0" w:line="240" w:lineRule="auto"/>
            </w:pPr>
            <w:r>
              <w:rPr>
                <w:rFonts w:ascii="Arial" w:hAnsi="Arial"/>
                <w:b w:val="0"/>
                <w:sz w:val="15"/>
              </w:rPr>
              <w:t>Smooth margin, κ</w:t>
            </w:r>
          </w:p>
        </w:tc>
        <w:tc>
          <w:tcPr>
            <w:tcW w:w="2088" w:type="dxa"/>
            <w:tcBorders>
              <w:top w:val="nil"/>
              <w:left w:val="nil"/>
              <w:bottom w:val="nil"/>
              <w:right w:val="nil"/>
            </w:tcBorders>
            <w:vAlign w:val="center"/>
          </w:tcPr>
          <w:p w14:paraId="2E1F4675">
            <w:pPr>
              <w:spacing w:before="0" w:after="0" w:line="240" w:lineRule="auto"/>
            </w:pPr>
            <w:r>
              <w:rPr>
                <w:rFonts w:ascii="Arial" w:hAnsi="Arial"/>
                <w:b w:val="0"/>
                <w:sz w:val="15"/>
              </w:rPr>
              <w:t>0.700 (0.428-0.972)</w:t>
            </w:r>
          </w:p>
        </w:tc>
        <w:tc>
          <w:tcPr>
            <w:tcW w:w="1080" w:type="dxa"/>
            <w:tcBorders>
              <w:top w:val="nil"/>
              <w:left w:val="nil"/>
              <w:bottom w:val="nil"/>
              <w:right w:val="nil"/>
            </w:tcBorders>
            <w:vAlign w:val="center"/>
          </w:tcPr>
          <w:p w14:paraId="661A9E8F">
            <w:pPr>
              <w:spacing w:before="0" w:after="0" w:line="240" w:lineRule="auto"/>
            </w:pPr>
            <w:r>
              <w:rPr>
                <w:rFonts w:ascii="Arial" w:hAnsi="Arial"/>
                <w:b w:val="0"/>
                <w:sz w:val="15"/>
              </w:rPr>
              <w:t>86.7</w:t>
            </w:r>
          </w:p>
        </w:tc>
        <w:tc>
          <w:tcPr>
            <w:tcW w:w="2088" w:type="dxa"/>
            <w:tcBorders>
              <w:top w:val="nil"/>
              <w:left w:val="nil"/>
              <w:bottom w:val="nil"/>
              <w:right w:val="nil"/>
            </w:tcBorders>
            <w:vAlign w:val="center"/>
          </w:tcPr>
          <w:p w14:paraId="7C358D45">
            <w:pPr>
              <w:spacing w:before="0" w:after="0" w:line="240" w:lineRule="auto"/>
            </w:pPr>
            <w:r>
              <w:rPr>
                <w:rFonts w:ascii="Arial" w:hAnsi="Arial"/>
                <w:b w:val="0"/>
                <w:sz w:val="15"/>
              </w:rPr>
              <w:t>0.780 (0.546-1.000)</w:t>
            </w:r>
          </w:p>
        </w:tc>
        <w:tc>
          <w:tcPr>
            <w:tcW w:w="1080" w:type="dxa"/>
            <w:tcBorders>
              <w:top w:val="nil"/>
              <w:left w:val="nil"/>
              <w:bottom w:val="nil"/>
              <w:right w:val="nil"/>
            </w:tcBorders>
            <w:vAlign w:val="center"/>
          </w:tcPr>
          <w:p w14:paraId="400895B5">
            <w:pPr>
              <w:spacing w:before="0" w:after="0" w:line="240" w:lineRule="auto"/>
            </w:pPr>
            <w:r>
              <w:rPr>
                <w:rFonts w:ascii="Arial" w:hAnsi="Arial"/>
                <w:b w:val="0"/>
                <w:sz w:val="15"/>
              </w:rPr>
              <w:t>90.0</w:t>
            </w:r>
          </w:p>
        </w:tc>
      </w:tr>
      <w:tr w14:paraId="68AB3B38">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2376" w:type="dxa"/>
            <w:tcBorders>
              <w:top w:val="nil"/>
              <w:left w:val="nil"/>
              <w:bottom w:val="nil"/>
              <w:right w:val="nil"/>
            </w:tcBorders>
            <w:vAlign w:val="center"/>
          </w:tcPr>
          <w:p w14:paraId="14C6111C">
            <w:pPr>
              <w:spacing w:before="0" w:after="0" w:line="240" w:lineRule="auto"/>
            </w:pPr>
            <w:r>
              <w:rPr>
                <w:rFonts w:ascii="Arial" w:hAnsi="Arial"/>
                <w:b w:val="0"/>
                <w:sz w:val="15"/>
              </w:rPr>
              <w:t>Lobulation, κ</w:t>
            </w:r>
          </w:p>
        </w:tc>
        <w:tc>
          <w:tcPr>
            <w:tcW w:w="2088" w:type="dxa"/>
            <w:tcBorders>
              <w:top w:val="nil"/>
              <w:left w:val="nil"/>
              <w:bottom w:val="nil"/>
              <w:right w:val="nil"/>
            </w:tcBorders>
            <w:vAlign w:val="center"/>
          </w:tcPr>
          <w:p w14:paraId="37154329">
            <w:pPr>
              <w:spacing w:before="0" w:after="0" w:line="240" w:lineRule="auto"/>
            </w:pPr>
            <w:r>
              <w:rPr>
                <w:rFonts w:ascii="Arial" w:hAnsi="Arial"/>
                <w:b w:val="0"/>
                <w:sz w:val="15"/>
              </w:rPr>
              <w:t>0.724 (0.474-0.973)</w:t>
            </w:r>
          </w:p>
        </w:tc>
        <w:tc>
          <w:tcPr>
            <w:tcW w:w="1080" w:type="dxa"/>
            <w:tcBorders>
              <w:top w:val="nil"/>
              <w:left w:val="nil"/>
              <w:bottom w:val="nil"/>
              <w:right w:val="nil"/>
            </w:tcBorders>
            <w:vAlign w:val="center"/>
          </w:tcPr>
          <w:p w14:paraId="33EE449B">
            <w:pPr>
              <w:spacing w:before="0" w:after="0" w:line="240" w:lineRule="auto"/>
            </w:pPr>
            <w:r>
              <w:rPr>
                <w:rFonts w:ascii="Arial" w:hAnsi="Arial"/>
                <w:b w:val="0"/>
                <w:sz w:val="15"/>
              </w:rPr>
              <w:t>86.7</w:t>
            </w:r>
          </w:p>
        </w:tc>
        <w:tc>
          <w:tcPr>
            <w:tcW w:w="2088" w:type="dxa"/>
            <w:tcBorders>
              <w:top w:val="nil"/>
              <w:left w:val="nil"/>
              <w:bottom w:val="nil"/>
              <w:right w:val="nil"/>
            </w:tcBorders>
            <w:vAlign w:val="center"/>
          </w:tcPr>
          <w:p w14:paraId="6BCB7477">
            <w:pPr>
              <w:spacing w:before="0" w:after="0" w:line="240" w:lineRule="auto"/>
            </w:pPr>
            <w:r>
              <w:rPr>
                <w:rFonts w:ascii="Arial" w:hAnsi="Arial"/>
                <w:b w:val="0"/>
                <w:sz w:val="15"/>
              </w:rPr>
              <w:t>0.447 (0.124-0.770)</w:t>
            </w:r>
          </w:p>
        </w:tc>
        <w:tc>
          <w:tcPr>
            <w:tcW w:w="1080" w:type="dxa"/>
            <w:tcBorders>
              <w:top w:val="nil"/>
              <w:left w:val="nil"/>
              <w:bottom w:val="nil"/>
              <w:right w:val="nil"/>
            </w:tcBorders>
            <w:vAlign w:val="center"/>
          </w:tcPr>
          <w:p w14:paraId="6E67362A">
            <w:pPr>
              <w:spacing w:before="0" w:after="0" w:line="240" w:lineRule="auto"/>
            </w:pPr>
            <w:r>
              <w:rPr>
                <w:rFonts w:ascii="Arial" w:hAnsi="Arial"/>
                <w:b w:val="0"/>
                <w:sz w:val="15"/>
              </w:rPr>
              <w:t>73.3</w:t>
            </w:r>
          </w:p>
        </w:tc>
      </w:tr>
      <w:tr w14:paraId="1AC88852">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2376" w:type="dxa"/>
            <w:tcBorders>
              <w:top w:val="nil"/>
              <w:left w:val="nil"/>
              <w:bottom w:val="nil"/>
              <w:right w:val="nil"/>
            </w:tcBorders>
            <w:vAlign w:val="center"/>
          </w:tcPr>
          <w:p w14:paraId="33069C10">
            <w:pPr>
              <w:spacing w:before="0" w:after="0" w:line="240" w:lineRule="auto"/>
            </w:pPr>
            <w:r>
              <w:rPr>
                <w:rFonts w:ascii="Arial" w:hAnsi="Arial"/>
                <w:b w:val="0"/>
                <w:sz w:val="15"/>
              </w:rPr>
              <w:t>Spiculation, κ</w:t>
            </w:r>
          </w:p>
        </w:tc>
        <w:tc>
          <w:tcPr>
            <w:tcW w:w="2088" w:type="dxa"/>
            <w:tcBorders>
              <w:top w:val="nil"/>
              <w:left w:val="nil"/>
              <w:bottom w:val="nil"/>
              <w:right w:val="nil"/>
            </w:tcBorders>
            <w:vAlign w:val="center"/>
          </w:tcPr>
          <w:p w14:paraId="5AC9E072">
            <w:pPr>
              <w:spacing w:before="0" w:after="0" w:line="240" w:lineRule="auto"/>
            </w:pPr>
            <w:r>
              <w:rPr>
                <w:rFonts w:ascii="Arial" w:hAnsi="Arial"/>
                <w:b w:val="0"/>
                <w:sz w:val="15"/>
              </w:rPr>
              <w:t>0.700 (0.428-0.972)</w:t>
            </w:r>
          </w:p>
        </w:tc>
        <w:tc>
          <w:tcPr>
            <w:tcW w:w="1080" w:type="dxa"/>
            <w:tcBorders>
              <w:top w:val="nil"/>
              <w:left w:val="nil"/>
              <w:bottom w:val="nil"/>
              <w:right w:val="nil"/>
            </w:tcBorders>
            <w:vAlign w:val="center"/>
          </w:tcPr>
          <w:p w14:paraId="4D07C1C7">
            <w:pPr>
              <w:spacing w:before="0" w:after="0" w:line="240" w:lineRule="auto"/>
            </w:pPr>
            <w:r>
              <w:rPr>
                <w:rFonts w:ascii="Arial" w:hAnsi="Arial"/>
                <w:b w:val="0"/>
                <w:sz w:val="15"/>
              </w:rPr>
              <w:t>86.7</w:t>
            </w:r>
          </w:p>
        </w:tc>
        <w:tc>
          <w:tcPr>
            <w:tcW w:w="2088" w:type="dxa"/>
            <w:tcBorders>
              <w:top w:val="nil"/>
              <w:left w:val="nil"/>
              <w:bottom w:val="nil"/>
              <w:right w:val="nil"/>
            </w:tcBorders>
            <w:vAlign w:val="center"/>
          </w:tcPr>
          <w:p w14:paraId="1CE396F3">
            <w:pPr>
              <w:spacing w:before="0" w:after="0" w:line="240" w:lineRule="auto"/>
            </w:pPr>
            <w:r>
              <w:rPr>
                <w:rFonts w:ascii="Arial" w:hAnsi="Arial"/>
                <w:b w:val="0"/>
                <w:sz w:val="15"/>
              </w:rPr>
              <w:t>0.550 (0.233-0.867)</w:t>
            </w:r>
          </w:p>
        </w:tc>
        <w:tc>
          <w:tcPr>
            <w:tcW w:w="1080" w:type="dxa"/>
            <w:tcBorders>
              <w:top w:val="nil"/>
              <w:left w:val="nil"/>
              <w:bottom w:val="nil"/>
              <w:right w:val="nil"/>
            </w:tcBorders>
            <w:vAlign w:val="center"/>
          </w:tcPr>
          <w:p w14:paraId="3BADDDA8">
            <w:pPr>
              <w:spacing w:before="0" w:after="0" w:line="240" w:lineRule="auto"/>
            </w:pPr>
            <w:r>
              <w:rPr>
                <w:rFonts w:ascii="Arial" w:hAnsi="Arial"/>
                <w:b w:val="0"/>
                <w:sz w:val="15"/>
              </w:rPr>
              <w:t>80.0</w:t>
            </w:r>
          </w:p>
        </w:tc>
      </w:tr>
      <w:tr w14:paraId="7E5E7EFD">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2376" w:type="dxa"/>
            <w:tcBorders>
              <w:top w:val="nil"/>
              <w:left w:val="nil"/>
              <w:bottom w:val="nil"/>
              <w:right w:val="nil"/>
            </w:tcBorders>
            <w:vAlign w:val="center"/>
          </w:tcPr>
          <w:p w14:paraId="7A6CBB0D">
            <w:pPr>
              <w:spacing w:before="0" w:after="0" w:line="240" w:lineRule="auto"/>
            </w:pPr>
            <w:r>
              <w:rPr>
                <w:rFonts w:ascii="Arial" w:hAnsi="Arial"/>
                <w:b w:val="0"/>
                <w:sz w:val="15"/>
              </w:rPr>
              <w:t>Pleural indentation, κ</w:t>
            </w:r>
          </w:p>
        </w:tc>
        <w:tc>
          <w:tcPr>
            <w:tcW w:w="2088" w:type="dxa"/>
            <w:tcBorders>
              <w:top w:val="nil"/>
              <w:left w:val="nil"/>
              <w:bottom w:val="nil"/>
              <w:right w:val="nil"/>
            </w:tcBorders>
            <w:vAlign w:val="center"/>
          </w:tcPr>
          <w:p w14:paraId="5F5C4199">
            <w:pPr>
              <w:spacing w:before="0" w:after="0" w:line="240" w:lineRule="auto"/>
            </w:pPr>
            <w:r>
              <w:rPr>
                <w:rFonts w:ascii="Arial" w:hAnsi="Arial"/>
                <w:b w:val="0"/>
                <w:sz w:val="15"/>
              </w:rPr>
              <w:t>0.729 (0.481-0.976)</w:t>
            </w:r>
          </w:p>
        </w:tc>
        <w:tc>
          <w:tcPr>
            <w:tcW w:w="1080" w:type="dxa"/>
            <w:tcBorders>
              <w:top w:val="nil"/>
              <w:left w:val="nil"/>
              <w:bottom w:val="nil"/>
              <w:right w:val="nil"/>
            </w:tcBorders>
            <w:vAlign w:val="center"/>
          </w:tcPr>
          <w:p w14:paraId="24F200AD">
            <w:pPr>
              <w:spacing w:before="0" w:after="0" w:line="240" w:lineRule="auto"/>
            </w:pPr>
            <w:r>
              <w:rPr>
                <w:rFonts w:ascii="Arial" w:hAnsi="Arial"/>
                <w:b w:val="0"/>
                <w:sz w:val="15"/>
              </w:rPr>
              <w:t>86.7</w:t>
            </w:r>
          </w:p>
        </w:tc>
        <w:tc>
          <w:tcPr>
            <w:tcW w:w="2088" w:type="dxa"/>
            <w:tcBorders>
              <w:top w:val="nil"/>
              <w:left w:val="nil"/>
              <w:bottom w:val="nil"/>
              <w:right w:val="nil"/>
            </w:tcBorders>
            <w:vAlign w:val="center"/>
          </w:tcPr>
          <w:p w14:paraId="0163D914">
            <w:pPr>
              <w:spacing w:before="0" w:after="0" w:line="240" w:lineRule="auto"/>
            </w:pPr>
            <w:r>
              <w:rPr>
                <w:rFonts w:ascii="Arial" w:hAnsi="Arial"/>
                <w:b w:val="0"/>
                <w:sz w:val="15"/>
              </w:rPr>
              <w:t>0.729 (0.481-0.976)</w:t>
            </w:r>
          </w:p>
        </w:tc>
        <w:tc>
          <w:tcPr>
            <w:tcW w:w="1080" w:type="dxa"/>
            <w:tcBorders>
              <w:top w:val="nil"/>
              <w:left w:val="nil"/>
              <w:bottom w:val="nil"/>
              <w:right w:val="nil"/>
            </w:tcBorders>
            <w:vAlign w:val="center"/>
          </w:tcPr>
          <w:p w14:paraId="0C1E41EC">
            <w:pPr>
              <w:spacing w:before="0" w:after="0" w:line="240" w:lineRule="auto"/>
            </w:pPr>
            <w:r>
              <w:rPr>
                <w:rFonts w:ascii="Arial" w:hAnsi="Arial"/>
                <w:b w:val="0"/>
                <w:sz w:val="15"/>
              </w:rPr>
              <w:t>86.7</w:t>
            </w:r>
          </w:p>
        </w:tc>
      </w:tr>
      <w:tr w14:paraId="6D601E64">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2376" w:type="dxa"/>
            <w:tcBorders>
              <w:top w:val="nil"/>
              <w:left w:val="nil"/>
              <w:bottom w:val="nil"/>
              <w:right w:val="nil"/>
            </w:tcBorders>
            <w:vAlign w:val="center"/>
          </w:tcPr>
          <w:p w14:paraId="25AA8091">
            <w:pPr>
              <w:spacing w:before="0" w:after="0" w:line="240" w:lineRule="auto"/>
            </w:pPr>
            <w:r>
              <w:rPr>
                <w:rFonts w:ascii="Arial" w:hAnsi="Arial"/>
                <w:b w:val="0"/>
                <w:sz w:val="15"/>
              </w:rPr>
              <w:t>Vascular convergence, κ</w:t>
            </w:r>
          </w:p>
        </w:tc>
        <w:tc>
          <w:tcPr>
            <w:tcW w:w="2088" w:type="dxa"/>
            <w:tcBorders>
              <w:top w:val="nil"/>
              <w:left w:val="nil"/>
              <w:bottom w:val="nil"/>
              <w:right w:val="nil"/>
            </w:tcBorders>
            <w:vAlign w:val="center"/>
          </w:tcPr>
          <w:p w14:paraId="5EA47E15">
            <w:pPr>
              <w:spacing w:before="0" w:after="0" w:line="240" w:lineRule="auto"/>
            </w:pPr>
            <w:r>
              <w:rPr>
                <w:rFonts w:ascii="Arial" w:hAnsi="Arial"/>
                <w:b w:val="0"/>
                <w:sz w:val="15"/>
              </w:rPr>
              <w:t>0.864 (0.683-1.000)</w:t>
            </w:r>
          </w:p>
        </w:tc>
        <w:tc>
          <w:tcPr>
            <w:tcW w:w="1080" w:type="dxa"/>
            <w:tcBorders>
              <w:top w:val="nil"/>
              <w:left w:val="nil"/>
              <w:bottom w:val="nil"/>
              <w:right w:val="nil"/>
            </w:tcBorders>
            <w:vAlign w:val="center"/>
          </w:tcPr>
          <w:p w14:paraId="307128CF">
            <w:pPr>
              <w:spacing w:before="0" w:after="0" w:line="240" w:lineRule="auto"/>
            </w:pPr>
            <w:r>
              <w:rPr>
                <w:rFonts w:ascii="Arial" w:hAnsi="Arial"/>
                <w:b w:val="0"/>
                <w:sz w:val="15"/>
              </w:rPr>
              <w:t>93.3</w:t>
            </w:r>
          </w:p>
        </w:tc>
        <w:tc>
          <w:tcPr>
            <w:tcW w:w="2088" w:type="dxa"/>
            <w:tcBorders>
              <w:top w:val="nil"/>
              <w:left w:val="nil"/>
              <w:bottom w:val="nil"/>
              <w:right w:val="nil"/>
            </w:tcBorders>
            <w:vAlign w:val="center"/>
          </w:tcPr>
          <w:p w14:paraId="409C9B9B">
            <w:pPr>
              <w:spacing w:before="0" w:after="0" w:line="240" w:lineRule="auto"/>
            </w:pPr>
            <w:r>
              <w:rPr>
                <w:rFonts w:ascii="Arial" w:hAnsi="Arial"/>
                <w:b w:val="0"/>
                <w:sz w:val="15"/>
              </w:rPr>
              <w:t>0.795 (0.575-1.000)</w:t>
            </w:r>
          </w:p>
        </w:tc>
        <w:tc>
          <w:tcPr>
            <w:tcW w:w="1080" w:type="dxa"/>
            <w:tcBorders>
              <w:top w:val="nil"/>
              <w:left w:val="nil"/>
              <w:bottom w:val="nil"/>
              <w:right w:val="nil"/>
            </w:tcBorders>
            <w:vAlign w:val="center"/>
          </w:tcPr>
          <w:p w14:paraId="188ACD55">
            <w:pPr>
              <w:spacing w:before="0" w:after="0" w:line="240" w:lineRule="auto"/>
            </w:pPr>
            <w:r>
              <w:rPr>
                <w:rFonts w:ascii="Arial" w:hAnsi="Arial"/>
                <w:b w:val="0"/>
                <w:sz w:val="15"/>
              </w:rPr>
              <w:t>90.0</w:t>
            </w:r>
          </w:p>
        </w:tc>
      </w:tr>
      <w:tr w14:paraId="2AF81EB9">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2376" w:type="dxa"/>
            <w:tcBorders>
              <w:top w:val="nil"/>
              <w:left w:val="nil"/>
              <w:bottom w:val="nil"/>
              <w:right w:val="nil"/>
            </w:tcBorders>
            <w:vAlign w:val="center"/>
          </w:tcPr>
          <w:p w14:paraId="2EE0D069">
            <w:pPr>
              <w:spacing w:before="0" w:after="0" w:line="240" w:lineRule="auto"/>
            </w:pPr>
            <w:r>
              <w:rPr>
                <w:rFonts w:ascii="Arial" w:hAnsi="Arial"/>
                <w:b w:val="0"/>
                <w:sz w:val="15"/>
              </w:rPr>
              <w:t>Heterogeneous internal attenuation, κ</w:t>
            </w:r>
          </w:p>
        </w:tc>
        <w:tc>
          <w:tcPr>
            <w:tcW w:w="2088" w:type="dxa"/>
            <w:tcBorders>
              <w:top w:val="nil"/>
              <w:left w:val="nil"/>
              <w:bottom w:val="nil"/>
              <w:right w:val="nil"/>
            </w:tcBorders>
            <w:vAlign w:val="center"/>
          </w:tcPr>
          <w:p w14:paraId="1F04B8C5">
            <w:pPr>
              <w:spacing w:before="0" w:after="0" w:line="240" w:lineRule="auto"/>
            </w:pPr>
            <w:r>
              <w:rPr>
                <w:rFonts w:ascii="Arial" w:hAnsi="Arial"/>
                <w:b w:val="0"/>
                <w:sz w:val="15"/>
              </w:rPr>
              <w:t>1.000 (1.000-1.000)</w:t>
            </w:r>
          </w:p>
        </w:tc>
        <w:tc>
          <w:tcPr>
            <w:tcW w:w="1080" w:type="dxa"/>
            <w:tcBorders>
              <w:top w:val="nil"/>
              <w:left w:val="nil"/>
              <w:bottom w:val="nil"/>
              <w:right w:val="nil"/>
            </w:tcBorders>
            <w:vAlign w:val="center"/>
          </w:tcPr>
          <w:p w14:paraId="73D4D7C2">
            <w:pPr>
              <w:spacing w:before="0" w:after="0" w:line="240" w:lineRule="auto"/>
            </w:pPr>
            <w:r>
              <w:rPr>
                <w:rFonts w:ascii="Arial" w:hAnsi="Arial"/>
                <w:b w:val="0"/>
                <w:sz w:val="15"/>
              </w:rPr>
              <w:t>100</w:t>
            </w:r>
          </w:p>
        </w:tc>
        <w:tc>
          <w:tcPr>
            <w:tcW w:w="2088" w:type="dxa"/>
            <w:tcBorders>
              <w:top w:val="nil"/>
              <w:left w:val="nil"/>
              <w:bottom w:val="nil"/>
              <w:right w:val="nil"/>
            </w:tcBorders>
            <w:vAlign w:val="center"/>
          </w:tcPr>
          <w:p w14:paraId="5D65B840">
            <w:pPr>
              <w:spacing w:before="0" w:after="0" w:line="240" w:lineRule="auto"/>
            </w:pPr>
            <w:r>
              <w:rPr>
                <w:rFonts w:ascii="Arial" w:hAnsi="Arial"/>
                <w:b w:val="0"/>
                <w:sz w:val="15"/>
              </w:rPr>
              <w:t>0.583 (0.217-0.950)</w:t>
            </w:r>
          </w:p>
        </w:tc>
        <w:tc>
          <w:tcPr>
            <w:tcW w:w="1080" w:type="dxa"/>
            <w:tcBorders>
              <w:top w:val="nil"/>
              <w:left w:val="nil"/>
              <w:bottom w:val="nil"/>
              <w:right w:val="nil"/>
            </w:tcBorders>
            <w:vAlign w:val="center"/>
          </w:tcPr>
          <w:p w14:paraId="7BDC3CF1">
            <w:pPr>
              <w:spacing w:before="0" w:after="0" w:line="240" w:lineRule="auto"/>
            </w:pPr>
            <w:r>
              <w:rPr>
                <w:rFonts w:ascii="Arial" w:hAnsi="Arial"/>
                <w:b w:val="0"/>
                <w:sz w:val="15"/>
              </w:rPr>
              <w:t>86.7</w:t>
            </w:r>
          </w:p>
        </w:tc>
      </w:tr>
      <w:tr w14:paraId="3D18D30F">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2376" w:type="dxa"/>
            <w:tcBorders>
              <w:top w:val="nil"/>
              <w:left w:val="nil"/>
              <w:bottom w:val="nil"/>
              <w:right w:val="nil"/>
            </w:tcBorders>
            <w:vAlign w:val="center"/>
          </w:tcPr>
          <w:p w14:paraId="030EEE48">
            <w:pPr>
              <w:spacing w:before="0" w:after="0" w:line="240" w:lineRule="auto"/>
            </w:pPr>
            <w:r>
              <w:rPr>
                <w:rFonts w:ascii="Arial" w:hAnsi="Arial"/>
                <w:b w:val="0"/>
                <w:sz w:val="15"/>
              </w:rPr>
              <w:t>Irregular shape, κ</w:t>
            </w:r>
          </w:p>
        </w:tc>
        <w:tc>
          <w:tcPr>
            <w:tcW w:w="2088" w:type="dxa"/>
            <w:tcBorders>
              <w:top w:val="nil"/>
              <w:left w:val="nil"/>
              <w:bottom w:val="nil"/>
              <w:right w:val="nil"/>
            </w:tcBorders>
            <w:vAlign w:val="center"/>
          </w:tcPr>
          <w:p w14:paraId="66522B37">
            <w:pPr>
              <w:spacing w:before="0" w:after="0" w:line="240" w:lineRule="auto"/>
            </w:pPr>
            <w:r>
              <w:rPr>
                <w:rFonts w:ascii="Arial" w:hAnsi="Arial"/>
                <w:b w:val="0"/>
                <w:sz w:val="15"/>
              </w:rPr>
              <w:t>0.760 (0.443-1.000)</w:t>
            </w:r>
          </w:p>
        </w:tc>
        <w:tc>
          <w:tcPr>
            <w:tcW w:w="1080" w:type="dxa"/>
            <w:tcBorders>
              <w:top w:val="nil"/>
              <w:left w:val="nil"/>
              <w:bottom w:val="nil"/>
              <w:right w:val="nil"/>
            </w:tcBorders>
            <w:vAlign w:val="center"/>
          </w:tcPr>
          <w:p w14:paraId="1C7CE806">
            <w:pPr>
              <w:spacing w:before="0" w:after="0" w:line="240" w:lineRule="auto"/>
            </w:pPr>
            <w:r>
              <w:rPr>
                <w:rFonts w:ascii="Arial" w:hAnsi="Arial"/>
                <w:b w:val="0"/>
                <w:sz w:val="15"/>
              </w:rPr>
              <w:t>93.3</w:t>
            </w:r>
          </w:p>
        </w:tc>
        <w:tc>
          <w:tcPr>
            <w:tcW w:w="2088" w:type="dxa"/>
            <w:tcBorders>
              <w:top w:val="nil"/>
              <w:left w:val="nil"/>
              <w:bottom w:val="nil"/>
              <w:right w:val="nil"/>
            </w:tcBorders>
            <w:vAlign w:val="center"/>
          </w:tcPr>
          <w:p w14:paraId="65EEED64">
            <w:pPr>
              <w:spacing w:before="0" w:after="0" w:line="240" w:lineRule="auto"/>
            </w:pPr>
            <w:r>
              <w:rPr>
                <w:rFonts w:ascii="Arial" w:hAnsi="Arial"/>
                <w:b w:val="0"/>
                <w:sz w:val="15"/>
              </w:rPr>
              <w:t>0.444 (0.036-0.853)</w:t>
            </w:r>
          </w:p>
        </w:tc>
        <w:tc>
          <w:tcPr>
            <w:tcW w:w="1080" w:type="dxa"/>
            <w:tcBorders>
              <w:top w:val="nil"/>
              <w:left w:val="nil"/>
              <w:bottom w:val="nil"/>
              <w:right w:val="nil"/>
            </w:tcBorders>
            <w:vAlign w:val="center"/>
          </w:tcPr>
          <w:p w14:paraId="02F89BA6">
            <w:pPr>
              <w:spacing w:before="0" w:after="0" w:line="240" w:lineRule="auto"/>
            </w:pPr>
            <w:r>
              <w:rPr>
                <w:rFonts w:ascii="Arial" w:hAnsi="Arial"/>
                <w:b w:val="0"/>
                <w:sz w:val="15"/>
              </w:rPr>
              <w:t>83.3</w:t>
            </w:r>
          </w:p>
        </w:tc>
      </w:tr>
      <w:tr w14:paraId="1BF7B863">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2376" w:type="dxa"/>
            <w:tcBorders>
              <w:top w:val="nil"/>
              <w:left w:val="nil"/>
              <w:bottom w:val="nil"/>
              <w:right w:val="nil"/>
            </w:tcBorders>
            <w:vAlign w:val="center"/>
          </w:tcPr>
          <w:p w14:paraId="16B972F4">
            <w:pPr>
              <w:spacing w:before="0" w:after="0" w:line="240" w:lineRule="auto"/>
            </w:pPr>
            <w:r>
              <w:rPr>
                <w:rFonts w:ascii="Arial" w:hAnsi="Arial"/>
                <w:b w:val="0"/>
                <w:sz w:val="15"/>
              </w:rPr>
              <w:t>Air bronchogram, κ</w:t>
            </w:r>
          </w:p>
        </w:tc>
        <w:tc>
          <w:tcPr>
            <w:tcW w:w="2088" w:type="dxa"/>
            <w:tcBorders>
              <w:top w:val="nil"/>
              <w:left w:val="nil"/>
              <w:bottom w:val="nil"/>
              <w:right w:val="nil"/>
            </w:tcBorders>
            <w:vAlign w:val="center"/>
          </w:tcPr>
          <w:p w14:paraId="00EE7FAE">
            <w:pPr>
              <w:spacing w:before="0" w:after="0" w:line="240" w:lineRule="auto"/>
            </w:pPr>
            <w:r>
              <w:rPr>
                <w:rFonts w:ascii="Arial" w:hAnsi="Arial"/>
                <w:b w:val="0"/>
                <w:sz w:val="15"/>
              </w:rPr>
              <w:t>0.850 (0.649-1.000)</w:t>
            </w:r>
          </w:p>
        </w:tc>
        <w:tc>
          <w:tcPr>
            <w:tcW w:w="1080" w:type="dxa"/>
            <w:tcBorders>
              <w:top w:val="nil"/>
              <w:left w:val="nil"/>
              <w:bottom w:val="nil"/>
              <w:right w:val="nil"/>
            </w:tcBorders>
            <w:vAlign w:val="center"/>
          </w:tcPr>
          <w:p w14:paraId="19CA702A">
            <w:pPr>
              <w:spacing w:before="0" w:after="0" w:line="240" w:lineRule="auto"/>
            </w:pPr>
            <w:r>
              <w:rPr>
                <w:rFonts w:ascii="Arial" w:hAnsi="Arial"/>
                <w:b w:val="0"/>
                <w:sz w:val="15"/>
              </w:rPr>
              <w:t>93.3</w:t>
            </w:r>
          </w:p>
        </w:tc>
        <w:tc>
          <w:tcPr>
            <w:tcW w:w="2088" w:type="dxa"/>
            <w:tcBorders>
              <w:top w:val="nil"/>
              <w:left w:val="nil"/>
              <w:bottom w:val="nil"/>
              <w:right w:val="nil"/>
            </w:tcBorders>
            <w:vAlign w:val="center"/>
          </w:tcPr>
          <w:p w14:paraId="40C525A9">
            <w:pPr>
              <w:spacing w:before="0" w:after="0" w:line="240" w:lineRule="auto"/>
            </w:pPr>
            <w:r>
              <w:rPr>
                <w:rFonts w:ascii="Arial" w:hAnsi="Arial"/>
                <w:b w:val="0"/>
                <w:sz w:val="15"/>
              </w:rPr>
              <w:t>0.700 (0.428-0.972)</w:t>
            </w:r>
          </w:p>
        </w:tc>
        <w:tc>
          <w:tcPr>
            <w:tcW w:w="1080" w:type="dxa"/>
            <w:tcBorders>
              <w:top w:val="nil"/>
              <w:left w:val="nil"/>
              <w:bottom w:val="nil"/>
              <w:right w:val="nil"/>
            </w:tcBorders>
            <w:vAlign w:val="center"/>
          </w:tcPr>
          <w:p w14:paraId="4FB280D0">
            <w:pPr>
              <w:spacing w:before="0" w:after="0" w:line="240" w:lineRule="auto"/>
            </w:pPr>
            <w:r>
              <w:rPr>
                <w:rFonts w:ascii="Arial" w:hAnsi="Arial"/>
                <w:b w:val="0"/>
                <w:sz w:val="15"/>
              </w:rPr>
              <w:t>86.7</w:t>
            </w:r>
          </w:p>
        </w:tc>
      </w:tr>
      <w:tr w14:paraId="01843A2C">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2376" w:type="dxa"/>
            <w:tcBorders>
              <w:top w:val="nil"/>
              <w:left w:val="nil"/>
              <w:bottom w:val="nil"/>
              <w:right w:val="nil"/>
            </w:tcBorders>
            <w:vAlign w:val="center"/>
          </w:tcPr>
          <w:p w14:paraId="113E5A89">
            <w:pPr>
              <w:spacing w:before="0" w:after="0" w:line="240" w:lineRule="auto"/>
            </w:pPr>
            <w:r>
              <w:rPr>
                <w:rFonts w:ascii="Arial" w:hAnsi="Arial"/>
                <w:b w:val="0"/>
                <w:sz w:val="15"/>
              </w:rPr>
              <w:t>Bubble-like lucency, κ</w:t>
            </w:r>
          </w:p>
        </w:tc>
        <w:tc>
          <w:tcPr>
            <w:tcW w:w="2088" w:type="dxa"/>
            <w:tcBorders>
              <w:top w:val="nil"/>
              <w:left w:val="nil"/>
              <w:bottom w:val="nil"/>
              <w:right w:val="nil"/>
            </w:tcBorders>
            <w:vAlign w:val="center"/>
          </w:tcPr>
          <w:p w14:paraId="47BFE01E">
            <w:pPr>
              <w:spacing w:before="0" w:after="0" w:line="240" w:lineRule="auto"/>
            </w:pPr>
            <w:r>
              <w:rPr>
                <w:rFonts w:ascii="Arial" w:hAnsi="Arial"/>
                <w:b w:val="0"/>
                <w:sz w:val="15"/>
              </w:rPr>
              <w:t>0.630 (0.158-1.000)</w:t>
            </w:r>
          </w:p>
        </w:tc>
        <w:tc>
          <w:tcPr>
            <w:tcW w:w="1080" w:type="dxa"/>
            <w:tcBorders>
              <w:top w:val="nil"/>
              <w:left w:val="nil"/>
              <w:bottom w:val="nil"/>
              <w:right w:val="nil"/>
            </w:tcBorders>
            <w:vAlign w:val="center"/>
          </w:tcPr>
          <w:p w14:paraId="70FC9440">
            <w:pPr>
              <w:spacing w:before="0" w:after="0" w:line="240" w:lineRule="auto"/>
            </w:pPr>
            <w:r>
              <w:rPr>
                <w:rFonts w:ascii="Arial" w:hAnsi="Arial"/>
                <w:b w:val="0"/>
                <w:sz w:val="15"/>
              </w:rPr>
              <w:t>93.3</w:t>
            </w:r>
          </w:p>
        </w:tc>
        <w:tc>
          <w:tcPr>
            <w:tcW w:w="2088" w:type="dxa"/>
            <w:tcBorders>
              <w:top w:val="nil"/>
              <w:left w:val="nil"/>
              <w:bottom w:val="nil"/>
              <w:right w:val="nil"/>
            </w:tcBorders>
            <w:vAlign w:val="center"/>
          </w:tcPr>
          <w:p w14:paraId="437902DB">
            <w:pPr>
              <w:spacing w:before="0" w:after="0" w:line="240" w:lineRule="auto"/>
            </w:pPr>
            <w:r>
              <w:rPr>
                <w:rFonts w:ascii="Arial" w:hAnsi="Arial"/>
                <w:b w:val="0"/>
                <w:sz w:val="15"/>
              </w:rPr>
              <w:t>0.516 (0.041-0.992)</w:t>
            </w:r>
          </w:p>
        </w:tc>
        <w:tc>
          <w:tcPr>
            <w:tcW w:w="1080" w:type="dxa"/>
            <w:tcBorders>
              <w:top w:val="nil"/>
              <w:left w:val="nil"/>
              <w:bottom w:val="nil"/>
              <w:right w:val="nil"/>
            </w:tcBorders>
            <w:vAlign w:val="center"/>
          </w:tcPr>
          <w:p w14:paraId="4E3291B3">
            <w:pPr>
              <w:spacing w:before="0" w:after="0" w:line="240" w:lineRule="auto"/>
            </w:pPr>
            <w:r>
              <w:rPr>
                <w:rFonts w:ascii="Arial" w:hAnsi="Arial"/>
                <w:b w:val="0"/>
                <w:sz w:val="15"/>
              </w:rPr>
              <w:t>90.0</w:t>
            </w:r>
          </w:p>
        </w:tc>
      </w:tr>
      <w:tr w14:paraId="6AEAFB50">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2376" w:type="dxa"/>
            <w:tcBorders>
              <w:top w:val="nil"/>
              <w:left w:val="nil"/>
              <w:bottom w:val="nil"/>
              <w:right w:val="nil"/>
            </w:tcBorders>
            <w:vAlign w:val="center"/>
          </w:tcPr>
          <w:p w14:paraId="242F9315">
            <w:pPr>
              <w:spacing w:before="0" w:after="0" w:line="240" w:lineRule="auto"/>
            </w:pPr>
            <w:r>
              <w:rPr>
                <w:rFonts w:ascii="Arial" w:hAnsi="Arial"/>
                <w:b w:val="0"/>
                <w:sz w:val="15"/>
              </w:rPr>
              <w:t>Intralesional fat, κ</w:t>
            </w:r>
          </w:p>
        </w:tc>
        <w:tc>
          <w:tcPr>
            <w:tcW w:w="2088" w:type="dxa"/>
            <w:tcBorders>
              <w:top w:val="nil"/>
              <w:left w:val="nil"/>
              <w:bottom w:val="nil"/>
              <w:right w:val="nil"/>
            </w:tcBorders>
            <w:vAlign w:val="center"/>
          </w:tcPr>
          <w:p w14:paraId="2387A6B1">
            <w:pPr>
              <w:spacing w:before="0" w:after="0" w:line="240" w:lineRule="auto"/>
            </w:pPr>
            <w:r>
              <w:rPr>
                <w:rFonts w:ascii="Arial" w:hAnsi="Arial"/>
                <w:b w:val="0"/>
                <w:sz w:val="15"/>
              </w:rPr>
              <w:t>0.630 (0.158-1.000)</w:t>
            </w:r>
          </w:p>
        </w:tc>
        <w:tc>
          <w:tcPr>
            <w:tcW w:w="1080" w:type="dxa"/>
            <w:tcBorders>
              <w:top w:val="nil"/>
              <w:left w:val="nil"/>
              <w:bottom w:val="nil"/>
              <w:right w:val="nil"/>
            </w:tcBorders>
            <w:vAlign w:val="center"/>
          </w:tcPr>
          <w:p w14:paraId="2A029BA7">
            <w:pPr>
              <w:spacing w:before="0" w:after="0" w:line="240" w:lineRule="auto"/>
            </w:pPr>
            <w:r>
              <w:rPr>
                <w:rFonts w:ascii="Arial" w:hAnsi="Arial"/>
                <w:b w:val="0"/>
                <w:sz w:val="15"/>
              </w:rPr>
              <w:t>93.3</w:t>
            </w:r>
          </w:p>
        </w:tc>
        <w:tc>
          <w:tcPr>
            <w:tcW w:w="2088" w:type="dxa"/>
            <w:tcBorders>
              <w:top w:val="nil"/>
              <w:left w:val="nil"/>
              <w:bottom w:val="nil"/>
              <w:right w:val="nil"/>
            </w:tcBorders>
            <w:vAlign w:val="center"/>
          </w:tcPr>
          <w:p w14:paraId="35711F80">
            <w:pPr>
              <w:spacing w:before="0" w:after="0" w:line="240" w:lineRule="auto"/>
            </w:pPr>
            <w:r>
              <w:rPr>
                <w:rFonts w:ascii="Arial" w:hAnsi="Arial"/>
                <w:b w:val="0"/>
                <w:sz w:val="15"/>
              </w:rPr>
              <w:t>0.516 (0.041-0.992)</w:t>
            </w:r>
          </w:p>
        </w:tc>
        <w:tc>
          <w:tcPr>
            <w:tcW w:w="1080" w:type="dxa"/>
            <w:tcBorders>
              <w:top w:val="nil"/>
              <w:left w:val="nil"/>
              <w:bottom w:val="nil"/>
              <w:right w:val="nil"/>
            </w:tcBorders>
            <w:vAlign w:val="center"/>
          </w:tcPr>
          <w:p w14:paraId="131CEFC0">
            <w:pPr>
              <w:spacing w:before="0" w:after="0" w:line="240" w:lineRule="auto"/>
            </w:pPr>
            <w:r>
              <w:rPr>
                <w:rFonts w:ascii="Arial" w:hAnsi="Arial"/>
                <w:b w:val="0"/>
                <w:sz w:val="15"/>
              </w:rPr>
              <w:t>90.0</w:t>
            </w:r>
          </w:p>
        </w:tc>
      </w:tr>
      <w:tr w14:paraId="5BD1726E">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2376" w:type="dxa"/>
            <w:tcBorders>
              <w:top w:val="nil"/>
              <w:left w:val="nil"/>
              <w:bottom w:val="nil"/>
              <w:right w:val="nil"/>
            </w:tcBorders>
            <w:vAlign w:val="center"/>
          </w:tcPr>
          <w:p w14:paraId="010D6620">
            <w:pPr>
              <w:spacing w:before="0" w:after="0" w:line="240" w:lineRule="auto"/>
            </w:pPr>
            <w:r>
              <w:rPr>
                <w:rFonts w:ascii="Arial" w:hAnsi="Arial"/>
                <w:b w:val="0"/>
                <w:sz w:val="15"/>
              </w:rPr>
              <w:t>Mean unenhanced attenuation, ICC(A,1)</w:t>
            </w:r>
          </w:p>
        </w:tc>
        <w:tc>
          <w:tcPr>
            <w:tcW w:w="2088" w:type="dxa"/>
            <w:tcBorders>
              <w:top w:val="nil"/>
              <w:left w:val="nil"/>
              <w:bottom w:val="nil"/>
              <w:right w:val="nil"/>
            </w:tcBorders>
            <w:vAlign w:val="center"/>
          </w:tcPr>
          <w:p w14:paraId="3AEBCC8D">
            <w:pPr>
              <w:spacing w:before="0" w:after="0" w:line="240" w:lineRule="auto"/>
            </w:pPr>
            <w:r>
              <w:rPr>
                <w:rFonts w:ascii="Arial" w:hAnsi="Arial"/>
                <w:b w:val="0"/>
                <w:sz w:val="15"/>
              </w:rPr>
              <w:t>—</w:t>
            </w:r>
          </w:p>
        </w:tc>
        <w:tc>
          <w:tcPr>
            <w:tcW w:w="1080" w:type="dxa"/>
            <w:tcBorders>
              <w:top w:val="nil"/>
              <w:left w:val="nil"/>
              <w:bottom w:val="nil"/>
              <w:right w:val="nil"/>
            </w:tcBorders>
            <w:vAlign w:val="center"/>
          </w:tcPr>
          <w:p w14:paraId="19893B01">
            <w:pPr>
              <w:spacing w:before="0" w:after="0" w:line="240" w:lineRule="auto"/>
            </w:pPr>
            <w:r>
              <w:rPr>
                <w:rFonts w:ascii="Arial" w:hAnsi="Arial"/>
                <w:b w:val="0"/>
                <w:sz w:val="15"/>
              </w:rPr>
              <w:t>—</w:t>
            </w:r>
          </w:p>
        </w:tc>
        <w:tc>
          <w:tcPr>
            <w:tcW w:w="2088" w:type="dxa"/>
            <w:tcBorders>
              <w:top w:val="nil"/>
              <w:left w:val="nil"/>
              <w:bottom w:val="nil"/>
              <w:right w:val="nil"/>
            </w:tcBorders>
            <w:vAlign w:val="center"/>
          </w:tcPr>
          <w:p w14:paraId="0441C31B">
            <w:pPr>
              <w:spacing w:before="0" w:after="0" w:line="240" w:lineRule="auto"/>
            </w:pPr>
            <w:r>
              <w:rPr>
                <w:rFonts w:ascii="Arial" w:hAnsi="Arial"/>
                <w:b w:val="0"/>
                <w:sz w:val="15"/>
              </w:rPr>
              <w:t>0.944 (0.910–0.965)</w:t>
            </w:r>
          </w:p>
        </w:tc>
        <w:tc>
          <w:tcPr>
            <w:tcW w:w="1080" w:type="dxa"/>
            <w:tcBorders>
              <w:top w:val="nil"/>
              <w:left w:val="nil"/>
              <w:bottom w:val="nil"/>
              <w:right w:val="nil"/>
            </w:tcBorders>
            <w:vAlign w:val="center"/>
          </w:tcPr>
          <w:p w14:paraId="251C38D5">
            <w:pPr>
              <w:spacing w:before="0" w:after="0" w:line="240" w:lineRule="auto"/>
            </w:pPr>
            <w:r>
              <w:rPr>
                <w:rFonts w:ascii="Arial" w:hAnsi="Arial"/>
                <w:b w:val="0"/>
                <w:sz w:val="15"/>
              </w:rPr>
              <w:t>—</w:t>
            </w:r>
          </w:p>
        </w:tc>
      </w:tr>
      <w:tr w14:paraId="77A302B1">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2376" w:type="dxa"/>
            <w:tcBorders>
              <w:top w:val="nil"/>
              <w:left w:val="nil"/>
              <w:bottom w:val="nil"/>
              <w:right w:val="nil"/>
            </w:tcBorders>
            <w:vAlign w:val="center"/>
          </w:tcPr>
          <w:p w14:paraId="54C65D2D">
            <w:pPr>
              <w:spacing w:before="0" w:after="0" w:line="240" w:lineRule="auto"/>
            </w:pPr>
            <w:r>
              <w:rPr>
                <w:rFonts w:ascii="Arial" w:hAnsi="Arial"/>
                <w:b w:val="0"/>
                <w:sz w:val="15"/>
              </w:rPr>
              <w:t>Mean venous-phase attenuation, ICC(A,1)</w:t>
            </w:r>
          </w:p>
        </w:tc>
        <w:tc>
          <w:tcPr>
            <w:tcW w:w="2088" w:type="dxa"/>
            <w:tcBorders>
              <w:top w:val="nil"/>
              <w:left w:val="nil"/>
              <w:bottom w:val="nil"/>
              <w:right w:val="nil"/>
            </w:tcBorders>
            <w:vAlign w:val="center"/>
          </w:tcPr>
          <w:p w14:paraId="6253257D">
            <w:pPr>
              <w:spacing w:before="0" w:after="0" w:line="240" w:lineRule="auto"/>
            </w:pPr>
            <w:r>
              <w:rPr>
                <w:rFonts w:ascii="Arial" w:hAnsi="Arial"/>
                <w:b w:val="0"/>
                <w:sz w:val="15"/>
              </w:rPr>
              <w:t>—</w:t>
            </w:r>
          </w:p>
        </w:tc>
        <w:tc>
          <w:tcPr>
            <w:tcW w:w="1080" w:type="dxa"/>
            <w:tcBorders>
              <w:top w:val="nil"/>
              <w:left w:val="nil"/>
              <w:bottom w:val="nil"/>
              <w:right w:val="nil"/>
            </w:tcBorders>
            <w:vAlign w:val="center"/>
          </w:tcPr>
          <w:p w14:paraId="59BBFB44">
            <w:pPr>
              <w:spacing w:before="0" w:after="0" w:line="240" w:lineRule="auto"/>
            </w:pPr>
            <w:r>
              <w:rPr>
                <w:rFonts w:ascii="Arial" w:hAnsi="Arial"/>
                <w:b w:val="0"/>
                <w:sz w:val="15"/>
              </w:rPr>
              <w:t>—</w:t>
            </w:r>
          </w:p>
        </w:tc>
        <w:tc>
          <w:tcPr>
            <w:tcW w:w="2088" w:type="dxa"/>
            <w:tcBorders>
              <w:top w:val="nil"/>
              <w:left w:val="nil"/>
              <w:bottom w:val="nil"/>
              <w:right w:val="nil"/>
            </w:tcBorders>
            <w:vAlign w:val="center"/>
          </w:tcPr>
          <w:p w14:paraId="6EC20A2A">
            <w:pPr>
              <w:spacing w:before="0" w:after="0" w:line="240" w:lineRule="auto"/>
            </w:pPr>
            <w:r>
              <w:rPr>
                <w:rFonts w:ascii="Arial" w:hAnsi="Arial"/>
                <w:b w:val="0"/>
                <w:sz w:val="15"/>
              </w:rPr>
              <w:t>0.951 (0.919–0.970)</w:t>
            </w:r>
          </w:p>
        </w:tc>
        <w:tc>
          <w:tcPr>
            <w:tcW w:w="1080" w:type="dxa"/>
            <w:tcBorders>
              <w:top w:val="nil"/>
              <w:left w:val="nil"/>
              <w:bottom w:val="nil"/>
              <w:right w:val="nil"/>
            </w:tcBorders>
            <w:vAlign w:val="center"/>
          </w:tcPr>
          <w:p w14:paraId="77AB9C8A">
            <w:pPr>
              <w:spacing w:before="0" w:after="0" w:line="240" w:lineRule="auto"/>
            </w:pPr>
            <w:r>
              <w:rPr>
                <w:rFonts w:ascii="Arial" w:hAnsi="Arial"/>
                <w:b w:val="0"/>
                <w:sz w:val="15"/>
              </w:rPr>
              <w:t>—</w:t>
            </w:r>
          </w:p>
        </w:tc>
      </w:tr>
      <w:tr w14:paraId="72681BDA">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2376" w:type="dxa"/>
            <w:tcBorders>
              <w:top w:val="nil"/>
              <w:left w:val="nil"/>
              <w:bottom w:val="single" w:color="auto" w:sz="4" w:space="0"/>
              <w:right w:val="nil"/>
            </w:tcBorders>
            <w:vAlign w:val="center"/>
          </w:tcPr>
          <w:p w14:paraId="05E9105C">
            <w:pPr>
              <w:spacing w:before="0" w:after="0" w:line="240" w:lineRule="auto"/>
            </w:pPr>
            <w:r>
              <w:rPr>
                <w:rFonts w:ascii="Arial" w:hAnsi="Arial"/>
                <w:b w:val="0"/>
                <w:sz w:val="15"/>
              </w:rPr>
              <w:t>Net venous-phase enhancement, ICC(A,1)</w:t>
            </w:r>
          </w:p>
        </w:tc>
        <w:tc>
          <w:tcPr>
            <w:tcW w:w="2088" w:type="dxa"/>
            <w:tcBorders>
              <w:top w:val="nil"/>
              <w:left w:val="nil"/>
              <w:bottom w:val="single" w:color="auto" w:sz="4" w:space="0"/>
              <w:right w:val="nil"/>
            </w:tcBorders>
            <w:vAlign w:val="center"/>
          </w:tcPr>
          <w:p w14:paraId="6ED59BD7">
            <w:pPr>
              <w:spacing w:before="0" w:after="0" w:line="240" w:lineRule="auto"/>
            </w:pPr>
            <w:r>
              <w:rPr>
                <w:rFonts w:ascii="Arial" w:hAnsi="Arial"/>
                <w:b w:val="0"/>
                <w:sz w:val="15"/>
              </w:rPr>
              <w:t>—</w:t>
            </w:r>
          </w:p>
        </w:tc>
        <w:tc>
          <w:tcPr>
            <w:tcW w:w="1080" w:type="dxa"/>
            <w:tcBorders>
              <w:top w:val="nil"/>
              <w:left w:val="nil"/>
              <w:bottom w:val="single" w:color="auto" w:sz="4" w:space="0"/>
              <w:right w:val="nil"/>
            </w:tcBorders>
            <w:vAlign w:val="center"/>
          </w:tcPr>
          <w:p w14:paraId="12AAB124">
            <w:pPr>
              <w:spacing w:before="0" w:after="0" w:line="240" w:lineRule="auto"/>
            </w:pPr>
            <w:r>
              <w:rPr>
                <w:rFonts w:ascii="Arial" w:hAnsi="Arial"/>
                <w:b w:val="0"/>
                <w:sz w:val="15"/>
              </w:rPr>
              <w:t>—</w:t>
            </w:r>
          </w:p>
        </w:tc>
        <w:tc>
          <w:tcPr>
            <w:tcW w:w="2088" w:type="dxa"/>
            <w:tcBorders>
              <w:top w:val="nil"/>
              <w:left w:val="nil"/>
              <w:bottom w:val="single" w:color="auto" w:sz="4" w:space="0"/>
              <w:right w:val="nil"/>
            </w:tcBorders>
            <w:vAlign w:val="center"/>
          </w:tcPr>
          <w:p w14:paraId="62C95ACC">
            <w:pPr>
              <w:spacing w:before="0" w:after="0" w:line="240" w:lineRule="auto"/>
            </w:pPr>
            <w:r>
              <w:rPr>
                <w:rFonts w:ascii="Arial" w:hAnsi="Arial"/>
                <w:b w:val="0"/>
                <w:sz w:val="15"/>
              </w:rPr>
              <w:t>0.915 (0.827–0.954)</w:t>
            </w:r>
          </w:p>
        </w:tc>
        <w:tc>
          <w:tcPr>
            <w:tcW w:w="1080" w:type="dxa"/>
            <w:tcBorders>
              <w:top w:val="nil"/>
              <w:left w:val="nil"/>
              <w:bottom w:val="single" w:color="auto" w:sz="4" w:space="0"/>
              <w:right w:val="nil"/>
            </w:tcBorders>
            <w:vAlign w:val="center"/>
          </w:tcPr>
          <w:p w14:paraId="71C61E3F">
            <w:pPr>
              <w:spacing w:before="0" w:after="0" w:line="240" w:lineRule="auto"/>
            </w:pPr>
            <w:r>
              <w:rPr>
                <w:rFonts w:ascii="Arial" w:hAnsi="Arial"/>
                <w:b w:val="0"/>
                <w:sz w:val="15"/>
              </w:rPr>
              <w:t>—</w:t>
            </w:r>
          </w:p>
        </w:tc>
      </w:tr>
      <w:bookmarkEnd w:id="0"/>
    </w:tbl>
    <w:p w14:paraId="7E7BC77F">
      <w:pPr>
        <w:pStyle w:val="166"/>
        <w:spacing w:after="80"/>
      </w:pPr>
      <w:r>
        <w:t>Panel A reports ICC(A,1) for continuous measurements and unweighted Cohen κ with raw agreement for binary findings. The maximum-diameter interobserver ICC was recomputed from the stored paired reader measurements. Attenuation ICCs use all 95 cases. Panel B reports the status of eligibility criteria for which independent pre-consensus readings were not retained.</w:t>
      </w:r>
    </w:p>
    <w:p w14:paraId="350FDC46">
      <w:pPr>
        <w:pStyle w:val="168"/>
        <w:keepNext/>
        <w:keepLines/>
      </w:pPr>
      <w:r>
        <w:t>Table S1 (continued). Eligibility-criterion adjudication</w:t>
      </w:r>
    </w:p>
    <w:tbl>
      <w:tblPr>
        <w:tblStyle w:val="33"/>
        <w:tblW w:w="0" w:type="auto"/>
        <w:jc w:val="center"/>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071"/>
        <w:gridCol w:w="3071"/>
        <w:gridCol w:w="3071"/>
      </w:tblGrid>
      <w:tr w14:paraId="1A026140">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tblHeader w:val="true"/>
          <w:jc w:val="center"/>
        </w:trPr>
        <w:tc>
          <w:tcPr>
            <w:tcW w:w="2232" w:type="dxa"/>
            <w:tcBorders>
              <w:top w:val="single" w:color="000000" w:sz="12" w:space="0"/>
              <w:left w:val="nil"/>
              <w:bottom w:val="single" w:color="000000" w:sz="6" w:space="0"/>
              <w:right w:val="nil"/>
            </w:tcBorders>
            <w:shd w:val="clear" w:color="auto" w:fill="D9EAF3"/>
            <w:vAlign w:val="center"/>
          </w:tcPr>
          <w:p w14:paraId="661D9D31">
            <w:pPr>
              <w:spacing w:before="0" w:after="0" w:line="240" w:lineRule="auto"/>
              <w:jc w:val="center"/>
            </w:pPr>
            <w:r>
              <w:rPr>
                <w:rFonts w:ascii="Arial" w:hAnsi="Arial"/>
                <w:b/>
                <w:sz w:val="15"/>
              </w:rPr>
              <w:t>Eligibility criterion</w:t>
            </w:r>
          </w:p>
        </w:tc>
        <w:tc>
          <w:tcPr>
            <w:tcW w:w="2952" w:type="dxa"/>
            <w:tcBorders>
              <w:top w:val="single" w:color="000000" w:sz="12" w:space="0"/>
              <w:left w:val="nil"/>
              <w:bottom w:val="single" w:color="000000" w:sz="6" w:space="0"/>
              <w:right w:val="nil"/>
            </w:tcBorders>
            <w:shd w:val="clear" w:color="auto" w:fill="D9EAF3"/>
            <w:vAlign w:val="center"/>
          </w:tcPr>
          <w:p w14:paraId="691898F9">
            <w:pPr>
              <w:spacing w:before="0" w:after="0" w:line="240" w:lineRule="auto"/>
              <w:jc w:val="center"/>
            </w:pPr>
            <w:r>
              <w:rPr>
                <w:rFonts w:ascii="Arial" w:hAnsi="Arial"/>
                <w:b/>
                <w:sz w:val="15"/>
              </w:rPr>
              <w:t>Final included cohort</w:t>
            </w:r>
          </w:p>
        </w:tc>
        <w:tc>
          <w:tcPr>
            <w:tcW w:w="4320" w:type="dxa"/>
            <w:tcBorders>
              <w:top w:val="single" w:color="000000" w:sz="12" w:space="0"/>
              <w:left w:val="nil"/>
              <w:bottom w:val="single" w:color="000000" w:sz="6" w:space="0"/>
              <w:right w:val="nil"/>
            </w:tcBorders>
            <w:shd w:val="clear" w:color="auto" w:fill="D9EAF3"/>
            <w:vAlign w:val="center"/>
          </w:tcPr>
          <w:p w14:paraId="01B12B42">
            <w:pPr>
              <w:spacing w:before="0" w:after="0" w:line="240" w:lineRule="auto"/>
              <w:jc w:val="center"/>
            </w:pPr>
            <w:r>
              <w:rPr>
                <w:rFonts w:ascii="Arial" w:hAnsi="Arial"/>
                <w:b/>
                <w:sz w:val="15"/>
              </w:rPr>
              <w:t>Reader-level reproducibility</w:t>
            </w:r>
          </w:p>
        </w:tc>
      </w:tr>
      <w:tr w14:paraId="0244D29E">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2232" w:type="dxa"/>
            <w:tcBorders>
              <w:top w:val="nil"/>
              <w:left w:val="nil"/>
              <w:bottom w:val="nil"/>
              <w:right w:val="nil"/>
            </w:tcBorders>
            <w:vAlign w:val="center"/>
          </w:tcPr>
          <w:p w14:paraId="2AA7F635">
            <w:pPr>
              <w:spacing w:before="0" w:after="0" w:line="240" w:lineRule="auto"/>
            </w:pPr>
            <w:r>
              <w:rPr>
                <w:rFonts w:ascii="Arial" w:hAnsi="Arial"/>
                <w:b w:val="0"/>
                <w:sz w:val="15"/>
              </w:rPr>
              <w:t>Peripheral location</w:t>
            </w:r>
          </w:p>
        </w:tc>
        <w:tc>
          <w:tcPr>
            <w:tcW w:w="2952" w:type="dxa"/>
            <w:tcBorders>
              <w:top w:val="nil"/>
              <w:left w:val="nil"/>
              <w:bottom w:val="nil"/>
              <w:right w:val="nil"/>
            </w:tcBorders>
            <w:vAlign w:val="center"/>
          </w:tcPr>
          <w:p w14:paraId="7E5F05F1">
            <w:pPr>
              <w:spacing w:before="0" w:after="0" w:line="240" w:lineRule="auto"/>
            </w:pPr>
            <w:r>
              <w:rPr>
                <w:rFonts w:ascii="Arial" w:hAnsi="Arial"/>
                <w:b w:val="0"/>
                <w:sz w:val="15"/>
              </w:rPr>
              <w:t>95/95 met criterion after consensus</w:t>
            </w:r>
          </w:p>
        </w:tc>
        <w:tc>
          <w:tcPr>
            <w:tcW w:w="4320" w:type="dxa"/>
            <w:tcBorders>
              <w:top w:val="nil"/>
              <w:left w:val="nil"/>
              <w:bottom w:val="nil"/>
              <w:right w:val="nil"/>
            </w:tcBorders>
            <w:vAlign w:val="center"/>
          </w:tcPr>
          <w:p w14:paraId="0749004A">
            <w:pPr>
              <w:spacing w:before="0" w:after="0" w:line="240" w:lineRule="auto"/>
            </w:pPr>
            <w:r>
              <w:rPr>
                <w:rFonts w:ascii="Arial" w:hAnsi="Arial"/>
                <w:b w:val="0"/>
                <w:sz w:val="15"/>
              </w:rPr>
              <w:t>Not estimable: pre-consensus labels not retained; no final-cohort variation</w:t>
            </w:r>
          </w:p>
        </w:tc>
      </w:tr>
      <w:tr w14:paraId="10785C9A">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2232" w:type="dxa"/>
            <w:tcBorders>
              <w:top w:val="nil"/>
              <w:left w:val="nil"/>
              <w:bottom w:val="nil"/>
              <w:right w:val="nil"/>
            </w:tcBorders>
            <w:vAlign w:val="center"/>
          </w:tcPr>
          <w:p w14:paraId="225B8CAC">
            <w:pPr>
              <w:spacing w:before="0" w:after="0" w:line="240" w:lineRule="auto"/>
            </w:pPr>
            <w:r>
              <w:rPr>
                <w:rFonts w:ascii="Arial" w:hAnsi="Arial"/>
                <w:b w:val="0"/>
                <w:sz w:val="15"/>
              </w:rPr>
              <w:t>Solid composition</w:t>
            </w:r>
          </w:p>
        </w:tc>
        <w:tc>
          <w:tcPr>
            <w:tcW w:w="2952" w:type="dxa"/>
            <w:tcBorders>
              <w:top w:val="nil"/>
              <w:left w:val="nil"/>
              <w:bottom w:val="nil"/>
              <w:right w:val="nil"/>
            </w:tcBorders>
            <w:vAlign w:val="center"/>
          </w:tcPr>
          <w:p w14:paraId="0FC86E7E">
            <w:pPr>
              <w:spacing w:before="0" w:after="0" w:line="240" w:lineRule="auto"/>
            </w:pPr>
            <w:r>
              <w:rPr>
                <w:rFonts w:ascii="Arial" w:hAnsi="Arial"/>
                <w:b w:val="0"/>
                <w:sz w:val="15"/>
              </w:rPr>
              <w:t>95/95 met criterion after consensus</w:t>
            </w:r>
          </w:p>
        </w:tc>
        <w:tc>
          <w:tcPr>
            <w:tcW w:w="4320" w:type="dxa"/>
            <w:tcBorders>
              <w:top w:val="nil"/>
              <w:left w:val="nil"/>
              <w:bottom w:val="nil"/>
              <w:right w:val="nil"/>
            </w:tcBorders>
            <w:vAlign w:val="center"/>
          </w:tcPr>
          <w:p w14:paraId="635CC5CD">
            <w:pPr>
              <w:spacing w:before="0" w:after="0" w:line="240" w:lineRule="auto"/>
            </w:pPr>
            <w:r>
              <w:rPr>
                <w:rFonts w:ascii="Arial" w:hAnsi="Arial"/>
                <w:b w:val="0"/>
                <w:sz w:val="15"/>
              </w:rPr>
              <w:t>Not estimable: pre-consensus labels not retained; no final-cohort variation</w:t>
            </w:r>
          </w:p>
        </w:tc>
      </w:tr>
      <w:tr w14:paraId="290958B7">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2232" w:type="dxa"/>
            <w:tcBorders>
              <w:top w:val="nil"/>
              <w:left w:val="nil"/>
              <w:bottom w:val="single" w:color="auto" w:sz="4" w:space="0"/>
              <w:right w:val="nil"/>
            </w:tcBorders>
            <w:vAlign w:val="center"/>
          </w:tcPr>
          <w:p w14:paraId="49CA9B3A">
            <w:pPr>
              <w:spacing w:before="0" w:after="0" w:line="240" w:lineRule="auto"/>
            </w:pPr>
            <w:r>
              <w:rPr>
                <w:rFonts w:ascii="Arial" w:hAnsi="Arial"/>
                <w:b w:val="0"/>
                <w:sz w:val="15"/>
              </w:rPr>
              <w:t>No visually detectable calcification</w:t>
            </w:r>
          </w:p>
        </w:tc>
        <w:tc>
          <w:tcPr>
            <w:tcW w:w="2952" w:type="dxa"/>
            <w:tcBorders>
              <w:top w:val="nil"/>
              <w:left w:val="nil"/>
              <w:bottom w:val="single" w:color="auto" w:sz="4" w:space="0"/>
              <w:right w:val="nil"/>
            </w:tcBorders>
            <w:vAlign w:val="center"/>
          </w:tcPr>
          <w:p w14:paraId="5F840D4F">
            <w:pPr>
              <w:spacing w:before="0" w:after="0" w:line="240" w:lineRule="auto"/>
            </w:pPr>
            <w:r>
              <w:rPr>
                <w:rFonts w:ascii="Arial" w:hAnsi="Arial"/>
                <w:b w:val="0"/>
                <w:sz w:val="15"/>
              </w:rPr>
              <w:t>95/95 met criterion after consensus</w:t>
            </w:r>
          </w:p>
        </w:tc>
        <w:tc>
          <w:tcPr>
            <w:tcW w:w="4320" w:type="dxa"/>
            <w:tcBorders>
              <w:top w:val="nil"/>
              <w:left w:val="nil"/>
              <w:bottom w:val="single" w:color="auto" w:sz="4" w:space="0"/>
              <w:right w:val="nil"/>
            </w:tcBorders>
            <w:vAlign w:val="center"/>
          </w:tcPr>
          <w:p w14:paraId="177B9AC3">
            <w:pPr>
              <w:spacing w:before="0" w:after="0" w:line="240" w:lineRule="auto"/>
            </w:pPr>
            <w:r>
              <w:rPr>
                <w:rFonts w:ascii="Arial" w:hAnsi="Arial"/>
                <w:b w:val="0"/>
                <w:sz w:val="15"/>
              </w:rPr>
              <w:t>Not estimable: pre-consensus labels not retained; no final-cohort variation</w:t>
            </w:r>
          </w:p>
        </w:tc>
      </w:tr>
    </w:tbl>
    <w:p w14:paraId="289EA3EA">
      <w:pPr>
        <w:pStyle w:val="168"/>
        <w:keepNext/>
        <w:keepLines/>
        <w:spacing w:before="160" w:after="60"/>
      </w:pPr>
      <w:r>
        <w:t>Table S2. Exploratory enhancement analyses and &gt;10-HU sensitivity analysis</w:t>
      </w:r>
    </w:p>
    <w:tbl>
      <w:tblPr>
        <w:tblStyle w:val="33"/>
        <w:tblW w:w="0" w:type="auto"/>
        <w:jc w:val="center"/>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843"/>
        <w:gridCol w:w="1843"/>
        <w:gridCol w:w="1843"/>
        <w:gridCol w:w="1843"/>
        <w:gridCol w:w="1843"/>
      </w:tblGrid>
      <w:tr w14:paraId="1AD2D532">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tblHeader w:val="true"/>
          <w:jc w:val="center"/>
        </w:trPr>
        <w:tc>
          <w:tcPr>
            <w:tcW w:w="3384" w:type="dxa"/>
            <w:tcBorders>
              <w:top w:val="single" w:color="000000" w:sz="12" w:space="0"/>
              <w:left w:val="nil"/>
              <w:bottom w:val="single" w:color="000000" w:sz="6" w:space="0"/>
              <w:right w:val="nil"/>
            </w:tcBorders>
            <w:shd w:val="clear" w:color="auto" w:fill="D9EAF3"/>
            <w:vAlign w:val="center"/>
          </w:tcPr>
          <w:p w14:paraId="65E072AD">
            <w:pPr>
              <w:spacing w:before="0" w:after="0" w:line="240" w:lineRule="auto"/>
              <w:jc w:val="center"/>
            </w:pPr>
            <w:r>
              <w:rPr>
                <w:rFonts w:ascii="Arial" w:hAnsi="Arial"/>
                <w:b/>
                <w:sz w:val="15"/>
              </w:rPr>
              <w:t>Analysis</w:t>
            </w:r>
          </w:p>
        </w:tc>
        <w:tc>
          <w:tcPr>
            <w:tcW w:w="1440" w:type="dxa"/>
            <w:tcBorders>
              <w:top w:val="single" w:color="000000" w:sz="12" w:space="0"/>
              <w:left w:val="nil"/>
              <w:bottom w:val="single" w:color="000000" w:sz="6" w:space="0"/>
              <w:right w:val="nil"/>
            </w:tcBorders>
            <w:shd w:val="clear" w:color="auto" w:fill="D9EAF3"/>
            <w:vAlign w:val="center"/>
          </w:tcPr>
          <w:p w14:paraId="200EB01C">
            <w:pPr>
              <w:spacing w:before="0" w:after="0" w:line="240" w:lineRule="auto"/>
              <w:jc w:val="center"/>
            </w:pPr>
            <w:r>
              <w:rPr>
                <w:rFonts w:ascii="Arial" w:hAnsi="Arial"/>
                <w:b/>
                <w:sz w:val="15"/>
              </w:rPr>
              <w:t>eNCPH</w:t>
            </w:r>
          </w:p>
        </w:tc>
        <w:tc>
          <w:tcPr>
            <w:tcW w:w="1440" w:type="dxa"/>
            <w:tcBorders>
              <w:top w:val="single" w:color="000000" w:sz="12" w:space="0"/>
              <w:left w:val="nil"/>
              <w:bottom w:val="single" w:color="000000" w:sz="6" w:space="0"/>
              <w:right w:val="nil"/>
            </w:tcBorders>
            <w:shd w:val="clear" w:color="auto" w:fill="D9EAF3"/>
            <w:vAlign w:val="center"/>
          </w:tcPr>
          <w:p w14:paraId="4661DE08">
            <w:pPr>
              <w:spacing w:before="0" w:after="0" w:line="240" w:lineRule="auto"/>
              <w:jc w:val="center"/>
            </w:pPr>
            <w:r>
              <w:rPr>
                <w:rFonts w:ascii="Arial" w:hAnsi="Arial"/>
                <w:b/>
                <w:sz w:val="15"/>
              </w:rPr>
              <w:t>IAC</w:t>
            </w:r>
          </w:p>
        </w:tc>
        <w:tc>
          <w:tcPr>
            <w:tcW w:w="2232" w:type="dxa"/>
            <w:tcBorders>
              <w:top w:val="single" w:color="000000" w:sz="12" w:space="0"/>
              <w:left w:val="nil"/>
              <w:bottom w:val="single" w:color="000000" w:sz="6" w:space="0"/>
              <w:right w:val="nil"/>
            </w:tcBorders>
            <w:shd w:val="clear" w:color="auto" w:fill="D9EAF3"/>
            <w:vAlign w:val="center"/>
          </w:tcPr>
          <w:p w14:paraId="6C17A892">
            <w:pPr>
              <w:spacing w:before="0" w:after="0" w:line="240" w:lineRule="auto"/>
              <w:jc w:val="center"/>
            </w:pPr>
            <w:r>
              <w:rPr>
                <w:rFonts w:ascii="Arial" w:hAnsi="Arial"/>
                <w:b/>
                <w:sz w:val="15"/>
              </w:rPr>
              <w:t>OR (95% CI)</w:t>
            </w:r>
          </w:p>
        </w:tc>
        <w:tc>
          <w:tcPr>
            <w:tcW w:w="1008" w:type="dxa"/>
            <w:tcBorders>
              <w:top w:val="single" w:color="000000" w:sz="12" w:space="0"/>
              <w:left w:val="nil"/>
              <w:bottom w:val="single" w:color="000000" w:sz="6" w:space="0"/>
              <w:right w:val="nil"/>
            </w:tcBorders>
            <w:shd w:val="clear" w:color="auto" w:fill="D9EAF3"/>
            <w:vAlign w:val="center"/>
          </w:tcPr>
          <w:p w14:paraId="622EBED5">
            <w:pPr>
              <w:spacing w:before="0" w:after="0" w:line="240" w:lineRule="auto"/>
              <w:jc w:val="center"/>
            </w:pPr>
            <w:r>
              <w:rPr>
                <w:rFonts w:ascii="Arial" w:hAnsi="Arial"/>
                <w:b/>
                <w:sz w:val="15"/>
              </w:rPr>
              <w:t>P value</w:t>
            </w:r>
          </w:p>
        </w:tc>
      </w:tr>
      <w:tr w14:paraId="305F9570">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3384" w:type="dxa"/>
            <w:tcBorders>
              <w:top w:val="nil"/>
              <w:left w:val="nil"/>
              <w:bottom w:val="nil"/>
              <w:right w:val="nil"/>
            </w:tcBorders>
            <w:vAlign w:val="center"/>
          </w:tcPr>
          <w:p w14:paraId="4C360B2F">
            <w:pPr>
              <w:spacing w:before="0" w:after="0" w:line="240" w:lineRule="auto"/>
            </w:pPr>
            <w:r>
              <w:rPr>
                <w:rFonts w:ascii="Arial" w:hAnsi="Arial"/>
                <w:b w:val="0"/>
                <w:sz w:val="15"/>
              </w:rPr>
              <w:t>Development: unenhanced attenuation, HU</w:t>
            </w:r>
          </w:p>
        </w:tc>
        <w:tc>
          <w:tcPr>
            <w:tcW w:w="1440" w:type="dxa"/>
            <w:tcBorders>
              <w:top w:val="nil"/>
              <w:left w:val="nil"/>
              <w:bottom w:val="nil"/>
              <w:right w:val="nil"/>
            </w:tcBorders>
            <w:vAlign w:val="center"/>
          </w:tcPr>
          <w:p w14:paraId="69898875">
            <w:pPr>
              <w:spacing w:before="0" w:after="0" w:line="240" w:lineRule="auto"/>
            </w:pPr>
            <w:r>
              <w:rPr>
                <w:rFonts w:ascii="Arial" w:hAnsi="Arial"/>
                <w:b w:val="0"/>
                <w:sz w:val="15"/>
              </w:rPr>
              <w:t>31 (18–49)</w:t>
            </w:r>
          </w:p>
        </w:tc>
        <w:tc>
          <w:tcPr>
            <w:tcW w:w="1440" w:type="dxa"/>
            <w:tcBorders>
              <w:top w:val="nil"/>
              <w:left w:val="nil"/>
              <w:bottom w:val="nil"/>
              <w:right w:val="nil"/>
            </w:tcBorders>
            <w:vAlign w:val="center"/>
          </w:tcPr>
          <w:p w14:paraId="3601EF8B">
            <w:pPr>
              <w:spacing w:before="0" w:after="0" w:line="240" w:lineRule="auto"/>
            </w:pPr>
            <w:r>
              <w:rPr>
                <w:rFonts w:ascii="Arial" w:hAnsi="Arial"/>
                <w:b w:val="0"/>
                <w:sz w:val="15"/>
              </w:rPr>
              <w:t>27 (20–36)</w:t>
            </w:r>
          </w:p>
        </w:tc>
        <w:tc>
          <w:tcPr>
            <w:tcW w:w="2232" w:type="dxa"/>
            <w:tcBorders>
              <w:top w:val="nil"/>
              <w:left w:val="nil"/>
              <w:bottom w:val="nil"/>
              <w:right w:val="nil"/>
            </w:tcBorders>
            <w:vAlign w:val="center"/>
          </w:tcPr>
          <w:p w14:paraId="11A62555">
            <w:pPr>
              <w:spacing w:before="0" w:after="0" w:line="240" w:lineRule="auto"/>
            </w:pPr>
            <w:r>
              <w:rPr>
                <w:rFonts w:ascii="Arial" w:hAnsi="Arial"/>
                <w:b w:val="0"/>
                <w:sz w:val="15"/>
              </w:rPr>
              <w:t>—</w:t>
            </w:r>
          </w:p>
        </w:tc>
        <w:tc>
          <w:tcPr>
            <w:tcW w:w="1008" w:type="dxa"/>
            <w:tcBorders>
              <w:top w:val="nil"/>
              <w:left w:val="nil"/>
              <w:bottom w:val="nil"/>
              <w:right w:val="nil"/>
            </w:tcBorders>
            <w:vAlign w:val="center"/>
          </w:tcPr>
          <w:p w14:paraId="753DF57F">
            <w:pPr>
              <w:spacing w:before="0" w:after="0" w:line="240" w:lineRule="auto"/>
            </w:pPr>
            <w:r>
              <w:rPr>
                <w:rFonts w:ascii="Arial" w:hAnsi="Arial"/>
                <w:b w:val="0"/>
                <w:sz w:val="15"/>
              </w:rPr>
              <w:t>0.313</w:t>
            </w:r>
          </w:p>
        </w:tc>
      </w:tr>
      <w:tr w14:paraId="7694DD53">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3384" w:type="dxa"/>
            <w:tcBorders>
              <w:top w:val="nil"/>
              <w:left w:val="nil"/>
              <w:bottom w:val="nil"/>
              <w:right w:val="nil"/>
            </w:tcBorders>
            <w:vAlign w:val="center"/>
          </w:tcPr>
          <w:p w14:paraId="1615BF79">
            <w:pPr>
              <w:spacing w:before="0" w:after="0" w:line="240" w:lineRule="auto"/>
            </w:pPr>
            <w:r>
              <w:rPr>
                <w:rFonts w:ascii="Arial" w:hAnsi="Arial"/>
                <w:b w:val="0"/>
                <w:sz w:val="15"/>
              </w:rPr>
              <w:t>Development: venous-phase attenuation, HU</w:t>
            </w:r>
          </w:p>
        </w:tc>
        <w:tc>
          <w:tcPr>
            <w:tcW w:w="1440" w:type="dxa"/>
            <w:tcBorders>
              <w:top w:val="nil"/>
              <w:left w:val="nil"/>
              <w:bottom w:val="nil"/>
              <w:right w:val="nil"/>
            </w:tcBorders>
            <w:vAlign w:val="center"/>
          </w:tcPr>
          <w:p w14:paraId="56D0B8D2">
            <w:pPr>
              <w:spacing w:before="0" w:after="0" w:line="240" w:lineRule="auto"/>
            </w:pPr>
            <w:r>
              <w:rPr>
                <w:rFonts w:ascii="Arial" w:hAnsi="Arial"/>
                <w:b w:val="0"/>
                <w:sz w:val="15"/>
              </w:rPr>
              <w:t>58 (37–72)</w:t>
            </w:r>
          </w:p>
        </w:tc>
        <w:tc>
          <w:tcPr>
            <w:tcW w:w="1440" w:type="dxa"/>
            <w:tcBorders>
              <w:top w:val="nil"/>
              <w:left w:val="nil"/>
              <w:bottom w:val="nil"/>
              <w:right w:val="nil"/>
            </w:tcBorders>
            <w:vAlign w:val="center"/>
          </w:tcPr>
          <w:p w14:paraId="3E3E028D">
            <w:pPr>
              <w:spacing w:before="0" w:after="0" w:line="240" w:lineRule="auto"/>
            </w:pPr>
            <w:r>
              <w:rPr>
                <w:rFonts w:ascii="Arial" w:hAnsi="Arial"/>
                <w:b w:val="0"/>
                <w:sz w:val="15"/>
              </w:rPr>
              <w:t>64 (54–78)</w:t>
            </w:r>
          </w:p>
        </w:tc>
        <w:tc>
          <w:tcPr>
            <w:tcW w:w="2232" w:type="dxa"/>
            <w:tcBorders>
              <w:top w:val="nil"/>
              <w:left w:val="nil"/>
              <w:bottom w:val="nil"/>
              <w:right w:val="nil"/>
            </w:tcBorders>
            <w:vAlign w:val="center"/>
          </w:tcPr>
          <w:p w14:paraId="1C84014B">
            <w:pPr>
              <w:spacing w:before="0" w:after="0" w:line="240" w:lineRule="auto"/>
            </w:pPr>
            <w:r>
              <w:rPr>
                <w:rFonts w:ascii="Arial" w:hAnsi="Arial"/>
                <w:b w:val="0"/>
                <w:sz w:val="15"/>
              </w:rPr>
              <w:t>—</w:t>
            </w:r>
          </w:p>
        </w:tc>
        <w:tc>
          <w:tcPr>
            <w:tcW w:w="1008" w:type="dxa"/>
            <w:tcBorders>
              <w:top w:val="nil"/>
              <w:left w:val="nil"/>
              <w:bottom w:val="nil"/>
              <w:right w:val="nil"/>
            </w:tcBorders>
            <w:vAlign w:val="center"/>
          </w:tcPr>
          <w:p w14:paraId="140F39AB">
            <w:pPr>
              <w:spacing w:before="0" w:after="0" w:line="240" w:lineRule="auto"/>
            </w:pPr>
            <w:r>
              <w:rPr>
                <w:rFonts w:ascii="Arial" w:hAnsi="Arial"/>
                <w:b w:val="0"/>
                <w:sz w:val="15"/>
              </w:rPr>
              <w:t>0.050</w:t>
            </w:r>
          </w:p>
        </w:tc>
      </w:tr>
      <w:tr w14:paraId="6C56DBAC">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3384" w:type="dxa"/>
            <w:tcBorders>
              <w:top w:val="nil"/>
              <w:left w:val="nil"/>
              <w:bottom w:val="nil"/>
              <w:right w:val="nil"/>
            </w:tcBorders>
            <w:vAlign w:val="center"/>
          </w:tcPr>
          <w:p w14:paraId="68F74AED">
            <w:pPr>
              <w:spacing w:before="0" w:after="0" w:line="240" w:lineRule="auto"/>
            </w:pPr>
            <w:r>
              <w:rPr>
                <w:rFonts w:ascii="Arial" w:hAnsi="Arial"/>
                <w:b w:val="0"/>
                <w:sz w:val="15"/>
              </w:rPr>
              <w:t>Development: net enhancement, HU</w:t>
            </w:r>
          </w:p>
        </w:tc>
        <w:tc>
          <w:tcPr>
            <w:tcW w:w="1440" w:type="dxa"/>
            <w:tcBorders>
              <w:top w:val="nil"/>
              <w:left w:val="nil"/>
              <w:bottom w:val="nil"/>
              <w:right w:val="nil"/>
            </w:tcBorders>
            <w:vAlign w:val="center"/>
          </w:tcPr>
          <w:p w14:paraId="3741A481">
            <w:pPr>
              <w:spacing w:before="0" w:after="0" w:line="240" w:lineRule="auto"/>
            </w:pPr>
            <w:r>
              <w:rPr>
                <w:rFonts w:ascii="Arial" w:hAnsi="Arial"/>
                <w:b w:val="0"/>
                <w:sz w:val="15"/>
              </w:rPr>
              <w:t>20 (15–27)</w:t>
            </w:r>
          </w:p>
        </w:tc>
        <w:tc>
          <w:tcPr>
            <w:tcW w:w="1440" w:type="dxa"/>
            <w:tcBorders>
              <w:top w:val="nil"/>
              <w:left w:val="nil"/>
              <w:bottom w:val="nil"/>
              <w:right w:val="nil"/>
            </w:tcBorders>
            <w:vAlign w:val="center"/>
          </w:tcPr>
          <w:p w14:paraId="34F94621">
            <w:pPr>
              <w:spacing w:before="0" w:after="0" w:line="240" w:lineRule="auto"/>
            </w:pPr>
            <w:r>
              <w:rPr>
                <w:rFonts w:ascii="Arial" w:hAnsi="Arial"/>
                <w:b w:val="0"/>
                <w:sz w:val="15"/>
              </w:rPr>
              <w:t>36 (26–52)</w:t>
            </w:r>
          </w:p>
        </w:tc>
        <w:tc>
          <w:tcPr>
            <w:tcW w:w="2232" w:type="dxa"/>
            <w:tcBorders>
              <w:top w:val="nil"/>
              <w:left w:val="nil"/>
              <w:bottom w:val="nil"/>
              <w:right w:val="nil"/>
            </w:tcBorders>
            <w:vAlign w:val="center"/>
          </w:tcPr>
          <w:p w14:paraId="288ED1AD">
            <w:pPr>
              <w:spacing w:before="0" w:after="0" w:line="240" w:lineRule="auto"/>
            </w:pPr>
            <w:r>
              <w:rPr>
                <w:rFonts w:ascii="Arial" w:hAnsi="Arial"/>
                <w:b w:val="0"/>
                <w:sz w:val="15"/>
              </w:rPr>
              <w:t>—</w:t>
            </w:r>
          </w:p>
        </w:tc>
        <w:tc>
          <w:tcPr>
            <w:tcW w:w="1008" w:type="dxa"/>
            <w:tcBorders>
              <w:top w:val="nil"/>
              <w:left w:val="nil"/>
              <w:bottom w:val="nil"/>
              <w:right w:val="nil"/>
            </w:tcBorders>
            <w:vAlign w:val="center"/>
          </w:tcPr>
          <w:p w14:paraId="01A23607">
            <w:pPr>
              <w:spacing w:before="0" w:after="0" w:line="240" w:lineRule="auto"/>
            </w:pPr>
            <w:r>
              <w:rPr>
                <w:rFonts w:ascii="Arial" w:hAnsi="Arial"/>
                <w:b w:val="0"/>
                <w:sz w:val="15"/>
              </w:rPr>
              <w:t>&lt;0.001</w:t>
            </w:r>
          </w:p>
        </w:tc>
      </w:tr>
      <w:tr w14:paraId="537C700B">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3384" w:type="dxa"/>
            <w:tcBorders>
              <w:top w:val="nil"/>
              <w:left w:val="nil"/>
              <w:bottom w:val="nil"/>
              <w:right w:val="nil"/>
            </w:tcBorders>
            <w:vAlign w:val="center"/>
          </w:tcPr>
          <w:p w14:paraId="485217A6">
            <w:pPr>
              <w:spacing w:before="0" w:after="0" w:line="240" w:lineRule="auto"/>
            </w:pPr>
            <w:r>
              <w:rPr>
                <w:rFonts w:ascii="Arial" w:hAnsi="Arial"/>
                <w:b w:val="0"/>
                <w:sz w:val="15"/>
              </w:rPr>
              <w:t>Net enhancement per 10 HU, unadjusted</w:t>
            </w:r>
          </w:p>
        </w:tc>
        <w:tc>
          <w:tcPr>
            <w:tcW w:w="1440" w:type="dxa"/>
            <w:tcBorders>
              <w:top w:val="nil"/>
              <w:left w:val="nil"/>
              <w:bottom w:val="nil"/>
              <w:right w:val="nil"/>
            </w:tcBorders>
            <w:vAlign w:val="center"/>
          </w:tcPr>
          <w:p w14:paraId="4F2D09B9">
            <w:pPr>
              <w:spacing w:before="0" w:after="0" w:line="240" w:lineRule="auto"/>
            </w:pPr>
            <w:r>
              <w:rPr>
                <w:rFonts w:ascii="Arial" w:hAnsi="Arial"/>
                <w:b w:val="0"/>
                <w:sz w:val="15"/>
              </w:rPr>
              <w:t>—</w:t>
            </w:r>
          </w:p>
        </w:tc>
        <w:tc>
          <w:tcPr>
            <w:tcW w:w="1440" w:type="dxa"/>
            <w:tcBorders>
              <w:top w:val="nil"/>
              <w:left w:val="nil"/>
              <w:bottom w:val="nil"/>
              <w:right w:val="nil"/>
            </w:tcBorders>
            <w:vAlign w:val="center"/>
          </w:tcPr>
          <w:p w14:paraId="68507694">
            <w:pPr>
              <w:spacing w:before="0" w:after="0" w:line="240" w:lineRule="auto"/>
            </w:pPr>
            <w:r>
              <w:rPr>
                <w:rFonts w:ascii="Arial" w:hAnsi="Arial"/>
                <w:b w:val="0"/>
                <w:sz w:val="15"/>
              </w:rPr>
              <w:t>—</w:t>
            </w:r>
          </w:p>
        </w:tc>
        <w:tc>
          <w:tcPr>
            <w:tcW w:w="2232" w:type="dxa"/>
            <w:tcBorders>
              <w:top w:val="nil"/>
              <w:left w:val="nil"/>
              <w:bottom w:val="nil"/>
              <w:right w:val="nil"/>
            </w:tcBorders>
            <w:vAlign w:val="center"/>
          </w:tcPr>
          <w:p w14:paraId="7C08C1A3">
            <w:pPr>
              <w:spacing w:before="0" w:after="0" w:line="240" w:lineRule="auto"/>
            </w:pPr>
            <w:r>
              <w:rPr>
                <w:rFonts w:ascii="Arial" w:hAnsi="Arial"/>
                <w:b w:val="0"/>
                <w:sz w:val="15"/>
              </w:rPr>
              <w:t>1.857 (1.228–2.808)</w:t>
            </w:r>
          </w:p>
        </w:tc>
        <w:tc>
          <w:tcPr>
            <w:tcW w:w="1008" w:type="dxa"/>
            <w:tcBorders>
              <w:top w:val="nil"/>
              <w:left w:val="nil"/>
              <w:bottom w:val="nil"/>
              <w:right w:val="nil"/>
            </w:tcBorders>
            <w:vAlign w:val="center"/>
          </w:tcPr>
          <w:p w14:paraId="1A7381FB">
            <w:pPr>
              <w:spacing w:before="0" w:after="0" w:line="240" w:lineRule="auto"/>
            </w:pPr>
            <w:r>
              <w:rPr>
                <w:rFonts w:ascii="Arial" w:hAnsi="Arial"/>
                <w:b w:val="0"/>
                <w:sz w:val="15"/>
              </w:rPr>
              <w:t>0.003</w:t>
            </w:r>
          </w:p>
        </w:tc>
      </w:tr>
      <w:tr w14:paraId="419B6901">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3384" w:type="dxa"/>
            <w:tcBorders>
              <w:top w:val="nil"/>
              <w:left w:val="nil"/>
              <w:bottom w:val="nil"/>
              <w:right w:val="nil"/>
            </w:tcBorders>
            <w:vAlign w:val="center"/>
          </w:tcPr>
          <w:p w14:paraId="2C110774">
            <w:pPr>
              <w:spacing w:before="0" w:after="0" w:line="240" w:lineRule="auto"/>
            </w:pPr>
            <w:r>
              <w:rPr>
                <w:rFonts w:ascii="Arial" w:hAnsi="Arial"/>
                <w:b w:val="0"/>
                <w:sz w:val="15"/>
              </w:rPr>
              <w:t>Net enhancement per 10 HU, adjusted for PI</w:t>
            </w:r>
          </w:p>
        </w:tc>
        <w:tc>
          <w:tcPr>
            <w:tcW w:w="1440" w:type="dxa"/>
            <w:tcBorders>
              <w:top w:val="nil"/>
              <w:left w:val="nil"/>
              <w:bottom w:val="nil"/>
              <w:right w:val="nil"/>
            </w:tcBorders>
            <w:vAlign w:val="center"/>
          </w:tcPr>
          <w:p w14:paraId="2B8718C3">
            <w:pPr>
              <w:spacing w:before="0" w:after="0" w:line="240" w:lineRule="auto"/>
            </w:pPr>
            <w:r>
              <w:rPr>
                <w:rFonts w:ascii="Arial" w:hAnsi="Arial"/>
                <w:b w:val="0"/>
                <w:sz w:val="15"/>
              </w:rPr>
              <w:t>—</w:t>
            </w:r>
          </w:p>
        </w:tc>
        <w:tc>
          <w:tcPr>
            <w:tcW w:w="1440" w:type="dxa"/>
            <w:tcBorders>
              <w:top w:val="nil"/>
              <w:left w:val="nil"/>
              <w:bottom w:val="nil"/>
              <w:right w:val="nil"/>
            </w:tcBorders>
            <w:vAlign w:val="center"/>
          </w:tcPr>
          <w:p w14:paraId="2E640EB8">
            <w:pPr>
              <w:spacing w:before="0" w:after="0" w:line="240" w:lineRule="auto"/>
            </w:pPr>
            <w:r>
              <w:rPr>
                <w:rFonts w:ascii="Arial" w:hAnsi="Arial"/>
                <w:b w:val="0"/>
                <w:sz w:val="15"/>
              </w:rPr>
              <w:t>—</w:t>
            </w:r>
          </w:p>
        </w:tc>
        <w:tc>
          <w:tcPr>
            <w:tcW w:w="2232" w:type="dxa"/>
            <w:tcBorders>
              <w:top w:val="nil"/>
              <w:left w:val="nil"/>
              <w:bottom w:val="nil"/>
              <w:right w:val="nil"/>
            </w:tcBorders>
            <w:vAlign w:val="center"/>
          </w:tcPr>
          <w:p w14:paraId="195272DF">
            <w:pPr>
              <w:spacing w:before="0" w:after="0" w:line="240" w:lineRule="auto"/>
            </w:pPr>
            <w:r>
              <w:rPr>
                <w:rFonts w:ascii="Arial" w:hAnsi="Arial"/>
                <w:b w:val="0"/>
                <w:sz w:val="15"/>
              </w:rPr>
              <w:t>1.660 (1.101–2.503)</w:t>
            </w:r>
          </w:p>
        </w:tc>
        <w:tc>
          <w:tcPr>
            <w:tcW w:w="1008" w:type="dxa"/>
            <w:tcBorders>
              <w:top w:val="nil"/>
              <w:left w:val="nil"/>
              <w:bottom w:val="nil"/>
              <w:right w:val="nil"/>
            </w:tcBorders>
            <w:vAlign w:val="center"/>
          </w:tcPr>
          <w:p w14:paraId="626C20D6">
            <w:pPr>
              <w:spacing w:before="0" w:after="0" w:line="240" w:lineRule="auto"/>
            </w:pPr>
            <w:r>
              <w:rPr>
                <w:rFonts w:ascii="Arial" w:hAnsi="Arial"/>
                <w:b w:val="0"/>
                <w:sz w:val="15"/>
              </w:rPr>
              <w:t>0.015</w:t>
            </w:r>
          </w:p>
        </w:tc>
      </w:tr>
      <w:tr w14:paraId="44277EC4">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3384" w:type="dxa"/>
            <w:tcBorders>
              <w:top w:val="nil"/>
              <w:left w:val="nil"/>
              <w:bottom w:val="nil"/>
              <w:right w:val="nil"/>
            </w:tcBorders>
            <w:vAlign w:val="center"/>
          </w:tcPr>
          <w:p w14:paraId="1B1B3FA4">
            <w:pPr>
              <w:spacing w:before="0" w:after="0" w:line="240" w:lineRule="auto"/>
            </w:pPr>
            <w:r>
              <w:rPr>
                <w:rFonts w:ascii="Arial" w:hAnsi="Arial"/>
                <w:b w:val="0"/>
                <w:sz w:val="15"/>
              </w:rPr>
              <w:t>Enhancement category per level, unadjusted</w:t>
            </w:r>
          </w:p>
        </w:tc>
        <w:tc>
          <w:tcPr>
            <w:tcW w:w="1440" w:type="dxa"/>
            <w:tcBorders>
              <w:top w:val="nil"/>
              <w:left w:val="nil"/>
              <w:bottom w:val="nil"/>
              <w:right w:val="nil"/>
            </w:tcBorders>
            <w:vAlign w:val="center"/>
          </w:tcPr>
          <w:p w14:paraId="42A5BF1D">
            <w:pPr>
              <w:spacing w:before="0" w:after="0" w:line="240" w:lineRule="auto"/>
            </w:pPr>
            <w:r>
              <w:rPr>
                <w:rFonts w:ascii="Arial" w:hAnsi="Arial"/>
                <w:b w:val="0"/>
                <w:sz w:val="15"/>
              </w:rPr>
              <w:t>—</w:t>
            </w:r>
          </w:p>
        </w:tc>
        <w:tc>
          <w:tcPr>
            <w:tcW w:w="1440" w:type="dxa"/>
            <w:tcBorders>
              <w:top w:val="nil"/>
              <w:left w:val="nil"/>
              <w:bottom w:val="nil"/>
              <w:right w:val="nil"/>
            </w:tcBorders>
            <w:vAlign w:val="center"/>
          </w:tcPr>
          <w:p w14:paraId="4B498DBB">
            <w:pPr>
              <w:spacing w:before="0" w:after="0" w:line="240" w:lineRule="auto"/>
            </w:pPr>
            <w:r>
              <w:rPr>
                <w:rFonts w:ascii="Arial" w:hAnsi="Arial"/>
                <w:b w:val="0"/>
                <w:sz w:val="15"/>
              </w:rPr>
              <w:t>—</w:t>
            </w:r>
          </w:p>
        </w:tc>
        <w:tc>
          <w:tcPr>
            <w:tcW w:w="2232" w:type="dxa"/>
            <w:tcBorders>
              <w:top w:val="nil"/>
              <w:left w:val="nil"/>
              <w:bottom w:val="nil"/>
              <w:right w:val="nil"/>
            </w:tcBorders>
            <w:vAlign w:val="center"/>
          </w:tcPr>
          <w:p w14:paraId="2E54B3EF">
            <w:pPr>
              <w:spacing w:before="0" w:after="0" w:line="240" w:lineRule="auto"/>
            </w:pPr>
            <w:r>
              <w:rPr>
                <w:rFonts w:ascii="Arial" w:hAnsi="Arial"/>
                <w:b w:val="0"/>
                <w:sz w:val="15"/>
              </w:rPr>
              <w:t>3.585 (1.617–7.951)</w:t>
            </w:r>
          </w:p>
        </w:tc>
        <w:tc>
          <w:tcPr>
            <w:tcW w:w="1008" w:type="dxa"/>
            <w:tcBorders>
              <w:top w:val="nil"/>
              <w:left w:val="nil"/>
              <w:bottom w:val="nil"/>
              <w:right w:val="nil"/>
            </w:tcBorders>
            <w:vAlign w:val="center"/>
          </w:tcPr>
          <w:p w14:paraId="66CA959A">
            <w:pPr>
              <w:spacing w:before="0" w:after="0" w:line="240" w:lineRule="auto"/>
            </w:pPr>
            <w:r>
              <w:rPr>
                <w:rFonts w:ascii="Arial" w:hAnsi="Arial"/>
                <w:b w:val="0"/>
                <w:sz w:val="15"/>
              </w:rPr>
              <w:t>0.002</w:t>
            </w:r>
          </w:p>
        </w:tc>
      </w:tr>
      <w:tr w14:paraId="74848B20">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3384" w:type="dxa"/>
            <w:tcBorders>
              <w:top w:val="nil"/>
              <w:left w:val="nil"/>
              <w:bottom w:val="nil"/>
              <w:right w:val="nil"/>
            </w:tcBorders>
            <w:vAlign w:val="center"/>
          </w:tcPr>
          <w:p w14:paraId="14EC598B">
            <w:pPr>
              <w:spacing w:before="0" w:after="0" w:line="240" w:lineRule="auto"/>
            </w:pPr>
            <w:r>
              <w:rPr>
                <w:rFonts w:ascii="Arial" w:hAnsi="Arial"/>
                <w:b w:val="0"/>
                <w:sz w:val="15"/>
              </w:rPr>
              <w:t>Enhancement category per level, adjusted</w:t>
            </w:r>
          </w:p>
        </w:tc>
        <w:tc>
          <w:tcPr>
            <w:tcW w:w="1440" w:type="dxa"/>
            <w:tcBorders>
              <w:top w:val="nil"/>
              <w:left w:val="nil"/>
              <w:bottom w:val="nil"/>
              <w:right w:val="nil"/>
            </w:tcBorders>
            <w:vAlign w:val="center"/>
          </w:tcPr>
          <w:p w14:paraId="61D06488">
            <w:pPr>
              <w:spacing w:before="0" w:after="0" w:line="240" w:lineRule="auto"/>
            </w:pPr>
            <w:r>
              <w:rPr>
                <w:rFonts w:ascii="Arial" w:hAnsi="Arial"/>
                <w:b w:val="0"/>
                <w:sz w:val="15"/>
              </w:rPr>
              <w:t>—</w:t>
            </w:r>
          </w:p>
        </w:tc>
        <w:tc>
          <w:tcPr>
            <w:tcW w:w="1440" w:type="dxa"/>
            <w:tcBorders>
              <w:top w:val="nil"/>
              <w:left w:val="nil"/>
              <w:bottom w:val="nil"/>
              <w:right w:val="nil"/>
            </w:tcBorders>
            <w:vAlign w:val="center"/>
          </w:tcPr>
          <w:p w14:paraId="6E3DD410">
            <w:pPr>
              <w:spacing w:before="0" w:after="0" w:line="240" w:lineRule="auto"/>
            </w:pPr>
            <w:r>
              <w:rPr>
                <w:rFonts w:ascii="Arial" w:hAnsi="Arial"/>
                <w:b w:val="0"/>
                <w:sz w:val="15"/>
              </w:rPr>
              <w:t>—</w:t>
            </w:r>
          </w:p>
        </w:tc>
        <w:tc>
          <w:tcPr>
            <w:tcW w:w="2232" w:type="dxa"/>
            <w:tcBorders>
              <w:top w:val="nil"/>
              <w:left w:val="nil"/>
              <w:bottom w:val="nil"/>
              <w:right w:val="nil"/>
            </w:tcBorders>
            <w:vAlign w:val="center"/>
          </w:tcPr>
          <w:p w14:paraId="7041D0E1">
            <w:pPr>
              <w:spacing w:before="0" w:after="0" w:line="240" w:lineRule="auto"/>
            </w:pPr>
            <w:r>
              <w:rPr>
                <w:rFonts w:ascii="Arial" w:hAnsi="Arial"/>
                <w:b w:val="0"/>
                <w:sz w:val="15"/>
              </w:rPr>
              <w:t>3.822 (1.477–9.893)</w:t>
            </w:r>
          </w:p>
        </w:tc>
        <w:tc>
          <w:tcPr>
            <w:tcW w:w="1008" w:type="dxa"/>
            <w:tcBorders>
              <w:top w:val="nil"/>
              <w:left w:val="nil"/>
              <w:bottom w:val="nil"/>
              <w:right w:val="nil"/>
            </w:tcBorders>
            <w:vAlign w:val="center"/>
          </w:tcPr>
          <w:p w14:paraId="23BA7A5A">
            <w:pPr>
              <w:spacing w:before="0" w:after="0" w:line="240" w:lineRule="auto"/>
            </w:pPr>
            <w:r>
              <w:rPr>
                <w:rFonts w:ascii="Arial" w:hAnsi="Arial"/>
                <w:b w:val="0"/>
                <w:sz w:val="15"/>
              </w:rPr>
              <w:t>0.006</w:t>
            </w:r>
          </w:p>
        </w:tc>
      </w:tr>
      <w:tr w14:paraId="47E57D63">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3384" w:type="dxa"/>
            <w:tcBorders>
              <w:top w:val="nil"/>
              <w:left w:val="nil"/>
              <w:bottom w:val="nil"/>
              <w:right w:val="nil"/>
            </w:tcBorders>
            <w:vAlign w:val="center"/>
          </w:tcPr>
          <w:p w14:paraId="4F662835">
            <w:pPr>
              <w:spacing w:before="0" w:after="0" w:line="240" w:lineRule="auto"/>
            </w:pPr>
            <w:r>
              <w:rPr>
                <w:rFonts w:ascii="Arial" w:hAnsi="Arial"/>
                <w:b w:val="0"/>
                <w:sz w:val="15"/>
              </w:rPr>
              <w:t>&gt;10-HU sensitivity: net enhancement, HU</w:t>
            </w:r>
          </w:p>
        </w:tc>
        <w:tc>
          <w:tcPr>
            <w:tcW w:w="1440" w:type="dxa"/>
            <w:tcBorders>
              <w:top w:val="nil"/>
              <w:left w:val="nil"/>
              <w:bottom w:val="nil"/>
              <w:right w:val="nil"/>
            </w:tcBorders>
            <w:vAlign w:val="center"/>
          </w:tcPr>
          <w:p w14:paraId="25DE7328">
            <w:pPr>
              <w:spacing w:before="0" w:after="0" w:line="240" w:lineRule="auto"/>
            </w:pPr>
            <w:r>
              <w:rPr>
                <w:rFonts w:ascii="Arial" w:hAnsi="Arial"/>
                <w:b w:val="0"/>
                <w:sz w:val="15"/>
              </w:rPr>
              <w:t>21 (15.75–27)</w:t>
            </w:r>
          </w:p>
        </w:tc>
        <w:tc>
          <w:tcPr>
            <w:tcW w:w="1440" w:type="dxa"/>
            <w:tcBorders>
              <w:top w:val="nil"/>
              <w:left w:val="nil"/>
              <w:bottom w:val="nil"/>
              <w:right w:val="nil"/>
            </w:tcBorders>
            <w:vAlign w:val="center"/>
          </w:tcPr>
          <w:p w14:paraId="1981D697">
            <w:pPr>
              <w:spacing w:before="0" w:after="0" w:line="240" w:lineRule="auto"/>
            </w:pPr>
            <w:r>
              <w:rPr>
                <w:rFonts w:ascii="Arial" w:hAnsi="Arial"/>
                <w:b w:val="0"/>
                <w:sz w:val="15"/>
              </w:rPr>
              <w:t>36.5 (27.5–52.25)</w:t>
            </w:r>
          </w:p>
        </w:tc>
        <w:tc>
          <w:tcPr>
            <w:tcW w:w="2232" w:type="dxa"/>
            <w:tcBorders>
              <w:top w:val="nil"/>
              <w:left w:val="nil"/>
              <w:bottom w:val="nil"/>
              <w:right w:val="nil"/>
            </w:tcBorders>
            <w:vAlign w:val="center"/>
          </w:tcPr>
          <w:p w14:paraId="239F18AE">
            <w:pPr>
              <w:spacing w:before="0" w:after="0" w:line="240" w:lineRule="auto"/>
            </w:pPr>
            <w:r>
              <w:rPr>
                <w:rFonts w:ascii="Arial" w:hAnsi="Arial"/>
                <w:b w:val="0"/>
                <w:sz w:val="15"/>
              </w:rPr>
              <w:t>—</w:t>
            </w:r>
          </w:p>
        </w:tc>
        <w:tc>
          <w:tcPr>
            <w:tcW w:w="1008" w:type="dxa"/>
            <w:tcBorders>
              <w:top w:val="nil"/>
              <w:left w:val="nil"/>
              <w:bottom w:val="nil"/>
              <w:right w:val="nil"/>
            </w:tcBorders>
            <w:vAlign w:val="center"/>
          </w:tcPr>
          <w:p w14:paraId="67180B3F">
            <w:pPr>
              <w:spacing w:before="0" w:after="0" w:line="240" w:lineRule="auto"/>
            </w:pPr>
            <w:r>
              <w:rPr>
                <w:rFonts w:ascii="Arial" w:hAnsi="Arial"/>
                <w:b w:val="0"/>
                <w:sz w:val="15"/>
              </w:rPr>
              <w:t>&lt;0.001</w:t>
            </w:r>
          </w:p>
        </w:tc>
      </w:tr>
      <w:tr w14:paraId="774DDE28">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3384" w:type="dxa"/>
            <w:tcBorders>
              <w:top w:val="nil"/>
              <w:left w:val="nil"/>
              <w:bottom w:val="nil"/>
              <w:right w:val="nil"/>
            </w:tcBorders>
            <w:vAlign w:val="center"/>
          </w:tcPr>
          <w:p w14:paraId="7E5AE4B5">
            <w:pPr>
              <w:spacing w:before="0" w:after="0" w:line="240" w:lineRule="auto"/>
            </w:pPr>
            <w:r>
              <w:rPr>
                <w:rFonts w:ascii="Arial" w:hAnsi="Arial"/>
                <w:b w:val="0"/>
                <w:sz w:val="15"/>
              </w:rPr>
              <w:t>&gt;10-HU sensitivity: per 10 HU, adjusted</w:t>
            </w:r>
          </w:p>
        </w:tc>
        <w:tc>
          <w:tcPr>
            <w:tcW w:w="1440" w:type="dxa"/>
            <w:tcBorders>
              <w:top w:val="nil"/>
              <w:left w:val="nil"/>
              <w:bottom w:val="nil"/>
              <w:right w:val="nil"/>
            </w:tcBorders>
            <w:vAlign w:val="center"/>
          </w:tcPr>
          <w:p w14:paraId="6539907C">
            <w:pPr>
              <w:spacing w:before="0" w:after="0" w:line="240" w:lineRule="auto"/>
            </w:pPr>
            <w:r>
              <w:rPr>
                <w:rFonts w:ascii="Arial" w:hAnsi="Arial"/>
                <w:b w:val="0"/>
                <w:sz w:val="15"/>
              </w:rPr>
              <w:t>—</w:t>
            </w:r>
          </w:p>
        </w:tc>
        <w:tc>
          <w:tcPr>
            <w:tcW w:w="1440" w:type="dxa"/>
            <w:tcBorders>
              <w:top w:val="nil"/>
              <w:left w:val="nil"/>
              <w:bottom w:val="nil"/>
              <w:right w:val="nil"/>
            </w:tcBorders>
            <w:vAlign w:val="center"/>
          </w:tcPr>
          <w:p w14:paraId="7AB44E07">
            <w:pPr>
              <w:spacing w:before="0" w:after="0" w:line="240" w:lineRule="auto"/>
            </w:pPr>
            <w:r>
              <w:rPr>
                <w:rFonts w:ascii="Arial" w:hAnsi="Arial"/>
                <w:b w:val="0"/>
                <w:sz w:val="15"/>
              </w:rPr>
              <w:t>—</w:t>
            </w:r>
          </w:p>
        </w:tc>
        <w:tc>
          <w:tcPr>
            <w:tcW w:w="2232" w:type="dxa"/>
            <w:tcBorders>
              <w:top w:val="nil"/>
              <w:left w:val="nil"/>
              <w:bottom w:val="nil"/>
              <w:right w:val="nil"/>
            </w:tcBorders>
            <w:vAlign w:val="center"/>
          </w:tcPr>
          <w:p w14:paraId="3445E80B">
            <w:pPr>
              <w:spacing w:before="0" w:after="0" w:line="240" w:lineRule="auto"/>
            </w:pPr>
            <w:r>
              <w:rPr>
                <w:rFonts w:ascii="Arial" w:hAnsi="Arial"/>
                <w:b w:val="0"/>
                <w:sz w:val="15"/>
              </w:rPr>
              <w:t>1.826 (1.143–2.918)</w:t>
            </w:r>
          </w:p>
        </w:tc>
        <w:tc>
          <w:tcPr>
            <w:tcW w:w="1008" w:type="dxa"/>
            <w:tcBorders>
              <w:top w:val="nil"/>
              <w:left w:val="nil"/>
              <w:bottom w:val="nil"/>
              <w:right w:val="nil"/>
            </w:tcBorders>
            <w:vAlign w:val="center"/>
          </w:tcPr>
          <w:p w14:paraId="0024391F">
            <w:pPr>
              <w:spacing w:before="0" w:after="0" w:line="240" w:lineRule="auto"/>
            </w:pPr>
            <w:r>
              <w:rPr>
                <w:rFonts w:ascii="Arial" w:hAnsi="Arial"/>
                <w:b w:val="0"/>
                <w:sz w:val="15"/>
              </w:rPr>
              <w:t>0.012</w:t>
            </w:r>
          </w:p>
        </w:tc>
      </w:tr>
      <w:tr w14:paraId="1AFCD28F">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3384" w:type="dxa"/>
            <w:tcBorders>
              <w:top w:val="nil"/>
              <w:left w:val="nil"/>
              <w:bottom w:val="single" w:color="auto" w:sz="4" w:space="0"/>
              <w:right w:val="nil"/>
            </w:tcBorders>
            <w:vAlign w:val="center"/>
          </w:tcPr>
          <w:p w14:paraId="662C9602">
            <w:pPr>
              <w:spacing w:before="0" w:after="0" w:line="240" w:lineRule="auto"/>
            </w:pPr>
            <w:r>
              <w:rPr>
                <w:rFonts w:ascii="Arial" w:hAnsi="Arial"/>
                <w:b w:val="0"/>
                <w:sz w:val="15"/>
              </w:rPr>
              <w:t>&gt;10-HU sensitivity: category, adjusted</w:t>
            </w:r>
          </w:p>
        </w:tc>
        <w:tc>
          <w:tcPr>
            <w:tcW w:w="1440" w:type="dxa"/>
            <w:tcBorders>
              <w:top w:val="nil"/>
              <w:left w:val="nil"/>
              <w:bottom w:val="single" w:color="auto" w:sz="4" w:space="0"/>
              <w:right w:val="nil"/>
            </w:tcBorders>
            <w:vAlign w:val="center"/>
          </w:tcPr>
          <w:p w14:paraId="0EB40598">
            <w:pPr>
              <w:spacing w:before="0" w:after="0" w:line="240" w:lineRule="auto"/>
            </w:pPr>
            <w:r>
              <w:rPr>
                <w:rFonts w:ascii="Arial" w:hAnsi="Arial"/>
                <w:b w:val="0"/>
                <w:sz w:val="15"/>
              </w:rPr>
              <w:t>—</w:t>
            </w:r>
          </w:p>
        </w:tc>
        <w:tc>
          <w:tcPr>
            <w:tcW w:w="1440" w:type="dxa"/>
            <w:tcBorders>
              <w:top w:val="nil"/>
              <w:left w:val="nil"/>
              <w:bottom w:val="single" w:color="auto" w:sz="4" w:space="0"/>
              <w:right w:val="nil"/>
            </w:tcBorders>
            <w:vAlign w:val="center"/>
          </w:tcPr>
          <w:p w14:paraId="2F889671">
            <w:pPr>
              <w:spacing w:before="0" w:after="0" w:line="240" w:lineRule="auto"/>
            </w:pPr>
            <w:r>
              <w:rPr>
                <w:rFonts w:ascii="Arial" w:hAnsi="Arial"/>
                <w:b w:val="0"/>
                <w:sz w:val="15"/>
              </w:rPr>
              <w:t>—</w:t>
            </w:r>
          </w:p>
        </w:tc>
        <w:tc>
          <w:tcPr>
            <w:tcW w:w="2232" w:type="dxa"/>
            <w:tcBorders>
              <w:top w:val="nil"/>
              <w:left w:val="nil"/>
              <w:bottom w:val="single" w:color="auto" w:sz="4" w:space="0"/>
              <w:right w:val="nil"/>
            </w:tcBorders>
            <w:vAlign w:val="center"/>
          </w:tcPr>
          <w:p w14:paraId="3B2B4302">
            <w:pPr>
              <w:spacing w:before="0" w:after="0" w:line="240" w:lineRule="auto"/>
            </w:pPr>
            <w:r>
              <w:rPr>
                <w:rFonts w:ascii="Arial" w:hAnsi="Arial"/>
                <w:b w:val="0"/>
                <w:sz w:val="15"/>
              </w:rPr>
              <w:t>5.072 (1.743–14.756)</w:t>
            </w:r>
          </w:p>
        </w:tc>
        <w:tc>
          <w:tcPr>
            <w:tcW w:w="1008" w:type="dxa"/>
            <w:tcBorders>
              <w:top w:val="nil"/>
              <w:left w:val="nil"/>
              <w:bottom w:val="single" w:color="auto" w:sz="4" w:space="0"/>
              <w:right w:val="nil"/>
            </w:tcBorders>
            <w:vAlign w:val="center"/>
          </w:tcPr>
          <w:p w14:paraId="505DD4FD">
            <w:pPr>
              <w:spacing w:before="0" w:after="0" w:line="240" w:lineRule="auto"/>
            </w:pPr>
            <w:r>
              <w:rPr>
                <w:rFonts w:ascii="Arial" w:hAnsi="Arial"/>
                <w:b w:val="0"/>
                <w:sz w:val="15"/>
              </w:rPr>
              <w:t>0.003</w:t>
            </w:r>
          </w:p>
        </w:tc>
      </w:tr>
    </w:tbl>
    <w:p w14:paraId="412136D0">
      <w:pPr>
        <w:pStyle w:val="166"/>
        <w:spacing w:after="80"/>
      </w:pPr>
      <w:r>
        <w:t>Continuous values are median (interquartile range). IAC was the positive outcome. The &gt;10-HU sensitivity analysis excluded two development cases with net enhancement ≤10 HU and did not repeat radiomic selection, training, cutoff determination, or evaluation.</w:t>
      </w:r>
    </w:p>
    <w:p w14:paraId="75F359F7">
      <w:pPr>
        <w:pStyle w:val="168"/>
        <w:keepNext/>
        <w:keepLines/>
        <w:spacing w:before="160" w:after="60"/>
      </w:pPr>
      <w:r>
        <w:t>Table S3. Paired DeLong comparisons in the second-look internal-evaluation cohort</w:t>
      </w:r>
    </w:p>
    <w:tbl>
      <w:tblPr>
        <w:tblStyle w:val="33"/>
        <w:tblW w:w="0" w:type="auto"/>
        <w:jc w:val="center"/>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843"/>
        <w:gridCol w:w="1843"/>
        <w:gridCol w:w="1843"/>
        <w:gridCol w:w="1843"/>
        <w:gridCol w:w="1843"/>
      </w:tblGrid>
      <w:tr w14:paraId="06538D2F">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tblHeader w:val="true"/>
          <w:jc w:val="center"/>
        </w:trPr>
        <w:tc>
          <w:tcPr>
            <w:tcW w:w="3384" w:type="dxa"/>
            <w:tcBorders>
              <w:top w:val="single" w:color="000000" w:sz="12" w:space="0"/>
              <w:left w:val="nil"/>
              <w:bottom w:val="single" w:color="000000" w:sz="6" w:space="0"/>
              <w:right w:val="nil"/>
            </w:tcBorders>
            <w:shd w:val="clear" w:color="auto" w:fill="D9EAF3"/>
            <w:tcMar>
              <w:top w:w="50" w:type="dxa"/>
              <w:left w:w="60" w:type="dxa"/>
              <w:bottom w:w="50" w:type="dxa"/>
              <w:right w:w="60" w:type="dxa"/>
            </w:tcMar>
            <w:vAlign w:val="center"/>
          </w:tcPr>
          <w:p w14:paraId="495A5BF1">
            <w:pPr>
              <w:spacing w:before="0" w:after="0" w:line="240" w:lineRule="auto"/>
              <w:jc w:val="center"/>
            </w:pPr>
            <w:r>
              <w:rPr>
                <w:rFonts w:ascii="Arial" w:hAnsi="Arial" w:eastAsia="Times New Roman"/>
                <w:b/>
                <w:sz w:val="15"/>
              </w:rPr>
              <w:t>Comparison</w:t>
            </w:r>
          </w:p>
        </w:tc>
        <w:tc>
          <w:tcPr>
            <w:tcW w:w="1080" w:type="dxa"/>
            <w:tcBorders>
              <w:top w:val="single" w:color="000000" w:sz="12" w:space="0"/>
              <w:left w:val="nil"/>
              <w:bottom w:val="single" w:color="000000" w:sz="6" w:space="0"/>
              <w:right w:val="nil"/>
            </w:tcBorders>
            <w:shd w:val="clear" w:color="auto" w:fill="D9EAF3"/>
            <w:tcMar>
              <w:top w:w="50" w:type="dxa"/>
              <w:left w:w="60" w:type="dxa"/>
              <w:bottom w:w="50" w:type="dxa"/>
              <w:right w:w="60" w:type="dxa"/>
            </w:tcMar>
            <w:vAlign w:val="center"/>
          </w:tcPr>
          <w:p w14:paraId="4E8CAA9D">
            <w:pPr>
              <w:spacing w:before="0" w:after="0" w:line="240" w:lineRule="auto"/>
              <w:jc w:val="center"/>
            </w:pPr>
            <w:r>
              <w:rPr>
                <w:rFonts w:ascii="Arial" w:hAnsi="Arial" w:eastAsia="Times New Roman"/>
                <w:b/>
                <w:sz w:val="15"/>
              </w:rPr>
              <w:t>AUC 1</w:t>
            </w:r>
          </w:p>
        </w:tc>
        <w:tc>
          <w:tcPr>
            <w:tcW w:w="1080" w:type="dxa"/>
            <w:tcBorders>
              <w:top w:val="single" w:color="000000" w:sz="12" w:space="0"/>
              <w:left w:val="nil"/>
              <w:bottom w:val="single" w:color="000000" w:sz="6" w:space="0"/>
              <w:right w:val="nil"/>
            </w:tcBorders>
            <w:shd w:val="clear" w:color="auto" w:fill="D9EAF3"/>
            <w:tcMar>
              <w:top w:w="50" w:type="dxa"/>
              <w:left w:w="60" w:type="dxa"/>
              <w:bottom w:w="50" w:type="dxa"/>
              <w:right w:w="60" w:type="dxa"/>
            </w:tcMar>
            <w:vAlign w:val="center"/>
          </w:tcPr>
          <w:p w14:paraId="26782AA7">
            <w:pPr>
              <w:spacing w:before="0" w:after="0" w:line="240" w:lineRule="auto"/>
              <w:jc w:val="center"/>
            </w:pPr>
            <w:r>
              <w:rPr>
                <w:rFonts w:ascii="Arial" w:hAnsi="Arial" w:eastAsia="Times New Roman"/>
                <w:b/>
                <w:sz w:val="15"/>
              </w:rPr>
              <w:t>AUC 2</w:t>
            </w:r>
          </w:p>
        </w:tc>
        <w:tc>
          <w:tcPr>
            <w:tcW w:w="1800" w:type="dxa"/>
            <w:tcBorders>
              <w:top w:val="single" w:color="000000" w:sz="12" w:space="0"/>
              <w:left w:val="nil"/>
              <w:bottom w:val="single" w:color="000000" w:sz="6" w:space="0"/>
              <w:right w:val="nil"/>
            </w:tcBorders>
            <w:shd w:val="clear" w:color="auto" w:fill="D9EAF3"/>
            <w:tcMar>
              <w:top w:w="50" w:type="dxa"/>
              <w:left w:w="60" w:type="dxa"/>
              <w:bottom w:w="50" w:type="dxa"/>
              <w:right w:w="60" w:type="dxa"/>
            </w:tcMar>
            <w:vAlign w:val="center"/>
          </w:tcPr>
          <w:p w14:paraId="308DABDC">
            <w:pPr>
              <w:spacing w:before="0" w:after="0" w:line="240" w:lineRule="auto"/>
              <w:jc w:val="center"/>
            </w:pPr>
            <w:r>
              <w:rPr>
                <w:rFonts w:ascii="Arial" w:hAnsi="Arial" w:eastAsia="Times New Roman"/>
                <w:b/>
                <w:sz w:val="15"/>
              </w:rPr>
              <w:t>Unadjusted P</w:t>
            </w:r>
          </w:p>
        </w:tc>
        <w:tc>
          <w:tcPr>
            <w:tcW w:w="1872" w:type="dxa"/>
            <w:tcBorders>
              <w:top w:val="single" w:color="000000" w:sz="12" w:space="0"/>
              <w:left w:val="nil"/>
              <w:bottom w:val="single" w:color="000000" w:sz="6" w:space="0"/>
              <w:right w:val="nil"/>
            </w:tcBorders>
            <w:shd w:val="clear" w:color="auto" w:fill="D9EAF3"/>
            <w:tcMar>
              <w:top w:w="50" w:type="dxa"/>
              <w:left w:w="60" w:type="dxa"/>
              <w:bottom w:w="50" w:type="dxa"/>
              <w:right w:w="60" w:type="dxa"/>
            </w:tcMar>
            <w:vAlign w:val="center"/>
          </w:tcPr>
          <w:p w14:paraId="56C15033">
            <w:pPr>
              <w:spacing w:before="0" w:after="0" w:line="240" w:lineRule="auto"/>
              <w:jc w:val="center"/>
            </w:pPr>
            <w:r>
              <w:rPr>
                <w:rFonts w:ascii="Arial" w:hAnsi="Arial" w:eastAsia="Times New Roman"/>
                <w:b/>
                <w:sz w:val="15"/>
              </w:rPr>
              <w:t>Holm-adjusted P</w:t>
            </w:r>
          </w:p>
        </w:tc>
      </w:tr>
      <w:tr w14:paraId="0DC45BDA">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3384" w:type="dxa"/>
            <w:tcBorders>
              <w:top w:val="nil"/>
              <w:left w:val="nil"/>
              <w:bottom w:val="nil"/>
              <w:right w:val="nil"/>
            </w:tcBorders>
            <w:shd w:val="clear" w:color="auto" w:fill="auto"/>
            <w:tcMar>
              <w:top w:w="50" w:type="dxa"/>
              <w:left w:w="60" w:type="dxa"/>
              <w:bottom w:w="50" w:type="dxa"/>
              <w:right w:w="60" w:type="dxa"/>
            </w:tcMar>
            <w:vAlign w:val="center"/>
          </w:tcPr>
          <w:p w14:paraId="612BBDAF">
            <w:pPr>
              <w:spacing w:before="0" w:after="0" w:line="240" w:lineRule="auto"/>
              <w:jc w:val="left"/>
            </w:pPr>
            <w:r>
              <w:rPr>
                <w:rFonts w:ascii="Arial" w:hAnsi="Arial" w:eastAsia="Times New Roman"/>
                <w:b w:val="0"/>
                <w:sz w:val="15"/>
              </w:rPr>
              <w:t>Morphologic vs standalone radiomics</w:t>
            </w:r>
          </w:p>
        </w:tc>
        <w:tc>
          <w:tcPr>
            <w:tcW w:w="1080" w:type="dxa"/>
            <w:tcBorders>
              <w:top w:val="nil"/>
              <w:left w:val="nil"/>
              <w:bottom w:val="nil"/>
              <w:right w:val="nil"/>
            </w:tcBorders>
            <w:shd w:val="clear" w:color="auto" w:fill="auto"/>
            <w:tcMar>
              <w:top w:w="50" w:type="dxa"/>
              <w:left w:w="60" w:type="dxa"/>
              <w:bottom w:w="50" w:type="dxa"/>
              <w:right w:w="60" w:type="dxa"/>
            </w:tcMar>
            <w:vAlign w:val="center"/>
          </w:tcPr>
          <w:p w14:paraId="6409DA3B">
            <w:pPr>
              <w:spacing w:before="0" w:after="0" w:line="240" w:lineRule="auto"/>
              <w:jc w:val="center"/>
            </w:pPr>
            <w:r>
              <w:rPr>
                <w:rFonts w:ascii="Arial" w:hAnsi="Arial" w:eastAsia="Times New Roman"/>
                <w:b w:val="0"/>
                <w:sz w:val="15"/>
              </w:rPr>
              <w:t>0.697</w:t>
            </w:r>
          </w:p>
        </w:tc>
        <w:tc>
          <w:tcPr>
            <w:tcW w:w="1080" w:type="dxa"/>
            <w:tcBorders>
              <w:top w:val="nil"/>
              <w:left w:val="nil"/>
              <w:bottom w:val="nil"/>
              <w:right w:val="nil"/>
            </w:tcBorders>
            <w:shd w:val="clear" w:color="auto" w:fill="auto"/>
            <w:tcMar>
              <w:top w:w="50" w:type="dxa"/>
              <w:left w:w="60" w:type="dxa"/>
              <w:bottom w:w="50" w:type="dxa"/>
              <w:right w:w="60" w:type="dxa"/>
            </w:tcMar>
            <w:vAlign w:val="center"/>
          </w:tcPr>
          <w:p w14:paraId="16F535A1">
            <w:pPr>
              <w:spacing w:before="0" w:after="0" w:line="240" w:lineRule="auto"/>
              <w:jc w:val="center"/>
            </w:pPr>
            <w:r>
              <w:rPr>
                <w:rFonts w:ascii="Arial" w:hAnsi="Arial" w:eastAsia="Times New Roman"/>
                <w:b w:val="0"/>
                <w:sz w:val="15"/>
              </w:rPr>
              <w:t>0.769</w:t>
            </w:r>
          </w:p>
        </w:tc>
        <w:tc>
          <w:tcPr>
            <w:tcW w:w="1800" w:type="dxa"/>
            <w:tcBorders>
              <w:top w:val="nil"/>
              <w:left w:val="nil"/>
              <w:bottom w:val="nil"/>
              <w:right w:val="nil"/>
            </w:tcBorders>
            <w:shd w:val="clear" w:color="auto" w:fill="auto"/>
            <w:tcMar>
              <w:top w:w="50" w:type="dxa"/>
              <w:left w:w="60" w:type="dxa"/>
              <w:bottom w:w="50" w:type="dxa"/>
              <w:right w:w="60" w:type="dxa"/>
            </w:tcMar>
            <w:vAlign w:val="center"/>
          </w:tcPr>
          <w:p w14:paraId="49EC0C82">
            <w:pPr>
              <w:spacing w:before="0" w:after="0" w:line="240" w:lineRule="auto"/>
              <w:jc w:val="center"/>
            </w:pPr>
            <w:r>
              <w:rPr>
                <w:rFonts w:ascii="Arial" w:hAnsi="Arial" w:eastAsia="Times New Roman"/>
                <w:b w:val="0"/>
                <w:sz w:val="15"/>
              </w:rPr>
              <w:t>0.582</w:t>
            </w:r>
          </w:p>
        </w:tc>
        <w:tc>
          <w:tcPr>
            <w:tcW w:w="1872" w:type="dxa"/>
            <w:tcBorders>
              <w:top w:val="nil"/>
              <w:left w:val="nil"/>
              <w:bottom w:val="nil"/>
              <w:right w:val="nil"/>
            </w:tcBorders>
            <w:shd w:val="clear" w:color="auto" w:fill="auto"/>
            <w:tcMar>
              <w:top w:w="50" w:type="dxa"/>
              <w:left w:w="60" w:type="dxa"/>
              <w:bottom w:w="50" w:type="dxa"/>
              <w:right w:w="60" w:type="dxa"/>
            </w:tcMar>
            <w:vAlign w:val="center"/>
          </w:tcPr>
          <w:p w14:paraId="733A5E01">
            <w:pPr>
              <w:spacing w:before="0" w:after="0" w:line="240" w:lineRule="auto"/>
              <w:jc w:val="center"/>
            </w:pPr>
            <w:r>
              <w:rPr>
                <w:rFonts w:ascii="Arial" w:hAnsi="Arial" w:eastAsia="Times New Roman"/>
                <w:b w:val="0"/>
                <w:sz w:val="15"/>
              </w:rPr>
              <w:t>0.997</w:t>
            </w:r>
          </w:p>
        </w:tc>
      </w:tr>
      <w:tr w14:paraId="52293C56">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3384" w:type="dxa"/>
            <w:tcBorders>
              <w:top w:val="nil"/>
              <w:left w:val="nil"/>
              <w:bottom w:val="nil"/>
              <w:right w:val="nil"/>
            </w:tcBorders>
            <w:shd w:val="clear" w:color="auto" w:fill="auto"/>
            <w:tcMar>
              <w:top w:w="50" w:type="dxa"/>
              <w:left w:w="60" w:type="dxa"/>
              <w:bottom w:w="50" w:type="dxa"/>
              <w:right w:w="60" w:type="dxa"/>
            </w:tcMar>
            <w:vAlign w:val="center"/>
          </w:tcPr>
          <w:p w14:paraId="5A4DAF50">
            <w:pPr>
              <w:spacing w:before="0" w:after="0" w:line="240" w:lineRule="auto"/>
              <w:jc w:val="left"/>
            </w:pPr>
            <w:r>
              <w:rPr>
                <w:rFonts w:ascii="Arial" w:hAnsi="Arial" w:eastAsia="Times New Roman"/>
                <w:b w:val="0"/>
                <w:sz w:val="15"/>
              </w:rPr>
              <w:t>Morphologic vs stacked combined</w:t>
            </w:r>
          </w:p>
        </w:tc>
        <w:tc>
          <w:tcPr>
            <w:tcW w:w="1080" w:type="dxa"/>
            <w:tcBorders>
              <w:top w:val="nil"/>
              <w:left w:val="nil"/>
              <w:bottom w:val="nil"/>
              <w:right w:val="nil"/>
            </w:tcBorders>
            <w:shd w:val="clear" w:color="auto" w:fill="auto"/>
            <w:tcMar>
              <w:top w:w="50" w:type="dxa"/>
              <w:left w:w="60" w:type="dxa"/>
              <w:bottom w:w="50" w:type="dxa"/>
              <w:right w:w="60" w:type="dxa"/>
            </w:tcMar>
            <w:vAlign w:val="center"/>
          </w:tcPr>
          <w:p w14:paraId="75AFD674">
            <w:pPr>
              <w:spacing w:before="0" w:after="0" w:line="240" w:lineRule="auto"/>
              <w:jc w:val="center"/>
            </w:pPr>
            <w:r>
              <w:rPr>
                <w:rFonts w:ascii="Arial" w:hAnsi="Arial" w:eastAsia="Times New Roman"/>
                <w:b w:val="0"/>
                <w:sz w:val="15"/>
              </w:rPr>
              <w:t>0.697</w:t>
            </w:r>
          </w:p>
        </w:tc>
        <w:tc>
          <w:tcPr>
            <w:tcW w:w="1080" w:type="dxa"/>
            <w:tcBorders>
              <w:top w:val="nil"/>
              <w:left w:val="nil"/>
              <w:bottom w:val="nil"/>
              <w:right w:val="nil"/>
            </w:tcBorders>
            <w:shd w:val="clear" w:color="auto" w:fill="auto"/>
            <w:tcMar>
              <w:top w:w="50" w:type="dxa"/>
              <w:left w:w="60" w:type="dxa"/>
              <w:bottom w:w="50" w:type="dxa"/>
              <w:right w:w="60" w:type="dxa"/>
            </w:tcMar>
            <w:vAlign w:val="center"/>
          </w:tcPr>
          <w:p w14:paraId="33CB1579">
            <w:pPr>
              <w:spacing w:before="0" w:after="0" w:line="240" w:lineRule="auto"/>
              <w:jc w:val="center"/>
            </w:pPr>
            <w:r>
              <w:rPr>
                <w:rFonts w:ascii="Arial" w:hAnsi="Arial" w:eastAsia="Times New Roman"/>
                <w:b w:val="0"/>
                <w:sz w:val="15"/>
              </w:rPr>
              <w:t>0.827</w:t>
            </w:r>
          </w:p>
        </w:tc>
        <w:tc>
          <w:tcPr>
            <w:tcW w:w="1800" w:type="dxa"/>
            <w:tcBorders>
              <w:top w:val="nil"/>
              <w:left w:val="nil"/>
              <w:bottom w:val="nil"/>
              <w:right w:val="nil"/>
            </w:tcBorders>
            <w:shd w:val="clear" w:color="auto" w:fill="auto"/>
            <w:tcMar>
              <w:top w:w="50" w:type="dxa"/>
              <w:left w:w="60" w:type="dxa"/>
              <w:bottom w:w="50" w:type="dxa"/>
              <w:right w:w="60" w:type="dxa"/>
            </w:tcMar>
            <w:vAlign w:val="center"/>
          </w:tcPr>
          <w:p w14:paraId="0656455F">
            <w:pPr>
              <w:spacing w:before="0" w:after="0" w:line="240" w:lineRule="auto"/>
              <w:jc w:val="center"/>
            </w:pPr>
            <w:r>
              <w:rPr>
                <w:rFonts w:ascii="Arial" w:hAnsi="Arial" w:eastAsia="Times New Roman"/>
                <w:b w:val="0"/>
                <w:sz w:val="15"/>
              </w:rPr>
              <w:t>0.050</w:t>
            </w:r>
          </w:p>
        </w:tc>
        <w:tc>
          <w:tcPr>
            <w:tcW w:w="1872" w:type="dxa"/>
            <w:tcBorders>
              <w:top w:val="nil"/>
              <w:left w:val="nil"/>
              <w:bottom w:val="nil"/>
              <w:right w:val="nil"/>
            </w:tcBorders>
            <w:shd w:val="clear" w:color="auto" w:fill="auto"/>
            <w:tcMar>
              <w:top w:w="50" w:type="dxa"/>
              <w:left w:w="60" w:type="dxa"/>
              <w:bottom w:w="50" w:type="dxa"/>
              <w:right w:w="60" w:type="dxa"/>
            </w:tcMar>
            <w:vAlign w:val="center"/>
          </w:tcPr>
          <w:p w14:paraId="676DD169">
            <w:pPr>
              <w:spacing w:before="0" w:after="0" w:line="240" w:lineRule="auto"/>
              <w:jc w:val="center"/>
            </w:pPr>
            <w:r>
              <w:rPr>
                <w:rFonts w:ascii="Arial" w:hAnsi="Arial" w:eastAsia="Times New Roman"/>
                <w:b w:val="0"/>
                <w:sz w:val="15"/>
              </w:rPr>
              <w:t>0.150</w:t>
            </w:r>
          </w:p>
        </w:tc>
      </w:tr>
      <w:tr w14:paraId="0A559315">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3384" w:type="dxa"/>
            <w:tcBorders>
              <w:top w:val="nil"/>
              <w:left w:val="nil"/>
              <w:bottom w:val="nil"/>
              <w:right w:val="nil"/>
            </w:tcBorders>
            <w:shd w:val="clear" w:color="auto" w:fill="auto"/>
            <w:tcMar>
              <w:top w:w="50" w:type="dxa"/>
              <w:left w:w="60" w:type="dxa"/>
              <w:bottom w:w="50" w:type="dxa"/>
              <w:right w:w="60" w:type="dxa"/>
            </w:tcMar>
            <w:vAlign w:val="center"/>
          </w:tcPr>
          <w:p w14:paraId="46A3DCD5">
            <w:pPr>
              <w:spacing w:before="0" w:after="0" w:line="240" w:lineRule="auto"/>
              <w:jc w:val="left"/>
            </w:pPr>
            <w:r>
              <w:rPr>
                <w:rFonts w:ascii="Arial" w:hAnsi="Arial" w:eastAsia="Times New Roman"/>
                <w:b w:val="0"/>
                <w:sz w:val="15"/>
              </w:rPr>
              <w:t>Standalone radiomics vs stacked combined</w:t>
            </w:r>
          </w:p>
        </w:tc>
        <w:tc>
          <w:tcPr>
            <w:tcW w:w="1080" w:type="dxa"/>
            <w:tcBorders>
              <w:top w:val="nil"/>
              <w:left w:val="nil"/>
              <w:bottom w:val="nil"/>
              <w:right w:val="nil"/>
            </w:tcBorders>
            <w:shd w:val="clear" w:color="auto" w:fill="auto"/>
            <w:tcMar>
              <w:top w:w="50" w:type="dxa"/>
              <w:left w:w="60" w:type="dxa"/>
              <w:bottom w:w="50" w:type="dxa"/>
              <w:right w:w="60" w:type="dxa"/>
            </w:tcMar>
            <w:vAlign w:val="center"/>
          </w:tcPr>
          <w:p w14:paraId="6A393871">
            <w:pPr>
              <w:spacing w:before="0" w:after="0" w:line="240" w:lineRule="auto"/>
              <w:jc w:val="center"/>
            </w:pPr>
            <w:r>
              <w:rPr>
                <w:rFonts w:ascii="Arial" w:hAnsi="Arial" w:eastAsia="Times New Roman"/>
                <w:b w:val="0"/>
                <w:sz w:val="15"/>
              </w:rPr>
              <w:t>0.769</w:t>
            </w:r>
          </w:p>
        </w:tc>
        <w:tc>
          <w:tcPr>
            <w:tcW w:w="1080" w:type="dxa"/>
            <w:tcBorders>
              <w:top w:val="nil"/>
              <w:left w:val="nil"/>
              <w:bottom w:val="nil"/>
              <w:right w:val="nil"/>
            </w:tcBorders>
            <w:shd w:val="clear" w:color="auto" w:fill="auto"/>
            <w:tcMar>
              <w:top w:w="50" w:type="dxa"/>
              <w:left w:w="60" w:type="dxa"/>
              <w:bottom w:w="50" w:type="dxa"/>
              <w:right w:w="60" w:type="dxa"/>
            </w:tcMar>
            <w:vAlign w:val="center"/>
          </w:tcPr>
          <w:p w14:paraId="18718D58">
            <w:pPr>
              <w:spacing w:before="0" w:after="0" w:line="240" w:lineRule="auto"/>
              <w:jc w:val="center"/>
            </w:pPr>
            <w:r>
              <w:rPr>
                <w:rFonts w:ascii="Arial" w:hAnsi="Arial" w:eastAsia="Times New Roman"/>
                <w:b w:val="0"/>
                <w:sz w:val="15"/>
              </w:rPr>
              <w:t>0.827</w:t>
            </w:r>
          </w:p>
        </w:tc>
        <w:tc>
          <w:tcPr>
            <w:tcW w:w="1800" w:type="dxa"/>
            <w:tcBorders>
              <w:top w:val="nil"/>
              <w:left w:val="nil"/>
              <w:bottom w:val="nil"/>
              <w:right w:val="nil"/>
            </w:tcBorders>
            <w:shd w:val="clear" w:color="auto" w:fill="auto"/>
            <w:tcMar>
              <w:top w:w="50" w:type="dxa"/>
              <w:left w:w="60" w:type="dxa"/>
              <w:bottom w:w="50" w:type="dxa"/>
              <w:right w:w="60" w:type="dxa"/>
            </w:tcMar>
            <w:vAlign w:val="center"/>
          </w:tcPr>
          <w:p w14:paraId="4C139030">
            <w:pPr>
              <w:spacing w:before="0" w:after="0" w:line="240" w:lineRule="auto"/>
              <w:jc w:val="center"/>
            </w:pPr>
            <w:r>
              <w:rPr>
                <w:rFonts w:ascii="Arial" w:hAnsi="Arial" w:eastAsia="Times New Roman"/>
                <w:b w:val="0"/>
                <w:sz w:val="15"/>
              </w:rPr>
              <w:t>0.498</w:t>
            </w:r>
          </w:p>
        </w:tc>
        <w:tc>
          <w:tcPr>
            <w:tcW w:w="1872" w:type="dxa"/>
            <w:tcBorders>
              <w:top w:val="nil"/>
              <w:left w:val="nil"/>
              <w:bottom w:val="nil"/>
              <w:right w:val="nil"/>
            </w:tcBorders>
            <w:shd w:val="clear" w:color="auto" w:fill="auto"/>
            <w:tcMar>
              <w:top w:w="50" w:type="dxa"/>
              <w:left w:w="60" w:type="dxa"/>
              <w:bottom w:w="50" w:type="dxa"/>
              <w:right w:w="60" w:type="dxa"/>
            </w:tcMar>
            <w:vAlign w:val="center"/>
          </w:tcPr>
          <w:p w14:paraId="01EBC557">
            <w:pPr>
              <w:spacing w:before="0" w:after="0" w:line="240" w:lineRule="auto"/>
              <w:jc w:val="center"/>
            </w:pPr>
            <w:r>
              <w:rPr>
                <w:rFonts w:ascii="Arial" w:hAnsi="Arial" w:eastAsia="Times New Roman"/>
                <w:b w:val="0"/>
                <w:sz w:val="15"/>
              </w:rPr>
              <w:t>0.997</w:t>
            </w:r>
          </w:p>
        </w:tc>
      </w:tr>
      <w:tr w14:paraId="34D6A132">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3384" w:type="dxa"/>
            <w:tcBorders>
              <w:top w:val="nil"/>
              <w:left w:val="nil"/>
              <w:bottom w:val="single" w:color="auto" w:sz="4" w:space="0"/>
              <w:right w:val="nil"/>
            </w:tcBorders>
            <w:shd w:val="clear" w:color="auto" w:fill="auto"/>
            <w:tcMar>
              <w:top w:w="50" w:type="dxa"/>
              <w:left w:w="60" w:type="dxa"/>
              <w:bottom w:w="50" w:type="dxa"/>
              <w:right w:w="60" w:type="dxa"/>
            </w:tcMar>
            <w:vAlign w:val="center"/>
          </w:tcPr>
          <w:p w14:paraId="7D7533D1">
            <w:pPr>
              <w:spacing w:before="0" w:after="0" w:line="240" w:lineRule="auto"/>
              <w:jc w:val="left"/>
            </w:pPr>
            <w:r>
              <w:rPr>
                <w:rFonts w:ascii="Arial" w:hAnsi="Arial" w:eastAsia="Times New Roman"/>
                <w:b w:val="0"/>
                <w:sz w:val="15"/>
              </w:rPr>
              <w:t>Diagnostic: cross-fitted radiomics input vs stacked combined</w:t>
            </w:r>
          </w:p>
        </w:tc>
        <w:tc>
          <w:tcPr>
            <w:tcW w:w="1080" w:type="dxa"/>
            <w:tcBorders>
              <w:top w:val="nil"/>
              <w:left w:val="nil"/>
              <w:bottom w:val="single" w:color="auto" w:sz="4" w:space="0"/>
              <w:right w:val="nil"/>
            </w:tcBorders>
            <w:shd w:val="clear" w:color="auto" w:fill="auto"/>
            <w:tcMar>
              <w:top w:w="50" w:type="dxa"/>
              <w:left w:w="60" w:type="dxa"/>
              <w:bottom w:w="50" w:type="dxa"/>
              <w:right w:w="60" w:type="dxa"/>
            </w:tcMar>
            <w:vAlign w:val="center"/>
          </w:tcPr>
          <w:p w14:paraId="21EA3B50">
            <w:pPr>
              <w:spacing w:before="0" w:after="0" w:line="240" w:lineRule="auto"/>
              <w:jc w:val="center"/>
            </w:pPr>
            <w:r>
              <w:rPr>
                <w:rFonts w:ascii="Arial" w:hAnsi="Arial" w:eastAsia="Times New Roman"/>
                <w:b w:val="0"/>
                <w:sz w:val="15"/>
              </w:rPr>
              <w:t>0.788</w:t>
            </w:r>
          </w:p>
        </w:tc>
        <w:tc>
          <w:tcPr>
            <w:tcW w:w="1080" w:type="dxa"/>
            <w:tcBorders>
              <w:top w:val="nil"/>
              <w:left w:val="nil"/>
              <w:bottom w:val="single" w:color="auto" w:sz="4" w:space="0"/>
              <w:right w:val="nil"/>
            </w:tcBorders>
            <w:shd w:val="clear" w:color="auto" w:fill="auto"/>
            <w:tcMar>
              <w:top w:w="50" w:type="dxa"/>
              <w:left w:w="60" w:type="dxa"/>
              <w:bottom w:w="50" w:type="dxa"/>
              <w:right w:w="60" w:type="dxa"/>
            </w:tcMar>
            <w:vAlign w:val="center"/>
          </w:tcPr>
          <w:p w14:paraId="42CC0802">
            <w:pPr>
              <w:spacing w:before="0" w:after="0" w:line="240" w:lineRule="auto"/>
              <w:jc w:val="center"/>
            </w:pPr>
            <w:r>
              <w:rPr>
                <w:rFonts w:ascii="Arial" w:hAnsi="Arial" w:eastAsia="Times New Roman"/>
                <w:b w:val="0"/>
                <w:sz w:val="15"/>
              </w:rPr>
              <w:t>0.827</w:t>
            </w:r>
          </w:p>
        </w:tc>
        <w:tc>
          <w:tcPr>
            <w:tcW w:w="1800" w:type="dxa"/>
            <w:tcBorders>
              <w:top w:val="nil"/>
              <w:left w:val="nil"/>
              <w:bottom w:val="single" w:color="auto" w:sz="4" w:space="0"/>
              <w:right w:val="nil"/>
            </w:tcBorders>
            <w:shd w:val="clear" w:color="auto" w:fill="auto"/>
            <w:tcMar>
              <w:top w:w="50" w:type="dxa"/>
              <w:left w:w="60" w:type="dxa"/>
              <w:bottom w:w="50" w:type="dxa"/>
              <w:right w:w="60" w:type="dxa"/>
            </w:tcMar>
            <w:vAlign w:val="center"/>
          </w:tcPr>
          <w:p w14:paraId="57C7C34E">
            <w:pPr>
              <w:spacing w:before="0" w:after="0" w:line="240" w:lineRule="auto"/>
              <w:jc w:val="center"/>
            </w:pPr>
            <w:r>
              <w:rPr>
                <w:rFonts w:ascii="Arial" w:hAnsi="Arial" w:eastAsia="Times New Roman"/>
                <w:b w:val="0"/>
                <w:sz w:val="15"/>
              </w:rPr>
              <w:t>0.621</w:t>
            </w:r>
          </w:p>
        </w:tc>
        <w:tc>
          <w:tcPr>
            <w:tcW w:w="1872" w:type="dxa"/>
            <w:tcBorders>
              <w:top w:val="nil"/>
              <w:left w:val="nil"/>
              <w:bottom w:val="single" w:color="auto" w:sz="4" w:space="0"/>
              <w:right w:val="nil"/>
            </w:tcBorders>
            <w:shd w:val="clear" w:color="auto" w:fill="auto"/>
            <w:tcMar>
              <w:top w:w="50" w:type="dxa"/>
              <w:left w:w="60" w:type="dxa"/>
              <w:bottom w:w="50" w:type="dxa"/>
              <w:right w:w="60" w:type="dxa"/>
            </w:tcMar>
            <w:vAlign w:val="center"/>
          </w:tcPr>
          <w:p w14:paraId="6D71012D">
            <w:pPr>
              <w:spacing w:before="0" w:after="0" w:line="240" w:lineRule="auto"/>
              <w:jc w:val="center"/>
            </w:pPr>
            <w:r>
              <w:rPr>
                <w:rFonts w:ascii="Arial" w:hAnsi="Arial" w:eastAsia="Times New Roman"/>
                <w:b w:val="0"/>
                <w:sz w:val="15"/>
              </w:rPr>
              <w:t>Not applicable</w:t>
            </w:r>
          </w:p>
        </w:tc>
      </w:tr>
    </w:tbl>
    <w:p w14:paraId="6ED6A0AD">
      <w:pPr>
        <w:pStyle w:val="166"/>
        <w:spacing w:after="80"/>
      </w:pPr>
      <w:r>
        <w:t>The first three rows are the prespecified primary model comparisons and were adjusted together using Holm's method. The fourth row is a same-base diagnostic comparison because the stacked model does not use the standalone full-66 LR probability as its radiomics input.</w:t>
      </w:r>
    </w:p>
    <w:p w14:paraId="16F0ABF5">
      <w:pPr>
        <w:pStyle w:val="168"/>
        <w:keepNext/>
        <w:keepLines/>
        <w:spacing w:before="160" w:after="60"/>
      </w:pPr>
      <w:r>
        <w:t>Table S4. Second-look internal calibration diagnostics and probability extrapolation</w:t>
      </w:r>
    </w:p>
    <w:tbl>
      <w:tblPr>
        <w:tblStyle w:val="33"/>
        <w:tblW w:w="0" w:type="auto"/>
        <w:jc w:val="center"/>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843"/>
        <w:gridCol w:w="1843"/>
        <w:gridCol w:w="1843"/>
        <w:gridCol w:w="1843"/>
        <w:gridCol w:w="1843"/>
      </w:tblGrid>
      <w:tr w14:paraId="4FD0FF87">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PrEx>
        <w:trPr>
          <w:cantSplit/>
          <w:tblHeader w:val="true"/>
          <w:jc w:val="center"/>
        </w:trPr>
        <w:tc>
          <w:tcPr>
            <w:tcW w:w="1843" w:type="dxa"/>
            <w:tcBorders>
              <w:top w:val="single" w:color="000000" w:sz="12" w:space="0"/>
              <w:left w:val="nil"/>
              <w:bottom w:val="single" w:color="000000" w:sz="6" w:space="0"/>
              <w:right w:val="nil"/>
            </w:tcBorders>
            <w:shd w:val="clear" w:color="auto" w:fill="D9EAF3"/>
            <w:tcMar>
              <w:top w:w="50" w:type="dxa"/>
              <w:left w:w="60" w:type="dxa"/>
              <w:bottom w:w="50" w:type="dxa"/>
              <w:right w:w="60" w:type="dxa"/>
            </w:tcMar>
            <w:vAlign w:val="center"/>
          </w:tcPr>
          <w:p w14:paraId="710EF9CA">
            <w:pPr>
              <w:spacing w:before="0" w:after="0" w:line="240" w:lineRule="auto"/>
              <w:jc w:val="center"/>
            </w:pPr>
            <w:r>
              <w:rPr>
                <w:rFonts w:ascii="Arial" w:hAnsi="Arial" w:eastAsia="Times New Roman"/>
                <w:b/>
                <w:sz w:val="15"/>
              </w:rPr>
              <w:t>Model</w:t>
            </w:r>
          </w:p>
        </w:tc>
        <w:tc>
          <w:tcPr>
            <w:tcW w:w="1843" w:type="dxa"/>
            <w:tcBorders>
              <w:top w:val="single" w:color="000000" w:sz="12" w:space="0"/>
              <w:left w:val="nil"/>
              <w:bottom w:val="single" w:color="000000" w:sz="6" w:space="0"/>
              <w:right w:val="nil"/>
            </w:tcBorders>
            <w:shd w:val="clear" w:color="auto" w:fill="D9EAF3"/>
            <w:tcMar>
              <w:top w:w="50" w:type="dxa"/>
              <w:left w:w="60" w:type="dxa"/>
              <w:bottom w:w="50" w:type="dxa"/>
              <w:right w:w="60" w:type="dxa"/>
            </w:tcMar>
            <w:vAlign w:val="center"/>
          </w:tcPr>
          <w:p w14:paraId="40A929E7">
            <w:pPr>
              <w:spacing w:before="0" w:after="0" w:line="240" w:lineRule="auto"/>
              <w:jc w:val="center"/>
            </w:pPr>
            <w:r>
              <w:rPr>
                <w:rFonts w:ascii="Arial" w:hAnsi="Arial" w:eastAsia="Times New Roman"/>
                <w:b/>
                <w:sz w:val="15"/>
              </w:rPr>
              <w:t>Brier score</w:t>
            </w:r>
          </w:p>
        </w:tc>
        <w:tc>
          <w:tcPr>
            <w:tcW w:w="1843" w:type="dxa"/>
            <w:tcBorders>
              <w:top w:val="single" w:color="000000" w:sz="12" w:space="0"/>
              <w:left w:val="nil"/>
              <w:bottom w:val="single" w:color="000000" w:sz="6" w:space="0"/>
              <w:right w:val="nil"/>
            </w:tcBorders>
            <w:shd w:val="clear" w:color="auto" w:fill="D9EAF3"/>
            <w:tcMar>
              <w:top w:w="50" w:type="dxa"/>
              <w:left w:w="60" w:type="dxa"/>
              <w:bottom w:w="50" w:type="dxa"/>
              <w:right w:w="60" w:type="dxa"/>
            </w:tcMar>
            <w:vAlign w:val="center"/>
          </w:tcPr>
          <w:p w14:paraId="02320F55">
            <w:pPr>
              <w:spacing w:before="0" w:after="0" w:line="240" w:lineRule="auto"/>
              <w:jc w:val="center"/>
            </w:pPr>
            <w:r>
              <w:rPr>
                <w:rFonts w:ascii="Arial" w:hAnsi="Arial" w:eastAsia="Times New Roman"/>
                <w:b/>
                <w:sz w:val="15"/>
              </w:rPr>
              <w:t>Calibration intercept (95% CI)</w:t>
            </w:r>
          </w:p>
        </w:tc>
        <w:tc>
          <w:tcPr>
            <w:tcW w:w="1843" w:type="dxa"/>
            <w:tcBorders>
              <w:top w:val="single" w:color="000000" w:sz="12" w:space="0"/>
              <w:left w:val="nil"/>
              <w:bottom w:val="single" w:color="000000" w:sz="6" w:space="0"/>
              <w:right w:val="nil"/>
            </w:tcBorders>
            <w:shd w:val="clear" w:color="auto" w:fill="D9EAF3"/>
            <w:tcMar>
              <w:top w:w="50" w:type="dxa"/>
              <w:left w:w="60" w:type="dxa"/>
              <w:bottom w:w="50" w:type="dxa"/>
              <w:right w:w="60" w:type="dxa"/>
            </w:tcMar>
            <w:vAlign w:val="center"/>
          </w:tcPr>
          <w:p w14:paraId="7BABB8EB">
            <w:pPr>
              <w:spacing w:before="0" w:after="0" w:line="240" w:lineRule="auto"/>
              <w:jc w:val="center"/>
            </w:pPr>
            <w:r>
              <w:rPr>
                <w:rFonts w:ascii="Arial" w:hAnsi="Arial" w:eastAsia="Times New Roman"/>
                <w:b/>
                <w:sz w:val="15"/>
              </w:rPr>
              <w:t>Calibration slope (95% CI)</w:t>
            </w:r>
          </w:p>
        </w:tc>
        <w:tc>
          <w:tcPr>
            <w:tcW w:w="1843" w:type="dxa"/>
            <w:tcBorders>
              <w:top w:val="single" w:color="000000" w:sz="12" w:space="0"/>
              <w:left w:val="nil"/>
              <w:bottom w:val="single" w:color="000000" w:sz="6" w:space="0"/>
              <w:right w:val="nil"/>
            </w:tcBorders>
            <w:shd w:val="clear" w:color="auto" w:fill="D9EAF3"/>
            <w:tcMar>
              <w:top w:w="50" w:type="dxa"/>
              <w:left w:w="60" w:type="dxa"/>
              <w:bottom w:w="50" w:type="dxa"/>
              <w:right w:w="60" w:type="dxa"/>
            </w:tcMar>
            <w:vAlign w:val="center"/>
          </w:tcPr>
          <w:p w14:paraId="5C1886F3">
            <w:pPr>
              <w:spacing w:before="0" w:after="0" w:line="240" w:lineRule="auto"/>
              <w:jc w:val="center"/>
            </w:pPr>
            <w:r>
              <w:rPr>
                <w:rFonts w:ascii="Arial" w:hAnsi="Arial" w:eastAsia="Times New Roman"/>
                <w:b/>
                <w:sz w:val="15"/>
              </w:rPr>
              <w:t>Calibration-in-the-large</w:t>
            </w:r>
          </w:p>
        </w:tc>
      </w:tr>
      <w:tr w14:paraId="748F053D">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843" w:type="dxa"/>
            <w:tcBorders>
              <w:top w:val="nil"/>
              <w:left w:val="nil"/>
              <w:bottom w:val="nil"/>
              <w:right w:val="nil"/>
            </w:tcBorders>
            <w:shd w:val="clear" w:color="auto" w:fill="auto"/>
            <w:tcMar>
              <w:top w:w="50" w:type="dxa"/>
              <w:left w:w="60" w:type="dxa"/>
              <w:bottom w:w="50" w:type="dxa"/>
              <w:right w:w="60" w:type="dxa"/>
            </w:tcMar>
            <w:vAlign w:val="center"/>
          </w:tcPr>
          <w:p w14:paraId="53C0BA7E">
            <w:pPr>
              <w:spacing w:before="0" w:after="0" w:line="240" w:lineRule="auto"/>
              <w:jc w:val="left"/>
            </w:pPr>
            <w:r>
              <w:rPr>
                <w:rFonts w:ascii="Arial" w:hAnsi="Arial" w:eastAsia="Times New Roman"/>
                <w:b w:val="0"/>
                <w:sz w:val="15"/>
              </w:rPr>
              <w:t>Morphologic</w:t>
            </w:r>
          </w:p>
        </w:tc>
        <w:tc>
          <w:tcPr>
            <w:tcW w:w="1843" w:type="dxa"/>
            <w:tcBorders>
              <w:top w:val="nil"/>
              <w:left w:val="nil"/>
              <w:bottom w:val="nil"/>
              <w:right w:val="nil"/>
            </w:tcBorders>
            <w:shd w:val="clear" w:color="auto" w:fill="auto"/>
            <w:tcMar>
              <w:top w:w="50" w:type="dxa"/>
              <w:left w:w="60" w:type="dxa"/>
              <w:bottom w:w="50" w:type="dxa"/>
              <w:right w:w="60" w:type="dxa"/>
            </w:tcMar>
            <w:vAlign w:val="center"/>
          </w:tcPr>
          <w:p w14:paraId="1D799060">
            <w:pPr>
              <w:spacing w:before="0" w:after="0" w:line="240" w:lineRule="auto"/>
              <w:jc w:val="center"/>
            </w:pPr>
            <w:r>
              <w:rPr>
                <w:rFonts w:ascii="Arial" w:hAnsi="Arial" w:eastAsia="Times New Roman"/>
                <w:b w:val="0"/>
                <w:sz w:val="15"/>
              </w:rPr>
              <w:t>0.218</w:t>
            </w:r>
          </w:p>
        </w:tc>
        <w:tc>
          <w:tcPr>
            <w:tcW w:w="1843" w:type="dxa"/>
            <w:tcBorders>
              <w:top w:val="nil"/>
              <w:left w:val="nil"/>
              <w:bottom w:val="nil"/>
              <w:right w:val="nil"/>
            </w:tcBorders>
            <w:shd w:val="clear" w:color="auto" w:fill="auto"/>
            <w:tcMar>
              <w:top w:w="50" w:type="dxa"/>
              <w:left w:w="60" w:type="dxa"/>
              <w:bottom w:w="50" w:type="dxa"/>
              <w:right w:w="60" w:type="dxa"/>
            </w:tcMar>
            <w:vAlign w:val="center"/>
          </w:tcPr>
          <w:p w14:paraId="0D4A36D4">
            <w:pPr>
              <w:spacing w:before="0" w:after="0" w:line="240" w:lineRule="auto"/>
              <w:jc w:val="center"/>
            </w:pPr>
            <w:r>
              <w:rPr>
                <w:rFonts w:ascii="Arial" w:hAnsi="Arial" w:eastAsia="Times New Roman"/>
                <w:b w:val="0"/>
                <w:sz w:val="15"/>
              </w:rPr>
              <w:t>0.177 (-0.620 to 0.974)</w:t>
            </w:r>
          </w:p>
        </w:tc>
        <w:tc>
          <w:tcPr>
            <w:tcW w:w="1843" w:type="dxa"/>
            <w:tcBorders>
              <w:top w:val="nil"/>
              <w:left w:val="nil"/>
              <w:bottom w:val="nil"/>
              <w:right w:val="nil"/>
            </w:tcBorders>
            <w:shd w:val="clear" w:color="auto" w:fill="auto"/>
            <w:tcMar>
              <w:top w:w="50" w:type="dxa"/>
              <w:left w:w="60" w:type="dxa"/>
              <w:bottom w:w="50" w:type="dxa"/>
              <w:right w:w="60" w:type="dxa"/>
            </w:tcMar>
            <w:vAlign w:val="center"/>
          </w:tcPr>
          <w:p w14:paraId="7E0291DA">
            <w:pPr>
              <w:spacing w:before="0" w:after="0" w:line="240" w:lineRule="auto"/>
              <w:jc w:val="center"/>
            </w:pPr>
            <w:r>
              <w:rPr>
                <w:rFonts w:ascii="Arial" w:hAnsi="Arial" w:eastAsia="Times New Roman"/>
                <w:b w:val="0"/>
                <w:sz w:val="15"/>
              </w:rPr>
              <w:t>0.652 (0.028 to 1.275)</w:t>
            </w:r>
          </w:p>
        </w:tc>
        <w:tc>
          <w:tcPr>
            <w:tcW w:w="1843" w:type="dxa"/>
            <w:tcBorders>
              <w:top w:val="nil"/>
              <w:left w:val="nil"/>
              <w:bottom w:val="nil"/>
              <w:right w:val="nil"/>
            </w:tcBorders>
            <w:shd w:val="clear" w:color="auto" w:fill="auto"/>
            <w:tcMar>
              <w:top w:w="50" w:type="dxa"/>
              <w:left w:w="60" w:type="dxa"/>
              <w:bottom w:w="50" w:type="dxa"/>
              <w:right w:w="60" w:type="dxa"/>
            </w:tcMar>
            <w:vAlign w:val="center"/>
          </w:tcPr>
          <w:p w14:paraId="34DB11F7">
            <w:pPr>
              <w:spacing w:before="0" w:after="0" w:line="240" w:lineRule="auto"/>
              <w:jc w:val="center"/>
            </w:pPr>
            <w:r>
              <w:rPr>
                <w:rFonts w:ascii="Arial" w:hAnsi="Arial" w:eastAsia="Times New Roman"/>
                <w:b w:val="0"/>
                <w:sz w:val="15"/>
              </w:rPr>
              <w:t>0.223</w:t>
            </w:r>
          </w:p>
        </w:tc>
      </w:tr>
      <w:tr w14:paraId="1FA015F1">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843" w:type="dxa"/>
            <w:tcBorders>
              <w:top w:val="nil"/>
              <w:left w:val="nil"/>
              <w:bottom w:val="nil"/>
              <w:right w:val="nil"/>
            </w:tcBorders>
            <w:shd w:val="clear" w:color="auto" w:fill="auto"/>
            <w:tcMar>
              <w:top w:w="50" w:type="dxa"/>
              <w:left w:w="60" w:type="dxa"/>
              <w:bottom w:w="50" w:type="dxa"/>
              <w:right w:w="60" w:type="dxa"/>
            </w:tcMar>
            <w:vAlign w:val="center"/>
          </w:tcPr>
          <w:p w14:paraId="6AF7429B">
            <w:pPr>
              <w:spacing w:before="0" w:after="0" w:line="240" w:lineRule="auto"/>
              <w:jc w:val="left"/>
            </w:pPr>
            <w:r>
              <w:rPr>
                <w:rFonts w:ascii="Arial" w:hAnsi="Arial" w:eastAsia="Times New Roman"/>
                <w:b w:val="0"/>
                <w:sz w:val="15"/>
              </w:rPr>
              <w:t>Standalone radiomics</w:t>
            </w:r>
          </w:p>
        </w:tc>
        <w:tc>
          <w:tcPr>
            <w:tcW w:w="1843" w:type="dxa"/>
            <w:tcBorders>
              <w:top w:val="nil"/>
              <w:left w:val="nil"/>
              <w:bottom w:val="nil"/>
              <w:right w:val="nil"/>
            </w:tcBorders>
            <w:shd w:val="clear" w:color="auto" w:fill="auto"/>
            <w:tcMar>
              <w:top w:w="50" w:type="dxa"/>
              <w:left w:w="60" w:type="dxa"/>
              <w:bottom w:w="50" w:type="dxa"/>
              <w:right w:w="60" w:type="dxa"/>
            </w:tcMar>
            <w:vAlign w:val="center"/>
          </w:tcPr>
          <w:p w14:paraId="7289A7DA">
            <w:pPr>
              <w:spacing w:before="0" w:after="0" w:line="240" w:lineRule="auto"/>
              <w:jc w:val="center"/>
            </w:pPr>
            <w:r>
              <w:rPr>
                <w:rFonts w:ascii="Arial" w:hAnsi="Arial" w:eastAsia="Times New Roman"/>
                <w:b w:val="0"/>
                <w:sz w:val="15"/>
              </w:rPr>
              <w:t>0.202</w:t>
            </w:r>
          </w:p>
        </w:tc>
        <w:tc>
          <w:tcPr>
            <w:tcW w:w="1843" w:type="dxa"/>
            <w:tcBorders>
              <w:top w:val="nil"/>
              <w:left w:val="nil"/>
              <w:bottom w:val="nil"/>
              <w:right w:val="nil"/>
            </w:tcBorders>
            <w:shd w:val="clear" w:color="auto" w:fill="auto"/>
            <w:tcMar>
              <w:top w:w="50" w:type="dxa"/>
              <w:left w:w="60" w:type="dxa"/>
              <w:bottom w:w="50" w:type="dxa"/>
              <w:right w:w="60" w:type="dxa"/>
            </w:tcMar>
            <w:vAlign w:val="center"/>
          </w:tcPr>
          <w:p w14:paraId="5F21AFC1">
            <w:pPr>
              <w:spacing w:before="0" w:after="0" w:line="240" w:lineRule="auto"/>
              <w:jc w:val="center"/>
            </w:pPr>
            <w:r>
              <w:rPr>
                <w:rFonts w:ascii="Arial" w:hAnsi="Arial" w:eastAsia="Times New Roman"/>
                <w:b w:val="0"/>
                <w:sz w:val="15"/>
              </w:rPr>
              <w:t>0.231 (-0.512 to 0.973)</w:t>
            </w:r>
          </w:p>
        </w:tc>
        <w:tc>
          <w:tcPr>
            <w:tcW w:w="1843" w:type="dxa"/>
            <w:tcBorders>
              <w:top w:val="nil"/>
              <w:left w:val="nil"/>
              <w:bottom w:val="nil"/>
              <w:right w:val="nil"/>
            </w:tcBorders>
            <w:shd w:val="clear" w:color="auto" w:fill="auto"/>
            <w:tcMar>
              <w:top w:w="50" w:type="dxa"/>
              <w:left w:w="60" w:type="dxa"/>
              <w:bottom w:w="50" w:type="dxa"/>
              <w:right w:w="60" w:type="dxa"/>
            </w:tcMar>
            <w:vAlign w:val="center"/>
          </w:tcPr>
          <w:p w14:paraId="05DAC173">
            <w:pPr>
              <w:spacing w:before="0" w:after="0" w:line="240" w:lineRule="auto"/>
              <w:jc w:val="center"/>
            </w:pPr>
            <w:r>
              <w:rPr>
                <w:rFonts w:ascii="Arial" w:hAnsi="Arial" w:eastAsia="Times New Roman"/>
                <w:b w:val="0"/>
                <w:sz w:val="15"/>
              </w:rPr>
              <w:t>0.026 (-0.105 to 0.157)</w:t>
            </w:r>
          </w:p>
        </w:tc>
        <w:tc>
          <w:tcPr>
            <w:tcW w:w="1843" w:type="dxa"/>
            <w:tcBorders>
              <w:top w:val="nil"/>
              <w:left w:val="nil"/>
              <w:bottom w:val="nil"/>
              <w:right w:val="nil"/>
            </w:tcBorders>
            <w:shd w:val="clear" w:color="auto" w:fill="auto"/>
            <w:tcMar>
              <w:top w:w="50" w:type="dxa"/>
              <w:left w:w="60" w:type="dxa"/>
              <w:bottom w:w="50" w:type="dxa"/>
              <w:right w:w="60" w:type="dxa"/>
            </w:tcMar>
            <w:vAlign w:val="center"/>
          </w:tcPr>
          <w:p w14:paraId="75A03F8B">
            <w:pPr>
              <w:spacing w:before="0" w:after="0" w:line="240" w:lineRule="auto"/>
              <w:jc w:val="center"/>
            </w:pPr>
            <w:r>
              <w:rPr>
                <w:rFonts w:ascii="Arial" w:hAnsi="Arial" w:eastAsia="Times New Roman"/>
                <w:b w:val="0"/>
                <w:sz w:val="15"/>
              </w:rPr>
              <w:t>0.231</w:t>
            </w:r>
          </w:p>
        </w:tc>
      </w:tr>
      <w:tr w14:paraId="1446F345">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843" w:type="dxa"/>
            <w:tcBorders>
              <w:top w:val="nil"/>
              <w:left w:val="nil"/>
              <w:bottom w:val="single" w:color="auto" w:sz="4" w:space="0"/>
              <w:right w:val="nil"/>
            </w:tcBorders>
            <w:shd w:val="clear" w:color="auto" w:fill="auto"/>
            <w:tcMar>
              <w:top w:w="50" w:type="dxa"/>
              <w:left w:w="60" w:type="dxa"/>
              <w:bottom w:w="50" w:type="dxa"/>
              <w:right w:w="60" w:type="dxa"/>
            </w:tcMar>
            <w:vAlign w:val="center"/>
          </w:tcPr>
          <w:p w14:paraId="612B5517">
            <w:pPr>
              <w:spacing w:before="0" w:after="0" w:line="240" w:lineRule="auto"/>
              <w:jc w:val="left"/>
            </w:pPr>
            <w:r>
              <w:rPr>
                <w:rFonts w:ascii="Arial" w:hAnsi="Arial" w:eastAsia="Times New Roman"/>
                <w:b w:val="0"/>
                <w:sz w:val="15"/>
              </w:rPr>
              <w:t>Stacked combined</w:t>
            </w:r>
          </w:p>
        </w:tc>
        <w:tc>
          <w:tcPr>
            <w:tcW w:w="1843" w:type="dxa"/>
            <w:tcBorders>
              <w:top w:val="nil"/>
              <w:left w:val="nil"/>
              <w:bottom w:val="single" w:color="auto" w:sz="4" w:space="0"/>
              <w:right w:val="nil"/>
            </w:tcBorders>
            <w:shd w:val="clear" w:color="auto" w:fill="auto"/>
            <w:tcMar>
              <w:top w:w="50" w:type="dxa"/>
              <w:left w:w="60" w:type="dxa"/>
              <w:bottom w:w="50" w:type="dxa"/>
              <w:right w:w="60" w:type="dxa"/>
            </w:tcMar>
            <w:vAlign w:val="center"/>
          </w:tcPr>
          <w:p w14:paraId="141A2C35">
            <w:pPr>
              <w:spacing w:before="0" w:after="0" w:line="240" w:lineRule="auto"/>
              <w:jc w:val="center"/>
            </w:pPr>
            <w:r>
              <w:rPr>
                <w:rFonts w:ascii="Arial" w:hAnsi="Arial" w:eastAsia="Times New Roman"/>
                <w:b w:val="0"/>
                <w:sz w:val="15"/>
              </w:rPr>
              <w:t>0.167</w:t>
            </w:r>
          </w:p>
        </w:tc>
        <w:tc>
          <w:tcPr>
            <w:tcW w:w="1843" w:type="dxa"/>
            <w:tcBorders>
              <w:top w:val="nil"/>
              <w:left w:val="nil"/>
              <w:bottom w:val="single" w:color="auto" w:sz="4" w:space="0"/>
              <w:right w:val="nil"/>
            </w:tcBorders>
            <w:shd w:val="clear" w:color="auto" w:fill="auto"/>
            <w:tcMar>
              <w:top w:w="50" w:type="dxa"/>
              <w:left w:w="60" w:type="dxa"/>
              <w:bottom w:w="50" w:type="dxa"/>
              <w:right w:w="60" w:type="dxa"/>
            </w:tcMar>
            <w:vAlign w:val="center"/>
          </w:tcPr>
          <w:p w14:paraId="4CA6AA45">
            <w:pPr>
              <w:spacing w:before="0" w:after="0" w:line="240" w:lineRule="auto"/>
              <w:jc w:val="center"/>
            </w:pPr>
            <w:r>
              <w:rPr>
                <w:rFonts w:ascii="Arial" w:hAnsi="Arial" w:eastAsia="Times New Roman"/>
                <w:b w:val="0"/>
                <w:sz w:val="15"/>
              </w:rPr>
              <w:t>0.294 (-0.617 to 1.205)</w:t>
            </w:r>
          </w:p>
        </w:tc>
        <w:tc>
          <w:tcPr>
            <w:tcW w:w="1843" w:type="dxa"/>
            <w:tcBorders>
              <w:top w:val="nil"/>
              <w:left w:val="nil"/>
              <w:bottom w:val="single" w:color="auto" w:sz="4" w:space="0"/>
              <w:right w:val="nil"/>
            </w:tcBorders>
            <w:shd w:val="clear" w:color="auto" w:fill="auto"/>
            <w:tcMar>
              <w:top w:w="50" w:type="dxa"/>
              <w:left w:w="60" w:type="dxa"/>
              <w:bottom w:w="50" w:type="dxa"/>
              <w:right w:w="60" w:type="dxa"/>
            </w:tcMar>
            <w:vAlign w:val="center"/>
          </w:tcPr>
          <w:p w14:paraId="68029C9F">
            <w:pPr>
              <w:spacing w:before="0" w:after="0" w:line="240" w:lineRule="auto"/>
              <w:jc w:val="center"/>
            </w:pPr>
            <w:r>
              <w:rPr>
                <w:rFonts w:ascii="Arial" w:hAnsi="Arial" w:eastAsia="Times New Roman"/>
                <w:b w:val="0"/>
                <w:sz w:val="15"/>
              </w:rPr>
              <w:t>0.855 (0.217 to 1.492)</w:t>
            </w:r>
          </w:p>
        </w:tc>
        <w:tc>
          <w:tcPr>
            <w:tcW w:w="1843" w:type="dxa"/>
            <w:tcBorders>
              <w:top w:val="nil"/>
              <w:left w:val="nil"/>
              <w:bottom w:val="single" w:color="auto" w:sz="4" w:space="0"/>
              <w:right w:val="nil"/>
            </w:tcBorders>
            <w:shd w:val="clear" w:color="auto" w:fill="auto"/>
            <w:tcMar>
              <w:top w:w="50" w:type="dxa"/>
              <w:left w:w="60" w:type="dxa"/>
              <w:bottom w:w="50" w:type="dxa"/>
              <w:right w:w="60" w:type="dxa"/>
            </w:tcMar>
            <w:vAlign w:val="center"/>
          </w:tcPr>
          <w:p w14:paraId="38673827">
            <w:pPr>
              <w:spacing w:before="0" w:after="0" w:line="240" w:lineRule="auto"/>
              <w:jc w:val="center"/>
            </w:pPr>
            <w:r>
              <w:rPr>
                <w:rFonts w:ascii="Arial" w:hAnsi="Arial" w:eastAsia="Times New Roman"/>
                <w:b w:val="0"/>
                <w:sz w:val="15"/>
              </w:rPr>
              <w:t>0.330</w:t>
            </w:r>
          </w:p>
        </w:tc>
      </w:tr>
    </w:tbl>
    <w:p w14:paraId="16C24DAE">
      <w:pPr>
        <w:pStyle w:val="166"/>
        <w:spacing w:after="80"/>
      </w:pPr>
      <w:r>
        <w:t>The calibration intercept and slope are from joint recalibration; calibration-in-the-large is the intercept with slope fixed at 1. The radiomics joint intercept (0.230830) and calibration-in-the-large (0.231320) are distinct but both round to 0.231. No recalibration was performed.</w:t>
      </w:r>
    </w:p>
    <w:p w14:paraId="0E8918AF">
      <w:pPr>
        <w:pStyle w:val="168"/>
        <w:keepNext/>
        <w:keepLines/>
      </w:pPr>
      <w:r>
        <w:t>Table S4 (continued). Standardized final-feature ranges</w:t>
      </w:r>
    </w:p>
    <w:tbl>
      <w:tblPr>
        <w:tblStyle w:val="33"/>
        <w:tblW w:w="0" w:type="auto"/>
        <w:jc w:val="center"/>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303"/>
        <w:gridCol w:w="2303"/>
        <w:gridCol w:w="2303"/>
        <w:gridCol w:w="2303"/>
      </w:tblGrid>
      <w:tr w14:paraId="34E33FA4">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tblHeader w:val="true"/>
          <w:jc w:val="center"/>
        </w:trPr>
        <w:tc>
          <w:tcPr>
            <w:tcW w:w="4536" w:type="dxa"/>
            <w:tcBorders>
              <w:top w:val="single" w:color="000000" w:sz="12" w:space="0"/>
              <w:left w:val="nil"/>
              <w:bottom w:val="single" w:color="000000" w:sz="6" w:space="0"/>
              <w:right w:val="nil"/>
            </w:tcBorders>
            <w:shd w:val="clear" w:color="auto" w:fill="D9EAF3"/>
            <w:vAlign w:val="center"/>
          </w:tcPr>
          <w:p w14:paraId="7696A002">
            <w:pPr>
              <w:spacing w:before="0" w:after="0" w:line="240" w:lineRule="auto"/>
              <w:jc w:val="center"/>
            </w:pPr>
            <w:r>
              <w:rPr>
                <w:rFonts w:ascii="Arial" w:hAnsi="Arial"/>
                <w:b/>
                <w:sz w:val="15"/>
              </w:rPr>
              <w:t>Feature</w:t>
            </w:r>
          </w:p>
        </w:tc>
        <w:tc>
          <w:tcPr>
            <w:tcW w:w="1656" w:type="dxa"/>
            <w:tcBorders>
              <w:top w:val="single" w:color="000000" w:sz="12" w:space="0"/>
              <w:left w:val="nil"/>
              <w:bottom w:val="single" w:color="000000" w:sz="6" w:space="0"/>
              <w:right w:val="nil"/>
            </w:tcBorders>
            <w:shd w:val="clear" w:color="auto" w:fill="D9EAF3"/>
            <w:vAlign w:val="center"/>
          </w:tcPr>
          <w:p w14:paraId="1B6F634A">
            <w:pPr>
              <w:spacing w:before="0" w:after="0" w:line="240" w:lineRule="auto"/>
              <w:jc w:val="center"/>
            </w:pPr>
            <w:r>
              <w:rPr>
                <w:rFonts w:ascii="Arial" w:hAnsi="Arial"/>
                <w:b/>
                <w:sz w:val="15"/>
              </w:rPr>
              <w:t>Development z range</w:t>
            </w:r>
          </w:p>
        </w:tc>
        <w:tc>
          <w:tcPr>
            <w:tcW w:w="1656" w:type="dxa"/>
            <w:tcBorders>
              <w:top w:val="single" w:color="000000" w:sz="12" w:space="0"/>
              <w:left w:val="nil"/>
              <w:bottom w:val="single" w:color="000000" w:sz="6" w:space="0"/>
              <w:right w:val="nil"/>
            </w:tcBorders>
            <w:shd w:val="clear" w:color="auto" w:fill="D9EAF3"/>
            <w:vAlign w:val="center"/>
          </w:tcPr>
          <w:p w14:paraId="79E683C4">
            <w:pPr>
              <w:spacing w:before="0" w:after="0" w:line="240" w:lineRule="auto"/>
              <w:jc w:val="center"/>
            </w:pPr>
            <w:r>
              <w:rPr>
                <w:rFonts w:ascii="Arial" w:hAnsi="Arial"/>
                <w:b/>
                <w:sz w:val="15"/>
              </w:rPr>
              <w:t>Evaluation z range</w:t>
            </w:r>
          </w:p>
        </w:tc>
        <w:tc>
          <w:tcPr>
            <w:tcW w:w="1656" w:type="dxa"/>
            <w:tcBorders>
              <w:top w:val="single" w:color="000000" w:sz="12" w:space="0"/>
              <w:left w:val="nil"/>
              <w:bottom w:val="single" w:color="000000" w:sz="6" w:space="0"/>
              <w:right w:val="nil"/>
            </w:tcBorders>
            <w:shd w:val="clear" w:color="auto" w:fill="D9EAF3"/>
            <w:vAlign w:val="center"/>
          </w:tcPr>
          <w:p w14:paraId="54077527">
            <w:pPr>
              <w:spacing w:before="0" w:after="0" w:line="240" w:lineRule="auto"/>
              <w:jc w:val="center"/>
            </w:pPr>
            <w:r>
              <w:rPr>
                <w:rFonts w:ascii="Arial" w:hAnsi="Arial"/>
                <w:b/>
                <w:sz w:val="15"/>
              </w:rPr>
              <w:t>Evaluation values outside development range, n</w:t>
            </w:r>
          </w:p>
        </w:tc>
      </w:tr>
      <w:tr w14:paraId="621F298D">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4536" w:type="dxa"/>
            <w:tcBorders>
              <w:top w:val="nil"/>
              <w:left w:val="nil"/>
              <w:bottom w:val="nil"/>
              <w:right w:val="nil"/>
            </w:tcBorders>
            <w:vAlign w:val="center"/>
          </w:tcPr>
          <w:p w14:paraId="3105A737">
            <w:pPr>
              <w:spacing w:before="0" w:after="0" w:line="240" w:lineRule="auto"/>
            </w:pPr>
            <w:r>
              <w:rPr>
                <w:rFonts w:ascii="Arial" w:hAnsi="Arial"/>
                <w:b w:val="0"/>
                <w:sz w:val="15"/>
              </w:rPr>
              <w:t>wavelet-LHH_glcm_Correlation</w:t>
            </w:r>
          </w:p>
        </w:tc>
        <w:tc>
          <w:tcPr>
            <w:tcW w:w="1656" w:type="dxa"/>
            <w:tcBorders>
              <w:top w:val="nil"/>
              <w:left w:val="nil"/>
              <w:bottom w:val="nil"/>
              <w:right w:val="nil"/>
            </w:tcBorders>
            <w:vAlign w:val="center"/>
          </w:tcPr>
          <w:p w14:paraId="46CCA302">
            <w:pPr>
              <w:spacing w:before="0" w:after="0" w:line="240" w:lineRule="auto"/>
            </w:pPr>
            <w:r>
              <w:rPr>
                <w:rFonts w:ascii="Arial" w:hAnsi="Arial"/>
                <w:b w:val="0"/>
                <w:sz w:val="15"/>
              </w:rPr>
              <w:t>-4.674 to 2.336</w:t>
            </w:r>
          </w:p>
        </w:tc>
        <w:tc>
          <w:tcPr>
            <w:tcW w:w="1656" w:type="dxa"/>
            <w:tcBorders>
              <w:top w:val="nil"/>
              <w:left w:val="nil"/>
              <w:bottom w:val="nil"/>
              <w:right w:val="nil"/>
            </w:tcBorders>
            <w:vAlign w:val="center"/>
          </w:tcPr>
          <w:p w14:paraId="118D556F">
            <w:pPr>
              <w:spacing w:before="0" w:after="0" w:line="240" w:lineRule="auto"/>
            </w:pPr>
            <w:r>
              <w:rPr>
                <w:rFonts w:ascii="Arial" w:hAnsi="Arial"/>
                <w:b w:val="0"/>
                <w:sz w:val="15"/>
              </w:rPr>
              <w:t>-3.128 to 2.659</w:t>
            </w:r>
          </w:p>
        </w:tc>
        <w:tc>
          <w:tcPr>
            <w:tcW w:w="1656" w:type="dxa"/>
            <w:tcBorders>
              <w:top w:val="nil"/>
              <w:left w:val="nil"/>
              <w:bottom w:val="nil"/>
              <w:right w:val="nil"/>
            </w:tcBorders>
            <w:vAlign w:val="center"/>
          </w:tcPr>
          <w:p w14:paraId="0370D34F">
            <w:pPr>
              <w:spacing w:before="0" w:after="0" w:line="240" w:lineRule="auto"/>
            </w:pPr>
            <w:r>
              <w:rPr>
                <w:rFonts w:ascii="Arial" w:hAnsi="Arial"/>
                <w:b w:val="0"/>
                <w:sz w:val="15"/>
              </w:rPr>
              <w:t>1</w:t>
            </w:r>
          </w:p>
        </w:tc>
      </w:tr>
      <w:tr w14:paraId="6DF6A9F8">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4536" w:type="dxa"/>
            <w:tcBorders>
              <w:top w:val="nil"/>
              <w:left w:val="nil"/>
              <w:bottom w:val="nil"/>
              <w:right w:val="nil"/>
            </w:tcBorders>
            <w:vAlign w:val="center"/>
          </w:tcPr>
          <w:p w14:paraId="56295CA6">
            <w:pPr>
              <w:spacing w:before="0" w:after="0" w:line="240" w:lineRule="auto"/>
            </w:pPr>
            <w:r>
              <w:rPr>
                <w:rFonts w:ascii="Arial" w:hAnsi="Arial"/>
                <w:b w:val="0"/>
                <w:sz w:val="15"/>
              </w:rPr>
              <w:t>wavelet-HHH_glcm_ClusterShade</w:t>
            </w:r>
          </w:p>
        </w:tc>
        <w:tc>
          <w:tcPr>
            <w:tcW w:w="1656" w:type="dxa"/>
            <w:tcBorders>
              <w:top w:val="nil"/>
              <w:left w:val="nil"/>
              <w:bottom w:val="nil"/>
              <w:right w:val="nil"/>
            </w:tcBorders>
            <w:vAlign w:val="center"/>
          </w:tcPr>
          <w:p w14:paraId="2FA1D720">
            <w:pPr>
              <w:spacing w:before="0" w:after="0" w:line="240" w:lineRule="auto"/>
            </w:pPr>
            <w:r>
              <w:rPr>
                <w:rFonts w:ascii="Arial" w:hAnsi="Arial"/>
                <w:b w:val="0"/>
                <w:sz w:val="15"/>
              </w:rPr>
              <w:t>-3.410 to 4.147</w:t>
            </w:r>
          </w:p>
        </w:tc>
        <w:tc>
          <w:tcPr>
            <w:tcW w:w="1656" w:type="dxa"/>
            <w:tcBorders>
              <w:top w:val="nil"/>
              <w:left w:val="nil"/>
              <w:bottom w:val="nil"/>
              <w:right w:val="nil"/>
            </w:tcBorders>
            <w:vAlign w:val="center"/>
          </w:tcPr>
          <w:p w14:paraId="4449D991">
            <w:pPr>
              <w:spacing w:before="0" w:after="0" w:line="240" w:lineRule="auto"/>
            </w:pPr>
            <w:r>
              <w:rPr>
                <w:rFonts w:ascii="Arial" w:hAnsi="Arial"/>
                <w:b w:val="0"/>
                <w:sz w:val="15"/>
              </w:rPr>
              <w:t>-197.873 to 6.272</w:t>
            </w:r>
          </w:p>
        </w:tc>
        <w:tc>
          <w:tcPr>
            <w:tcW w:w="1656" w:type="dxa"/>
            <w:tcBorders>
              <w:top w:val="nil"/>
              <w:left w:val="nil"/>
              <w:bottom w:val="nil"/>
              <w:right w:val="nil"/>
            </w:tcBorders>
            <w:vAlign w:val="center"/>
          </w:tcPr>
          <w:p w14:paraId="3326500E">
            <w:pPr>
              <w:spacing w:before="0" w:after="0" w:line="240" w:lineRule="auto"/>
            </w:pPr>
            <w:r>
              <w:rPr>
                <w:rFonts w:ascii="Arial" w:hAnsi="Arial"/>
                <w:b w:val="0"/>
                <w:sz w:val="15"/>
              </w:rPr>
              <w:t>4</w:t>
            </w:r>
          </w:p>
        </w:tc>
      </w:tr>
      <w:tr w14:paraId="477E2050">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4536" w:type="dxa"/>
            <w:tcBorders>
              <w:top w:val="nil"/>
              <w:left w:val="nil"/>
              <w:bottom w:val="nil"/>
              <w:right w:val="nil"/>
            </w:tcBorders>
            <w:vAlign w:val="center"/>
          </w:tcPr>
          <w:p w14:paraId="2EE5839F">
            <w:pPr>
              <w:spacing w:before="0" w:after="0" w:line="240" w:lineRule="auto"/>
            </w:pPr>
            <w:r>
              <w:rPr>
                <w:rFonts w:ascii="Arial" w:hAnsi="Arial"/>
                <w:b w:val="0"/>
                <w:sz w:val="15"/>
              </w:rPr>
              <w:t>wavelet-HHL_glcm_MCC</w:t>
            </w:r>
          </w:p>
        </w:tc>
        <w:tc>
          <w:tcPr>
            <w:tcW w:w="1656" w:type="dxa"/>
            <w:tcBorders>
              <w:top w:val="nil"/>
              <w:left w:val="nil"/>
              <w:bottom w:val="nil"/>
              <w:right w:val="nil"/>
            </w:tcBorders>
            <w:vAlign w:val="center"/>
          </w:tcPr>
          <w:p w14:paraId="6CC3F731">
            <w:pPr>
              <w:spacing w:before="0" w:after="0" w:line="240" w:lineRule="auto"/>
            </w:pPr>
            <w:r>
              <w:rPr>
                <w:rFonts w:ascii="Arial" w:hAnsi="Arial"/>
                <w:b w:val="0"/>
                <w:sz w:val="15"/>
              </w:rPr>
              <w:t>-1.488 to 3.453</w:t>
            </w:r>
          </w:p>
        </w:tc>
        <w:tc>
          <w:tcPr>
            <w:tcW w:w="1656" w:type="dxa"/>
            <w:tcBorders>
              <w:top w:val="nil"/>
              <w:left w:val="nil"/>
              <w:bottom w:val="nil"/>
              <w:right w:val="nil"/>
            </w:tcBorders>
            <w:vAlign w:val="center"/>
          </w:tcPr>
          <w:p w14:paraId="4F644A6F">
            <w:pPr>
              <w:spacing w:before="0" w:after="0" w:line="240" w:lineRule="auto"/>
            </w:pPr>
            <w:r>
              <w:rPr>
                <w:rFonts w:ascii="Arial" w:hAnsi="Arial"/>
                <w:b w:val="0"/>
                <w:sz w:val="15"/>
              </w:rPr>
              <w:t>-1.369 to 4.084</w:t>
            </w:r>
          </w:p>
        </w:tc>
        <w:tc>
          <w:tcPr>
            <w:tcW w:w="1656" w:type="dxa"/>
            <w:tcBorders>
              <w:top w:val="nil"/>
              <w:left w:val="nil"/>
              <w:bottom w:val="nil"/>
              <w:right w:val="nil"/>
            </w:tcBorders>
            <w:vAlign w:val="center"/>
          </w:tcPr>
          <w:p w14:paraId="22D0A871">
            <w:pPr>
              <w:spacing w:before="0" w:after="0" w:line="240" w:lineRule="auto"/>
            </w:pPr>
            <w:r>
              <w:rPr>
                <w:rFonts w:ascii="Arial" w:hAnsi="Arial"/>
                <w:b w:val="0"/>
                <w:sz w:val="15"/>
              </w:rPr>
              <w:t>1</w:t>
            </w:r>
          </w:p>
        </w:tc>
      </w:tr>
      <w:tr w14:paraId="02DB6471">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4536" w:type="dxa"/>
            <w:tcBorders>
              <w:top w:val="nil"/>
              <w:left w:val="nil"/>
              <w:bottom w:val="nil"/>
              <w:right w:val="nil"/>
            </w:tcBorders>
            <w:vAlign w:val="center"/>
          </w:tcPr>
          <w:p w14:paraId="1D7368E3">
            <w:pPr>
              <w:spacing w:before="0" w:after="0" w:line="240" w:lineRule="auto"/>
            </w:pPr>
            <w:r>
              <w:rPr>
                <w:rFonts w:ascii="Arial" w:hAnsi="Arial"/>
                <w:b w:val="0"/>
                <w:sz w:val="15"/>
              </w:rPr>
              <w:t>wavelet-HLL_glcm_DifferenceVariance</w:t>
            </w:r>
          </w:p>
        </w:tc>
        <w:tc>
          <w:tcPr>
            <w:tcW w:w="1656" w:type="dxa"/>
            <w:tcBorders>
              <w:top w:val="nil"/>
              <w:left w:val="nil"/>
              <w:bottom w:val="nil"/>
              <w:right w:val="nil"/>
            </w:tcBorders>
            <w:vAlign w:val="center"/>
          </w:tcPr>
          <w:p w14:paraId="4BEC7D4C">
            <w:pPr>
              <w:spacing w:before="0" w:after="0" w:line="240" w:lineRule="auto"/>
            </w:pPr>
            <w:r>
              <w:rPr>
                <w:rFonts w:ascii="Arial" w:hAnsi="Arial"/>
                <w:b w:val="0"/>
                <w:sz w:val="15"/>
              </w:rPr>
              <w:t>-1.154 to 4.472</w:t>
            </w:r>
          </w:p>
        </w:tc>
        <w:tc>
          <w:tcPr>
            <w:tcW w:w="1656" w:type="dxa"/>
            <w:tcBorders>
              <w:top w:val="nil"/>
              <w:left w:val="nil"/>
              <w:bottom w:val="nil"/>
              <w:right w:val="nil"/>
            </w:tcBorders>
            <w:vAlign w:val="center"/>
          </w:tcPr>
          <w:p w14:paraId="5EA0ED8C">
            <w:pPr>
              <w:spacing w:before="0" w:after="0" w:line="240" w:lineRule="auto"/>
            </w:pPr>
            <w:r>
              <w:rPr>
                <w:rFonts w:ascii="Arial" w:hAnsi="Arial"/>
                <w:b w:val="0"/>
                <w:sz w:val="15"/>
              </w:rPr>
              <w:t>-1.029 to 13.941</w:t>
            </w:r>
          </w:p>
        </w:tc>
        <w:tc>
          <w:tcPr>
            <w:tcW w:w="1656" w:type="dxa"/>
            <w:tcBorders>
              <w:top w:val="nil"/>
              <w:left w:val="nil"/>
              <w:bottom w:val="nil"/>
              <w:right w:val="nil"/>
            </w:tcBorders>
            <w:vAlign w:val="center"/>
          </w:tcPr>
          <w:p w14:paraId="19560A63">
            <w:pPr>
              <w:spacing w:before="0" w:after="0" w:line="240" w:lineRule="auto"/>
            </w:pPr>
            <w:r>
              <w:rPr>
                <w:rFonts w:ascii="Arial" w:hAnsi="Arial"/>
                <w:b w:val="0"/>
                <w:sz w:val="15"/>
              </w:rPr>
              <w:t>2</w:t>
            </w:r>
          </w:p>
        </w:tc>
      </w:tr>
      <w:tr w14:paraId="7374B11A">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4536" w:type="dxa"/>
            <w:tcBorders>
              <w:top w:val="nil"/>
              <w:left w:val="nil"/>
              <w:bottom w:val="nil"/>
              <w:right w:val="nil"/>
            </w:tcBorders>
            <w:vAlign w:val="center"/>
          </w:tcPr>
          <w:p w14:paraId="4E3CCDAD">
            <w:pPr>
              <w:spacing w:before="0" w:after="0" w:line="240" w:lineRule="auto"/>
            </w:pPr>
            <w:r>
              <w:rPr>
                <w:rFonts w:ascii="Arial" w:hAnsi="Arial"/>
                <w:b w:val="0"/>
                <w:sz w:val="15"/>
              </w:rPr>
              <w:t>wavelet-LHL_glcm_DifferenceVariance</w:t>
            </w:r>
          </w:p>
        </w:tc>
        <w:tc>
          <w:tcPr>
            <w:tcW w:w="1656" w:type="dxa"/>
            <w:tcBorders>
              <w:top w:val="nil"/>
              <w:left w:val="nil"/>
              <w:bottom w:val="nil"/>
              <w:right w:val="nil"/>
            </w:tcBorders>
            <w:vAlign w:val="center"/>
          </w:tcPr>
          <w:p w14:paraId="0F0DED6E">
            <w:pPr>
              <w:spacing w:before="0" w:after="0" w:line="240" w:lineRule="auto"/>
            </w:pPr>
            <w:r>
              <w:rPr>
                <w:rFonts w:ascii="Arial" w:hAnsi="Arial"/>
                <w:b w:val="0"/>
                <w:sz w:val="15"/>
              </w:rPr>
              <w:t>-1.208 to 3.762</w:t>
            </w:r>
          </w:p>
        </w:tc>
        <w:tc>
          <w:tcPr>
            <w:tcW w:w="1656" w:type="dxa"/>
            <w:tcBorders>
              <w:top w:val="nil"/>
              <w:left w:val="nil"/>
              <w:bottom w:val="nil"/>
              <w:right w:val="nil"/>
            </w:tcBorders>
            <w:vAlign w:val="center"/>
          </w:tcPr>
          <w:p w14:paraId="22FCAFDD">
            <w:pPr>
              <w:spacing w:before="0" w:after="0" w:line="240" w:lineRule="auto"/>
            </w:pPr>
            <w:r>
              <w:rPr>
                <w:rFonts w:ascii="Arial" w:hAnsi="Arial"/>
                <w:b w:val="0"/>
                <w:sz w:val="15"/>
              </w:rPr>
              <w:t>-1.066 to 11.285</w:t>
            </w:r>
          </w:p>
        </w:tc>
        <w:tc>
          <w:tcPr>
            <w:tcW w:w="1656" w:type="dxa"/>
            <w:tcBorders>
              <w:top w:val="nil"/>
              <w:left w:val="nil"/>
              <w:bottom w:val="nil"/>
              <w:right w:val="nil"/>
            </w:tcBorders>
            <w:vAlign w:val="center"/>
          </w:tcPr>
          <w:p w14:paraId="1BB85C7E">
            <w:pPr>
              <w:spacing w:before="0" w:after="0" w:line="240" w:lineRule="auto"/>
            </w:pPr>
            <w:r>
              <w:rPr>
                <w:rFonts w:ascii="Arial" w:hAnsi="Arial"/>
                <w:b w:val="0"/>
                <w:sz w:val="15"/>
              </w:rPr>
              <w:t>2</w:t>
            </w:r>
          </w:p>
        </w:tc>
      </w:tr>
      <w:tr w14:paraId="6AB8074B">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4536" w:type="dxa"/>
            <w:tcBorders>
              <w:top w:val="nil"/>
              <w:left w:val="nil"/>
              <w:bottom w:val="nil"/>
              <w:right w:val="nil"/>
            </w:tcBorders>
            <w:vAlign w:val="center"/>
          </w:tcPr>
          <w:p w14:paraId="2B8EC98D">
            <w:pPr>
              <w:spacing w:before="0" w:after="0" w:line="240" w:lineRule="auto"/>
            </w:pPr>
            <w:r>
              <w:rPr>
                <w:rFonts w:ascii="Arial" w:hAnsi="Arial"/>
                <w:b w:val="0"/>
                <w:sz w:val="15"/>
              </w:rPr>
              <w:t>wavelet-HLL_gldm_LargeDependenceLowGrayLevelEmphasis</w:t>
            </w:r>
          </w:p>
        </w:tc>
        <w:tc>
          <w:tcPr>
            <w:tcW w:w="1656" w:type="dxa"/>
            <w:tcBorders>
              <w:top w:val="nil"/>
              <w:left w:val="nil"/>
              <w:bottom w:val="nil"/>
              <w:right w:val="nil"/>
            </w:tcBorders>
            <w:vAlign w:val="center"/>
          </w:tcPr>
          <w:p w14:paraId="688F4ADC">
            <w:pPr>
              <w:spacing w:before="0" w:after="0" w:line="240" w:lineRule="auto"/>
            </w:pPr>
            <w:r>
              <w:rPr>
                <w:rFonts w:ascii="Arial" w:hAnsi="Arial"/>
                <w:b w:val="0"/>
                <w:sz w:val="15"/>
              </w:rPr>
              <w:t>-1.397 to 3.639</w:t>
            </w:r>
          </w:p>
        </w:tc>
        <w:tc>
          <w:tcPr>
            <w:tcW w:w="1656" w:type="dxa"/>
            <w:tcBorders>
              <w:top w:val="nil"/>
              <w:left w:val="nil"/>
              <w:bottom w:val="nil"/>
              <w:right w:val="nil"/>
            </w:tcBorders>
            <w:vAlign w:val="center"/>
          </w:tcPr>
          <w:p w14:paraId="3E4DF954">
            <w:pPr>
              <w:spacing w:before="0" w:after="0" w:line="240" w:lineRule="auto"/>
            </w:pPr>
            <w:r>
              <w:rPr>
                <w:rFonts w:ascii="Arial" w:hAnsi="Arial"/>
                <w:b w:val="0"/>
                <w:sz w:val="15"/>
              </w:rPr>
              <w:t>-1.427 to 2.065</w:t>
            </w:r>
          </w:p>
        </w:tc>
        <w:tc>
          <w:tcPr>
            <w:tcW w:w="1656" w:type="dxa"/>
            <w:tcBorders>
              <w:top w:val="nil"/>
              <w:left w:val="nil"/>
              <w:bottom w:val="nil"/>
              <w:right w:val="nil"/>
            </w:tcBorders>
            <w:vAlign w:val="center"/>
          </w:tcPr>
          <w:p w14:paraId="303263AF">
            <w:pPr>
              <w:spacing w:before="0" w:after="0" w:line="240" w:lineRule="auto"/>
            </w:pPr>
            <w:r>
              <w:rPr>
                <w:rFonts w:ascii="Arial" w:hAnsi="Arial"/>
                <w:b w:val="0"/>
                <w:sz w:val="15"/>
              </w:rPr>
              <w:t>1</w:t>
            </w:r>
          </w:p>
        </w:tc>
      </w:tr>
      <w:tr w14:paraId="71863B43">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4536" w:type="dxa"/>
            <w:tcBorders>
              <w:top w:val="nil"/>
              <w:left w:val="nil"/>
              <w:bottom w:val="nil"/>
              <w:right w:val="nil"/>
            </w:tcBorders>
            <w:vAlign w:val="center"/>
          </w:tcPr>
          <w:p w14:paraId="5980A8D4">
            <w:pPr>
              <w:spacing w:before="0" w:after="0" w:line="240" w:lineRule="auto"/>
            </w:pPr>
            <w:r>
              <w:rPr>
                <w:rFonts w:ascii="Arial" w:hAnsi="Arial"/>
                <w:b w:val="0"/>
                <w:sz w:val="15"/>
              </w:rPr>
              <w:t>wavelet-LLL_ngtdm_Busyness</w:t>
            </w:r>
          </w:p>
        </w:tc>
        <w:tc>
          <w:tcPr>
            <w:tcW w:w="1656" w:type="dxa"/>
            <w:tcBorders>
              <w:top w:val="nil"/>
              <w:left w:val="nil"/>
              <w:bottom w:val="nil"/>
              <w:right w:val="nil"/>
            </w:tcBorders>
            <w:vAlign w:val="center"/>
          </w:tcPr>
          <w:p w14:paraId="3381547D">
            <w:pPr>
              <w:spacing w:before="0" w:after="0" w:line="240" w:lineRule="auto"/>
            </w:pPr>
            <w:r>
              <w:rPr>
                <w:rFonts w:ascii="Arial" w:hAnsi="Arial"/>
                <w:b w:val="0"/>
                <w:sz w:val="15"/>
              </w:rPr>
              <w:t>-0.869 to 4.833</w:t>
            </w:r>
          </w:p>
        </w:tc>
        <w:tc>
          <w:tcPr>
            <w:tcW w:w="1656" w:type="dxa"/>
            <w:tcBorders>
              <w:top w:val="nil"/>
              <w:left w:val="nil"/>
              <w:bottom w:val="nil"/>
              <w:right w:val="nil"/>
            </w:tcBorders>
            <w:vAlign w:val="center"/>
          </w:tcPr>
          <w:p w14:paraId="63892840">
            <w:pPr>
              <w:spacing w:before="0" w:after="0" w:line="240" w:lineRule="auto"/>
            </w:pPr>
            <w:r>
              <w:rPr>
                <w:rFonts w:ascii="Arial" w:hAnsi="Arial"/>
                <w:b w:val="0"/>
                <w:sz w:val="15"/>
              </w:rPr>
              <w:t>-0.871 to 1.701</w:t>
            </w:r>
          </w:p>
        </w:tc>
        <w:tc>
          <w:tcPr>
            <w:tcW w:w="1656" w:type="dxa"/>
            <w:tcBorders>
              <w:top w:val="nil"/>
              <w:left w:val="nil"/>
              <w:bottom w:val="nil"/>
              <w:right w:val="nil"/>
            </w:tcBorders>
            <w:vAlign w:val="center"/>
          </w:tcPr>
          <w:p w14:paraId="1F2472DD">
            <w:pPr>
              <w:spacing w:before="0" w:after="0" w:line="240" w:lineRule="auto"/>
            </w:pPr>
            <w:r>
              <w:rPr>
                <w:rFonts w:ascii="Arial" w:hAnsi="Arial"/>
                <w:b w:val="0"/>
                <w:sz w:val="15"/>
              </w:rPr>
              <w:t>1</w:t>
            </w:r>
          </w:p>
        </w:tc>
      </w:tr>
      <w:tr w14:paraId="1D8FD694">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4536" w:type="dxa"/>
            <w:tcBorders>
              <w:top w:val="nil"/>
              <w:left w:val="nil"/>
              <w:bottom w:val="single" w:color="auto" w:sz="4" w:space="0"/>
              <w:right w:val="nil"/>
            </w:tcBorders>
            <w:vAlign w:val="center"/>
          </w:tcPr>
          <w:p w14:paraId="5FB2DF18">
            <w:pPr>
              <w:spacing w:before="0" w:after="0" w:line="240" w:lineRule="auto"/>
            </w:pPr>
            <w:r>
              <w:rPr>
                <w:rFonts w:ascii="Arial" w:hAnsi="Arial"/>
                <w:b w:val="0"/>
                <w:sz w:val="15"/>
              </w:rPr>
              <w:t>wavelet-HLH_firstorder_Median</w:t>
            </w:r>
          </w:p>
        </w:tc>
        <w:tc>
          <w:tcPr>
            <w:tcW w:w="1656" w:type="dxa"/>
            <w:tcBorders>
              <w:top w:val="nil"/>
              <w:left w:val="nil"/>
              <w:bottom w:val="single" w:color="auto" w:sz="4" w:space="0"/>
              <w:right w:val="nil"/>
            </w:tcBorders>
            <w:vAlign w:val="center"/>
          </w:tcPr>
          <w:p w14:paraId="7D092606">
            <w:pPr>
              <w:spacing w:before="0" w:after="0" w:line="240" w:lineRule="auto"/>
            </w:pPr>
            <w:r>
              <w:rPr>
                <w:rFonts w:ascii="Arial" w:hAnsi="Arial"/>
                <w:b w:val="0"/>
                <w:sz w:val="15"/>
              </w:rPr>
              <w:t>-2.464 to 4.157</w:t>
            </w:r>
          </w:p>
        </w:tc>
        <w:tc>
          <w:tcPr>
            <w:tcW w:w="1656" w:type="dxa"/>
            <w:tcBorders>
              <w:top w:val="nil"/>
              <w:left w:val="nil"/>
              <w:bottom w:val="single" w:color="auto" w:sz="4" w:space="0"/>
              <w:right w:val="nil"/>
            </w:tcBorders>
            <w:vAlign w:val="center"/>
          </w:tcPr>
          <w:p w14:paraId="37AF6DE6">
            <w:pPr>
              <w:spacing w:before="0" w:after="0" w:line="240" w:lineRule="auto"/>
            </w:pPr>
            <w:r>
              <w:rPr>
                <w:rFonts w:ascii="Arial" w:hAnsi="Arial"/>
                <w:b w:val="0"/>
                <w:sz w:val="15"/>
              </w:rPr>
              <w:t>-5.113 to 5.102</w:t>
            </w:r>
          </w:p>
        </w:tc>
        <w:tc>
          <w:tcPr>
            <w:tcW w:w="1656" w:type="dxa"/>
            <w:tcBorders>
              <w:top w:val="nil"/>
              <w:left w:val="nil"/>
              <w:bottom w:val="single" w:color="auto" w:sz="4" w:space="0"/>
              <w:right w:val="nil"/>
            </w:tcBorders>
            <w:vAlign w:val="center"/>
          </w:tcPr>
          <w:p w14:paraId="32AA26A2">
            <w:pPr>
              <w:spacing w:before="0" w:after="0" w:line="240" w:lineRule="auto"/>
            </w:pPr>
            <w:r>
              <w:rPr>
                <w:rFonts w:ascii="Arial" w:hAnsi="Arial"/>
                <w:b w:val="0"/>
                <w:sz w:val="15"/>
              </w:rPr>
              <w:t>3</w:t>
            </w:r>
          </w:p>
        </w:tc>
      </w:tr>
    </w:tbl>
    <w:p w14:paraId="62EBADC8">
      <w:pPr>
        <w:pStyle w:val="168"/>
        <w:keepNext/>
        <w:keepLines/>
      </w:pPr>
      <w:r>
        <w:t>Table S4 (continued). Standalone radiomics linear predictors</w:t>
      </w:r>
    </w:p>
    <w:tbl>
      <w:tblPr>
        <w:tblStyle w:val="33"/>
        <w:tblW w:w="0" w:type="auto"/>
        <w:jc w:val="center"/>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535"/>
        <w:gridCol w:w="1535"/>
        <w:gridCol w:w="1535"/>
        <w:gridCol w:w="1535"/>
        <w:gridCol w:w="1535"/>
        <w:gridCol w:w="1535"/>
      </w:tblGrid>
      <w:tr w14:paraId="7E1A091E">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PrEx>
        <w:trPr>
          <w:cantSplit/>
          <w:tblHeader w:val="true"/>
          <w:jc w:val="center"/>
        </w:trPr>
        <w:tc>
          <w:tcPr>
            <w:tcW w:w="2376" w:type="dxa"/>
            <w:tcBorders>
              <w:top w:val="single" w:color="000000" w:sz="12" w:space="0"/>
              <w:left w:val="nil"/>
              <w:bottom w:val="single" w:color="000000" w:sz="6" w:space="0"/>
              <w:right w:val="nil"/>
            </w:tcBorders>
            <w:shd w:val="clear" w:color="auto" w:fill="D9EAF3"/>
            <w:vAlign w:val="center"/>
          </w:tcPr>
          <w:p w14:paraId="39B649E5">
            <w:pPr>
              <w:spacing w:before="0" w:after="0" w:line="240" w:lineRule="auto"/>
              <w:jc w:val="center"/>
            </w:pPr>
            <w:r>
              <w:rPr>
                <w:rFonts w:ascii="Arial" w:hAnsi="Arial"/>
                <w:b/>
                <w:sz w:val="15"/>
              </w:rPr>
              <w:t>Dataset</w:t>
            </w:r>
          </w:p>
        </w:tc>
        <w:tc>
          <w:tcPr>
            <w:tcW w:w="1368" w:type="dxa"/>
            <w:tcBorders>
              <w:top w:val="single" w:color="000000" w:sz="12" w:space="0"/>
              <w:left w:val="nil"/>
              <w:bottom w:val="single" w:color="000000" w:sz="6" w:space="0"/>
              <w:right w:val="nil"/>
            </w:tcBorders>
            <w:shd w:val="clear" w:color="auto" w:fill="D9EAF3"/>
            <w:vAlign w:val="center"/>
          </w:tcPr>
          <w:p w14:paraId="3ACF8638">
            <w:pPr>
              <w:spacing w:before="0" w:after="0" w:line="240" w:lineRule="auto"/>
              <w:jc w:val="center"/>
            </w:pPr>
            <w:r>
              <w:rPr>
                <w:rFonts w:ascii="Arial" w:hAnsi="Arial"/>
                <w:b/>
                <w:sz w:val="15"/>
              </w:rPr>
              <w:t>Minimum</w:t>
            </w:r>
          </w:p>
        </w:tc>
        <w:tc>
          <w:tcPr>
            <w:tcW w:w="1368" w:type="dxa"/>
            <w:tcBorders>
              <w:top w:val="single" w:color="000000" w:sz="12" w:space="0"/>
              <w:left w:val="nil"/>
              <w:bottom w:val="single" w:color="000000" w:sz="6" w:space="0"/>
              <w:right w:val="nil"/>
            </w:tcBorders>
            <w:shd w:val="clear" w:color="auto" w:fill="D9EAF3"/>
            <w:vAlign w:val="center"/>
          </w:tcPr>
          <w:p w14:paraId="033F72AC">
            <w:pPr>
              <w:spacing w:before="0" w:after="0" w:line="240" w:lineRule="auto"/>
              <w:jc w:val="center"/>
            </w:pPr>
            <w:r>
              <w:rPr>
                <w:rFonts w:ascii="Arial" w:hAnsi="Arial"/>
                <w:b/>
                <w:sz w:val="15"/>
              </w:rPr>
              <w:t>Q1</w:t>
            </w:r>
          </w:p>
        </w:tc>
        <w:tc>
          <w:tcPr>
            <w:tcW w:w="1368" w:type="dxa"/>
            <w:tcBorders>
              <w:top w:val="single" w:color="000000" w:sz="12" w:space="0"/>
              <w:left w:val="nil"/>
              <w:bottom w:val="single" w:color="000000" w:sz="6" w:space="0"/>
              <w:right w:val="nil"/>
            </w:tcBorders>
            <w:shd w:val="clear" w:color="auto" w:fill="D9EAF3"/>
            <w:vAlign w:val="center"/>
          </w:tcPr>
          <w:p w14:paraId="5F486D60">
            <w:pPr>
              <w:spacing w:before="0" w:after="0" w:line="240" w:lineRule="auto"/>
              <w:jc w:val="center"/>
            </w:pPr>
            <w:r>
              <w:rPr>
                <w:rFonts w:ascii="Arial" w:hAnsi="Arial"/>
                <w:b/>
                <w:sz w:val="15"/>
              </w:rPr>
              <w:t>Median</w:t>
            </w:r>
          </w:p>
        </w:tc>
        <w:tc>
          <w:tcPr>
            <w:tcW w:w="1368" w:type="dxa"/>
            <w:tcBorders>
              <w:top w:val="single" w:color="000000" w:sz="12" w:space="0"/>
              <w:left w:val="nil"/>
              <w:bottom w:val="single" w:color="000000" w:sz="6" w:space="0"/>
              <w:right w:val="nil"/>
            </w:tcBorders>
            <w:shd w:val="clear" w:color="auto" w:fill="D9EAF3"/>
            <w:vAlign w:val="center"/>
          </w:tcPr>
          <w:p w14:paraId="24A3B0E0">
            <w:pPr>
              <w:spacing w:before="0" w:after="0" w:line="240" w:lineRule="auto"/>
              <w:jc w:val="center"/>
            </w:pPr>
            <w:r>
              <w:rPr>
                <w:rFonts w:ascii="Arial" w:hAnsi="Arial"/>
                <w:b/>
                <w:sz w:val="15"/>
              </w:rPr>
              <w:t>Q3</w:t>
            </w:r>
          </w:p>
        </w:tc>
        <w:tc>
          <w:tcPr>
            <w:tcW w:w="1368" w:type="dxa"/>
            <w:tcBorders>
              <w:top w:val="single" w:color="000000" w:sz="12" w:space="0"/>
              <w:left w:val="nil"/>
              <w:bottom w:val="single" w:color="000000" w:sz="6" w:space="0"/>
              <w:right w:val="nil"/>
            </w:tcBorders>
            <w:shd w:val="clear" w:color="auto" w:fill="D9EAF3"/>
            <w:vAlign w:val="center"/>
          </w:tcPr>
          <w:p w14:paraId="1163AA02">
            <w:pPr>
              <w:spacing w:before="0" w:after="0" w:line="240" w:lineRule="auto"/>
              <w:jc w:val="center"/>
            </w:pPr>
            <w:r>
              <w:rPr>
                <w:rFonts w:ascii="Arial" w:hAnsi="Arial"/>
                <w:b/>
                <w:sz w:val="15"/>
              </w:rPr>
              <w:t>Maximum</w:t>
            </w:r>
          </w:p>
        </w:tc>
      </w:tr>
      <w:tr w14:paraId="47442CE5">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2376" w:type="dxa"/>
            <w:tcBorders>
              <w:top w:val="nil"/>
              <w:left w:val="nil"/>
              <w:bottom w:val="nil"/>
              <w:right w:val="nil"/>
            </w:tcBorders>
            <w:vAlign w:val="center"/>
          </w:tcPr>
          <w:p w14:paraId="098ED89F">
            <w:pPr>
              <w:spacing w:before="0" w:after="0" w:line="240" w:lineRule="auto"/>
            </w:pPr>
            <w:r>
              <w:rPr>
                <w:rFonts w:ascii="Arial" w:hAnsi="Arial"/>
                <w:b w:val="0"/>
                <w:sz w:val="15"/>
              </w:rPr>
              <w:t>Development (n = 66)</w:t>
            </w:r>
          </w:p>
        </w:tc>
        <w:tc>
          <w:tcPr>
            <w:tcW w:w="1368" w:type="dxa"/>
            <w:tcBorders>
              <w:top w:val="nil"/>
              <w:left w:val="nil"/>
              <w:bottom w:val="nil"/>
              <w:right w:val="nil"/>
            </w:tcBorders>
            <w:vAlign w:val="center"/>
          </w:tcPr>
          <w:p w14:paraId="3D3B3CCB">
            <w:pPr>
              <w:spacing w:before="0" w:after="0" w:line="240" w:lineRule="auto"/>
            </w:pPr>
            <w:r>
              <w:rPr>
                <w:rFonts w:ascii="Arial" w:hAnsi="Arial"/>
                <w:b w:val="0"/>
                <w:sz w:val="15"/>
              </w:rPr>
              <w:t>-6.089</w:t>
            </w:r>
          </w:p>
        </w:tc>
        <w:tc>
          <w:tcPr>
            <w:tcW w:w="1368" w:type="dxa"/>
            <w:tcBorders>
              <w:top w:val="nil"/>
              <w:left w:val="nil"/>
              <w:bottom w:val="nil"/>
              <w:right w:val="nil"/>
            </w:tcBorders>
            <w:vAlign w:val="center"/>
          </w:tcPr>
          <w:p w14:paraId="602EF2AC">
            <w:pPr>
              <w:spacing w:before="0" w:after="0" w:line="240" w:lineRule="auto"/>
            </w:pPr>
            <w:r>
              <w:rPr>
                <w:rFonts w:ascii="Arial" w:hAnsi="Arial"/>
                <w:b w:val="0"/>
                <w:sz w:val="15"/>
              </w:rPr>
              <w:t>-1.474</w:t>
            </w:r>
          </w:p>
        </w:tc>
        <w:tc>
          <w:tcPr>
            <w:tcW w:w="1368" w:type="dxa"/>
            <w:tcBorders>
              <w:top w:val="nil"/>
              <w:left w:val="nil"/>
              <w:bottom w:val="nil"/>
              <w:right w:val="nil"/>
            </w:tcBorders>
            <w:vAlign w:val="center"/>
          </w:tcPr>
          <w:p w14:paraId="3F2DB19F">
            <w:pPr>
              <w:spacing w:before="0" w:after="0" w:line="240" w:lineRule="auto"/>
            </w:pPr>
            <w:r>
              <w:rPr>
                <w:rFonts w:ascii="Arial" w:hAnsi="Arial"/>
                <w:b w:val="0"/>
                <w:sz w:val="15"/>
              </w:rPr>
              <w:t>0.445</w:t>
            </w:r>
          </w:p>
        </w:tc>
        <w:tc>
          <w:tcPr>
            <w:tcW w:w="1368" w:type="dxa"/>
            <w:tcBorders>
              <w:top w:val="nil"/>
              <w:left w:val="nil"/>
              <w:bottom w:val="nil"/>
              <w:right w:val="nil"/>
            </w:tcBorders>
            <w:vAlign w:val="center"/>
          </w:tcPr>
          <w:p w14:paraId="63D5A54B">
            <w:pPr>
              <w:spacing w:before="0" w:after="0" w:line="240" w:lineRule="auto"/>
            </w:pPr>
            <w:r>
              <w:rPr>
                <w:rFonts w:ascii="Arial" w:hAnsi="Arial"/>
                <w:b w:val="0"/>
                <w:sz w:val="15"/>
              </w:rPr>
              <w:t>1.699</w:t>
            </w:r>
          </w:p>
        </w:tc>
        <w:tc>
          <w:tcPr>
            <w:tcW w:w="1368" w:type="dxa"/>
            <w:tcBorders>
              <w:top w:val="nil"/>
              <w:left w:val="nil"/>
              <w:bottom w:val="nil"/>
              <w:right w:val="nil"/>
            </w:tcBorders>
            <w:vAlign w:val="center"/>
          </w:tcPr>
          <w:p w14:paraId="11805BFA">
            <w:pPr>
              <w:spacing w:before="0" w:after="0" w:line="240" w:lineRule="auto"/>
            </w:pPr>
            <w:r>
              <w:rPr>
                <w:rFonts w:ascii="Arial" w:hAnsi="Arial"/>
                <w:b w:val="0"/>
                <w:sz w:val="15"/>
              </w:rPr>
              <w:t>3.676</w:t>
            </w:r>
          </w:p>
        </w:tc>
      </w:tr>
      <w:tr w14:paraId="5F617FB3">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2376" w:type="dxa"/>
            <w:tcBorders>
              <w:top w:val="nil"/>
              <w:left w:val="nil"/>
              <w:bottom w:val="single" w:color="auto" w:sz="4" w:space="0"/>
              <w:right w:val="nil"/>
            </w:tcBorders>
            <w:vAlign w:val="center"/>
          </w:tcPr>
          <w:p w14:paraId="598DACD4">
            <w:pPr>
              <w:spacing w:before="0" w:after="0" w:line="240" w:lineRule="auto"/>
            </w:pPr>
            <w:r>
              <w:rPr>
                <w:rFonts w:ascii="Arial" w:hAnsi="Arial"/>
                <w:b w:val="0"/>
                <w:sz w:val="15"/>
              </w:rPr>
              <w:t>Evaluation (n = 29)</w:t>
            </w:r>
          </w:p>
        </w:tc>
        <w:tc>
          <w:tcPr>
            <w:tcW w:w="1368" w:type="dxa"/>
            <w:tcBorders>
              <w:top w:val="nil"/>
              <w:left w:val="nil"/>
              <w:bottom w:val="single" w:color="auto" w:sz="4" w:space="0"/>
              <w:right w:val="nil"/>
            </w:tcBorders>
            <w:vAlign w:val="center"/>
          </w:tcPr>
          <w:p w14:paraId="67158999">
            <w:pPr>
              <w:spacing w:before="0" w:after="0" w:line="240" w:lineRule="auto"/>
            </w:pPr>
            <w:r>
              <w:rPr>
                <w:rFonts w:ascii="Arial" w:hAnsi="Arial"/>
                <w:b w:val="0"/>
                <w:sz w:val="15"/>
              </w:rPr>
              <w:t>-63.012</w:t>
            </w:r>
          </w:p>
        </w:tc>
        <w:tc>
          <w:tcPr>
            <w:tcW w:w="1368" w:type="dxa"/>
            <w:tcBorders>
              <w:top w:val="nil"/>
              <w:left w:val="nil"/>
              <w:bottom w:val="single" w:color="auto" w:sz="4" w:space="0"/>
              <w:right w:val="nil"/>
            </w:tcBorders>
            <w:vAlign w:val="center"/>
          </w:tcPr>
          <w:p w14:paraId="4F219F89">
            <w:pPr>
              <w:spacing w:before="0" w:after="0" w:line="240" w:lineRule="auto"/>
            </w:pPr>
            <w:r>
              <w:rPr>
                <w:rFonts w:ascii="Arial" w:hAnsi="Arial"/>
                <w:b w:val="0"/>
                <w:sz w:val="15"/>
              </w:rPr>
              <w:t>-1.018</w:t>
            </w:r>
          </w:p>
        </w:tc>
        <w:tc>
          <w:tcPr>
            <w:tcW w:w="1368" w:type="dxa"/>
            <w:tcBorders>
              <w:top w:val="nil"/>
              <w:left w:val="nil"/>
              <w:bottom w:val="single" w:color="auto" w:sz="4" w:space="0"/>
              <w:right w:val="nil"/>
            </w:tcBorders>
            <w:vAlign w:val="center"/>
          </w:tcPr>
          <w:p w14:paraId="0D4DB251">
            <w:pPr>
              <w:spacing w:before="0" w:after="0" w:line="240" w:lineRule="auto"/>
            </w:pPr>
            <w:r>
              <w:rPr>
                <w:rFonts w:ascii="Arial" w:hAnsi="Arial"/>
                <w:b w:val="0"/>
                <w:sz w:val="15"/>
              </w:rPr>
              <w:t>0.212</w:t>
            </w:r>
          </w:p>
        </w:tc>
        <w:tc>
          <w:tcPr>
            <w:tcW w:w="1368" w:type="dxa"/>
            <w:tcBorders>
              <w:top w:val="nil"/>
              <w:left w:val="nil"/>
              <w:bottom w:val="single" w:color="auto" w:sz="4" w:space="0"/>
              <w:right w:val="nil"/>
            </w:tcBorders>
            <w:vAlign w:val="center"/>
          </w:tcPr>
          <w:p w14:paraId="2CBB6D15">
            <w:pPr>
              <w:spacing w:before="0" w:after="0" w:line="240" w:lineRule="auto"/>
            </w:pPr>
            <w:r>
              <w:rPr>
                <w:rFonts w:ascii="Arial" w:hAnsi="Arial"/>
                <w:b w:val="0"/>
                <w:sz w:val="15"/>
              </w:rPr>
              <w:t>1.483</w:t>
            </w:r>
          </w:p>
        </w:tc>
        <w:tc>
          <w:tcPr>
            <w:tcW w:w="1368" w:type="dxa"/>
            <w:tcBorders>
              <w:top w:val="nil"/>
              <w:left w:val="nil"/>
              <w:bottom w:val="single" w:color="auto" w:sz="4" w:space="0"/>
              <w:right w:val="nil"/>
            </w:tcBorders>
            <w:vAlign w:val="center"/>
          </w:tcPr>
          <w:p w14:paraId="5FFF5FCC">
            <w:pPr>
              <w:spacing w:before="0" w:after="0" w:line="240" w:lineRule="auto"/>
            </w:pPr>
            <w:r>
              <w:rPr>
                <w:rFonts w:ascii="Arial" w:hAnsi="Arial"/>
                <w:b w:val="0"/>
                <w:sz w:val="15"/>
              </w:rPr>
              <w:t>4.990</w:t>
            </w:r>
          </w:p>
        </w:tc>
      </w:tr>
    </w:tbl>
    <w:p w14:paraId="01688467">
      <w:pPr>
        <w:pStyle w:val="166"/>
        <w:keepNext w:val="0"/>
        <w:spacing w:after="80"/>
      </w:pPr>
      <w:r>
        <w:t>The minimum evaluation linear predictor (−63.012) occurred in an IAC and was driven mainly by wavelet-HHH_glcm_ClusterShade at z = −197.873 (development range, −3.410 to 4.147). This extreme extrapolation contributed to the near-zero calibration slope.</w:t>
      </w:r>
    </w:p>
    <w:p w14:paraId="022863EC">
      <w:pPr>
        <w:pStyle w:val="168"/>
        <w:keepNext/>
        <w:keepLines/>
        <w:spacing w:before="160" w:after="60"/>
      </w:pPr>
      <w:r>
        <w:t>Table S5. CT acquisition distribution by diagnosis within each cohort (Panel A)</w:t>
      </w:r>
    </w:p>
    <w:tbl>
      <w:tblPr>
        <w:tblStyle w:val="33"/>
        <w:tblW w:w="0" w:type="auto"/>
        <w:jc w:val="center"/>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843"/>
        <w:gridCol w:w="1843"/>
        <w:gridCol w:w="1843"/>
        <w:gridCol w:w="1843"/>
        <w:gridCol w:w="1843"/>
      </w:tblGrid>
      <w:tr w14:paraId="7ACC446F">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tblHeader w:val="true"/>
          <w:jc w:val="center"/>
        </w:trPr>
        <w:tc>
          <w:tcPr>
            <w:tcW w:w="3024" w:type="dxa"/>
            <w:tcBorders>
              <w:top w:val="single" w:color="000000" w:sz="12" w:space="0"/>
              <w:left w:val="nil"/>
              <w:bottom w:val="single" w:color="000000" w:sz="6" w:space="0"/>
              <w:right w:val="nil"/>
            </w:tcBorders>
            <w:shd w:val="clear" w:color="auto" w:fill="D9EAF3"/>
            <w:vAlign w:val="center"/>
          </w:tcPr>
          <w:p w14:paraId="29A7FF9A">
            <w:pPr>
              <w:spacing w:before="0" w:after="0" w:line="240" w:lineRule="auto"/>
              <w:jc w:val="center"/>
            </w:pPr>
            <w:r>
              <w:rPr>
                <w:rFonts w:ascii="Arial" w:hAnsi="Arial"/>
                <w:b/>
                <w:sz w:val="15"/>
              </w:rPr>
              <w:t>Acquisition variable</w:t>
            </w:r>
          </w:p>
        </w:tc>
        <w:tc>
          <w:tcPr>
            <w:tcW w:w="1728" w:type="dxa"/>
            <w:tcBorders>
              <w:top w:val="single" w:color="000000" w:sz="12" w:space="0"/>
              <w:left w:val="nil"/>
              <w:bottom w:val="single" w:color="000000" w:sz="6" w:space="0"/>
              <w:right w:val="nil"/>
            </w:tcBorders>
            <w:shd w:val="clear" w:color="auto" w:fill="D9EAF3"/>
            <w:vAlign w:val="center"/>
          </w:tcPr>
          <w:p w14:paraId="6B4BAC5D">
            <w:pPr>
              <w:spacing w:before="0" w:after="0" w:line="240" w:lineRule="auto"/>
              <w:jc w:val="center"/>
            </w:pPr>
            <w:r>
              <w:rPr>
                <w:rFonts w:ascii="Arial" w:hAnsi="Arial"/>
                <w:b/>
                <w:sz w:val="15"/>
              </w:rPr>
              <w:t>Development eNCPH (n = 29)</w:t>
            </w:r>
          </w:p>
        </w:tc>
        <w:tc>
          <w:tcPr>
            <w:tcW w:w="1656" w:type="dxa"/>
            <w:tcBorders>
              <w:top w:val="single" w:color="000000" w:sz="12" w:space="0"/>
              <w:left w:val="nil"/>
              <w:bottom w:val="single" w:color="000000" w:sz="6" w:space="0"/>
              <w:right w:val="nil"/>
            </w:tcBorders>
            <w:shd w:val="clear" w:color="auto" w:fill="D9EAF3"/>
            <w:vAlign w:val="center"/>
          </w:tcPr>
          <w:p w14:paraId="1D6AE3D3">
            <w:pPr>
              <w:spacing w:before="0" w:after="0" w:line="240" w:lineRule="auto"/>
              <w:jc w:val="center"/>
            </w:pPr>
            <w:r>
              <w:rPr>
                <w:rFonts w:ascii="Arial" w:hAnsi="Arial"/>
                <w:b/>
                <w:sz w:val="15"/>
              </w:rPr>
              <w:t>Development IAC (n = 37)</w:t>
            </w:r>
          </w:p>
        </w:tc>
        <w:tc>
          <w:tcPr>
            <w:tcW w:w="1728" w:type="dxa"/>
            <w:tcBorders>
              <w:top w:val="single" w:color="000000" w:sz="12" w:space="0"/>
              <w:left w:val="nil"/>
              <w:bottom w:val="single" w:color="000000" w:sz="6" w:space="0"/>
              <w:right w:val="nil"/>
            </w:tcBorders>
            <w:shd w:val="clear" w:color="auto" w:fill="D9EAF3"/>
            <w:vAlign w:val="center"/>
          </w:tcPr>
          <w:p w14:paraId="5878C13E">
            <w:pPr>
              <w:spacing w:before="0" w:after="0" w:line="240" w:lineRule="auto"/>
              <w:jc w:val="center"/>
            </w:pPr>
            <w:r>
              <w:rPr>
                <w:rFonts w:ascii="Arial" w:hAnsi="Arial"/>
                <w:b/>
                <w:sz w:val="15"/>
              </w:rPr>
              <w:t>Evaluation eNCPH (n = 13)</w:t>
            </w:r>
          </w:p>
        </w:tc>
        <w:tc>
          <w:tcPr>
            <w:tcW w:w="1656" w:type="dxa"/>
            <w:tcBorders>
              <w:top w:val="single" w:color="000000" w:sz="12" w:space="0"/>
              <w:left w:val="nil"/>
              <w:bottom w:val="single" w:color="000000" w:sz="6" w:space="0"/>
              <w:right w:val="nil"/>
            </w:tcBorders>
            <w:shd w:val="clear" w:color="auto" w:fill="D9EAF3"/>
            <w:vAlign w:val="center"/>
          </w:tcPr>
          <w:p w14:paraId="6D87761B">
            <w:pPr>
              <w:spacing w:before="0" w:after="0" w:line="240" w:lineRule="auto"/>
              <w:jc w:val="center"/>
            </w:pPr>
            <w:r>
              <w:rPr>
                <w:rFonts w:ascii="Arial" w:hAnsi="Arial"/>
                <w:b/>
                <w:sz w:val="15"/>
              </w:rPr>
              <w:t>Evaluation IAC (n = 16)</w:t>
            </w:r>
          </w:p>
        </w:tc>
      </w:tr>
      <w:tr w14:paraId="3DBC9272">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3024" w:type="dxa"/>
            <w:tcBorders>
              <w:top w:val="nil"/>
              <w:left w:val="nil"/>
              <w:bottom w:val="nil"/>
              <w:right w:val="nil"/>
            </w:tcBorders>
            <w:vAlign w:val="center"/>
          </w:tcPr>
          <w:p w14:paraId="45E6E91E">
            <w:pPr>
              <w:spacing w:before="0" w:after="0" w:line="240" w:lineRule="auto"/>
            </w:pPr>
            <w:r>
              <w:rPr>
                <w:rFonts w:ascii="Arial" w:hAnsi="Arial"/>
                <w:b w:val="0"/>
                <w:sz w:val="15"/>
              </w:rPr>
              <w:t>Scanner: Aquilion ONE</w:t>
            </w:r>
          </w:p>
        </w:tc>
        <w:tc>
          <w:tcPr>
            <w:tcW w:w="1728" w:type="dxa"/>
            <w:tcBorders>
              <w:top w:val="nil"/>
              <w:left w:val="nil"/>
              <w:bottom w:val="nil"/>
              <w:right w:val="nil"/>
            </w:tcBorders>
            <w:vAlign w:val="center"/>
          </w:tcPr>
          <w:p w14:paraId="57FAE947">
            <w:pPr>
              <w:spacing w:before="0" w:after="0" w:line="240" w:lineRule="auto"/>
            </w:pPr>
            <w:r>
              <w:rPr>
                <w:rFonts w:ascii="Arial" w:hAnsi="Arial"/>
                <w:b w:val="0"/>
                <w:sz w:val="15"/>
              </w:rPr>
              <w:t>1 (3.4)</w:t>
            </w:r>
          </w:p>
        </w:tc>
        <w:tc>
          <w:tcPr>
            <w:tcW w:w="1656" w:type="dxa"/>
            <w:tcBorders>
              <w:top w:val="nil"/>
              <w:left w:val="nil"/>
              <w:bottom w:val="nil"/>
              <w:right w:val="nil"/>
            </w:tcBorders>
            <w:vAlign w:val="center"/>
          </w:tcPr>
          <w:p w14:paraId="7220C987">
            <w:pPr>
              <w:spacing w:before="0" w:after="0" w:line="240" w:lineRule="auto"/>
            </w:pPr>
            <w:r>
              <w:rPr>
                <w:rFonts w:ascii="Arial" w:hAnsi="Arial"/>
                <w:b w:val="0"/>
                <w:sz w:val="15"/>
              </w:rPr>
              <w:t>7 (18.9)</w:t>
            </w:r>
          </w:p>
        </w:tc>
        <w:tc>
          <w:tcPr>
            <w:tcW w:w="1728" w:type="dxa"/>
            <w:tcBorders>
              <w:top w:val="nil"/>
              <w:left w:val="nil"/>
              <w:bottom w:val="nil"/>
              <w:right w:val="nil"/>
            </w:tcBorders>
            <w:vAlign w:val="center"/>
          </w:tcPr>
          <w:p w14:paraId="0753AB77">
            <w:pPr>
              <w:spacing w:before="0" w:after="0" w:line="240" w:lineRule="auto"/>
            </w:pPr>
            <w:r>
              <w:rPr>
                <w:rFonts w:ascii="Arial" w:hAnsi="Arial"/>
                <w:b w:val="0"/>
                <w:sz w:val="15"/>
              </w:rPr>
              <w:t>4 (30.8)</w:t>
            </w:r>
          </w:p>
        </w:tc>
        <w:tc>
          <w:tcPr>
            <w:tcW w:w="1656" w:type="dxa"/>
            <w:tcBorders>
              <w:top w:val="nil"/>
              <w:left w:val="nil"/>
              <w:bottom w:val="nil"/>
              <w:right w:val="nil"/>
            </w:tcBorders>
            <w:vAlign w:val="center"/>
          </w:tcPr>
          <w:p w14:paraId="5199A35A">
            <w:pPr>
              <w:spacing w:before="0" w:after="0" w:line="240" w:lineRule="auto"/>
            </w:pPr>
            <w:r>
              <w:rPr>
                <w:rFonts w:ascii="Arial" w:hAnsi="Arial"/>
                <w:b w:val="0"/>
                <w:sz w:val="15"/>
              </w:rPr>
              <w:t>3 (18.8)</w:t>
            </w:r>
          </w:p>
        </w:tc>
      </w:tr>
      <w:tr w14:paraId="4A3725D9">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3024" w:type="dxa"/>
            <w:tcBorders>
              <w:top w:val="nil"/>
              <w:left w:val="nil"/>
              <w:bottom w:val="nil"/>
              <w:right w:val="nil"/>
            </w:tcBorders>
            <w:vAlign w:val="center"/>
          </w:tcPr>
          <w:p w14:paraId="14E79337">
            <w:pPr>
              <w:spacing w:before="0" w:after="0" w:line="240" w:lineRule="auto"/>
            </w:pPr>
            <w:r>
              <w:rPr>
                <w:rFonts w:ascii="Arial" w:hAnsi="Arial"/>
                <w:b w:val="0"/>
                <w:sz w:val="15"/>
              </w:rPr>
              <w:t>Scanner: IQon-Spectral CT</w:t>
            </w:r>
          </w:p>
        </w:tc>
        <w:tc>
          <w:tcPr>
            <w:tcW w:w="1728" w:type="dxa"/>
            <w:tcBorders>
              <w:top w:val="nil"/>
              <w:left w:val="nil"/>
              <w:bottom w:val="nil"/>
              <w:right w:val="nil"/>
            </w:tcBorders>
            <w:vAlign w:val="center"/>
          </w:tcPr>
          <w:p w14:paraId="7D29E441">
            <w:pPr>
              <w:spacing w:before="0" w:after="0" w:line="240" w:lineRule="auto"/>
            </w:pPr>
            <w:r>
              <w:rPr>
                <w:rFonts w:ascii="Arial" w:hAnsi="Arial"/>
                <w:b w:val="0"/>
                <w:sz w:val="15"/>
              </w:rPr>
              <w:t>2 (6.9)</w:t>
            </w:r>
          </w:p>
        </w:tc>
        <w:tc>
          <w:tcPr>
            <w:tcW w:w="1656" w:type="dxa"/>
            <w:tcBorders>
              <w:top w:val="nil"/>
              <w:left w:val="nil"/>
              <w:bottom w:val="nil"/>
              <w:right w:val="nil"/>
            </w:tcBorders>
            <w:vAlign w:val="center"/>
          </w:tcPr>
          <w:p w14:paraId="346D03B6">
            <w:pPr>
              <w:spacing w:before="0" w:after="0" w:line="240" w:lineRule="auto"/>
            </w:pPr>
            <w:r>
              <w:rPr>
                <w:rFonts w:ascii="Arial" w:hAnsi="Arial"/>
                <w:b w:val="0"/>
                <w:sz w:val="15"/>
              </w:rPr>
              <w:t>4 (10.8)</w:t>
            </w:r>
          </w:p>
        </w:tc>
        <w:tc>
          <w:tcPr>
            <w:tcW w:w="1728" w:type="dxa"/>
            <w:tcBorders>
              <w:top w:val="nil"/>
              <w:left w:val="nil"/>
              <w:bottom w:val="nil"/>
              <w:right w:val="nil"/>
            </w:tcBorders>
            <w:vAlign w:val="center"/>
          </w:tcPr>
          <w:p w14:paraId="56FF79C9">
            <w:pPr>
              <w:spacing w:before="0" w:after="0" w:line="240" w:lineRule="auto"/>
            </w:pPr>
            <w:r>
              <w:rPr>
                <w:rFonts w:ascii="Arial" w:hAnsi="Arial"/>
                <w:b w:val="0"/>
                <w:sz w:val="15"/>
              </w:rPr>
              <w:t>0 (0.0)</w:t>
            </w:r>
          </w:p>
        </w:tc>
        <w:tc>
          <w:tcPr>
            <w:tcW w:w="1656" w:type="dxa"/>
            <w:tcBorders>
              <w:top w:val="nil"/>
              <w:left w:val="nil"/>
              <w:bottom w:val="nil"/>
              <w:right w:val="nil"/>
            </w:tcBorders>
            <w:vAlign w:val="center"/>
          </w:tcPr>
          <w:p w14:paraId="2157045C">
            <w:pPr>
              <w:spacing w:before="0" w:after="0" w:line="240" w:lineRule="auto"/>
            </w:pPr>
            <w:r>
              <w:rPr>
                <w:rFonts w:ascii="Arial" w:hAnsi="Arial"/>
                <w:b w:val="0"/>
                <w:sz w:val="15"/>
              </w:rPr>
              <w:t>2 (12.5)</w:t>
            </w:r>
          </w:p>
        </w:tc>
      </w:tr>
      <w:tr w14:paraId="7441DAD1">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3024" w:type="dxa"/>
            <w:tcBorders>
              <w:top w:val="nil"/>
              <w:left w:val="nil"/>
              <w:bottom w:val="nil"/>
              <w:right w:val="nil"/>
            </w:tcBorders>
            <w:vAlign w:val="center"/>
          </w:tcPr>
          <w:p w14:paraId="3295322F">
            <w:pPr>
              <w:spacing w:before="0" w:after="0" w:line="240" w:lineRule="auto"/>
            </w:pPr>
            <w:r>
              <w:rPr>
                <w:rFonts w:ascii="Arial" w:hAnsi="Arial"/>
                <w:b w:val="0"/>
                <w:sz w:val="15"/>
              </w:rPr>
              <w:t>Scanner: Revolution CT</w:t>
            </w:r>
          </w:p>
        </w:tc>
        <w:tc>
          <w:tcPr>
            <w:tcW w:w="1728" w:type="dxa"/>
            <w:tcBorders>
              <w:top w:val="nil"/>
              <w:left w:val="nil"/>
              <w:bottom w:val="nil"/>
              <w:right w:val="nil"/>
            </w:tcBorders>
            <w:vAlign w:val="center"/>
          </w:tcPr>
          <w:p w14:paraId="4906A25C">
            <w:pPr>
              <w:spacing w:before="0" w:after="0" w:line="240" w:lineRule="auto"/>
            </w:pPr>
            <w:r>
              <w:rPr>
                <w:rFonts w:ascii="Arial" w:hAnsi="Arial"/>
                <w:b w:val="0"/>
                <w:sz w:val="15"/>
              </w:rPr>
              <w:t>21 (72.4)</w:t>
            </w:r>
          </w:p>
        </w:tc>
        <w:tc>
          <w:tcPr>
            <w:tcW w:w="1656" w:type="dxa"/>
            <w:tcBorders>
              <w:top w:val="nil"/>
              <w:left w:val="nil"/>
              <w:bottom w:val="nil"/>
              <w:right w:val="nil"/>
            </w:tcBorders>
            <w:vAlign w:val="center"/>
          </w:tcPr>
          <w:p w14:paraId="493886F5">
            <w:pPr>
              <w:spacing w:before="0" w:after="0" w:line="240" w:lineRule="auto"/>
            </w:pPr>
            <w:r>
              <w:rPr>
                <w:rFonts w:ascii="Arial" w:hAnsi="Arial"/>
                <w:b w:val="0"/>
                <w:sz w:val="15"/>
              </w:rPr>
              <w:t>13 (35.1)</w:t>
            </w:r>
          </w:p>
        </w:tc>
        <w:tc>
          <w:tcPr>
            <w:tcW w:w="1728" w:type="dxa"/>
            <w:tcBorders>
              <w:top w:val="nil"/>
              <w:left w:val="nil"/>
              <w:bottom w:val="nil"/>
              <w:right w:val="nil"/>
            </w:tcBorders>
            <w:vAlign w:val="center"/>
          </w:tcPr>
          <w:p w14:paraId="6FE42BEF">
            <w:pPr>
              <w:spacing w:before="0" w:after="0" w:line="240" w:lineRule="auto"/>
            </w:pPr>
            <w:r>
              <w:rPr>
                <w:rFonts w:ascii="Arial" w:hAnsi="Arial"/>
                <w:b w:val="0"/>
                <w:sz w:val="15"/>
              </w:rPr>
              <w:t>4 (30.8)</w:t>
            </w:r>
          </w:p>
        </w:tc>
        <w:tc>
          <w:tcPr>
            <w:tcW w:w="1656" w:type="dxa"/>
            <w:tcBorders>
              <w:top w:val="nil"/>
              <w:left w:val="nil"/>
              <w:bottom w:val="nil"/>
              <w:right w:val="nil"/>
            </w:tcBorders>
            <w:vAlign w:val="center"/>
          </w:tcPr>
          <w:p w14:paraId="5D528373">
            <w:pPr>
              <w:spacing w:before="0" w:after="0" w:line="240" w:lineRule="auto"/>
            </w:pPr>
            <w:r>
              <w:rPr>
                <w:rFonts w:ascii="Arial" w:hAnsi="Arial"/>
                <w:b w:val="0"/>
                <w:sz w:val="15"/>
              </w:rPr>
              <w:t>7 (43.8)</w:t>
            </w:r>
          </w:p>
        </w:tc>
      </w:tr>
      <w:tr w14:paraId="6E510B91">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3024" w:type="dxa"/>
            <w:tcBorders>
              <w:top w:val="nil"/>
              <w:left w:val="nil"/>
              <w:bottom w:val="nil"/>
              <w:right w:val="nil"/>
            </w:tcBorders>
            <w:vAlign w:val="center"/>
          </w:tcPr>
          <w:p w14:paraId="683BB1B1">
            <w:pPr>
              <w:spacing w:before="0" w:after="0" w:line="240" w:lineRule="auto"/>
            </w:pPr>
            <w:r>
              <w:rPr>
                <w:rFonts w:ascii="Arial" w:hAnsi="Arial"/>
                <w:b w:val="0"/>
                <w:sz w:val="15"/>
              </w:rPr>
              <w:t>Scanner: SOMATOM Definition AS+</w:t>
            </w:r>
          </w:p>
        </w:tc>
        <w:tc>
          <w:tcPr>
            <w:tcW w:w="1728" w:type="dxa"/>
            <w:tcBorders>
              <w:top w:val="nil"/>
              <w:left w:val="nil"/>
              <w:bottom w:val="nil"/>
              <w:right w:val="nil"/>
            </w:tcBorders>
            <w:vAlign w:val="center"/>
          </w:tcPr>
          <w:p w14:paraId="034F7398">
            <w:pPr>
              <w:spacing w:before="0" w:after="0" w:line="240" w:lineRule="auto"/>
            </w:pPr>
            <w:r>
              <w:rPr>
                <w:rFonts w:ascii="Arial" w:hAnsi="Arial"/>
                <w:b w:val="0"/>
                <w:sz w:val="15"/>
              </w:rPr>
              <w:t>0 (0.0)</w:t>
            </w:r>
          </w:p>
        </w:tc>
        <w:tc>
          <w:tcPr>
            <w:tcW w:w="1656" w:type="dxa"/>
            <w:tcBorders>
              <w:top w:val="nil"/>
              <w:left w:val="nil"/>
              <w:bottom w:val="nil"/>
              <w:right w:val="nil"/>
            </w:tcBorders>
            <w:vAlign w:val="center"/>
          </w:tcPr>
          <w:p w14:paraId="4019F525">
            <w:pPr>
              <w:spacing w:before="0" w:after="0" w:line="240" w:lineRule="auto"/>
            </w:pPr>
            <w:r>
              <w:rPr>
                <w:rFonts w:ascii="Arial" w:hAnsi="Arial"/>
                <w:b w:val="0"/>
                <w:sz w:val="15"/>
              </w:rPr>
              <w:t>1 (2.7)</w:t>
            </w:r>
          </w:p>
        </w:tc>
        <w:tc>
          <w:tcPr>
            <w:tcW w:w="1728" w:type="dxa"/>
            <w:tcBorders>
              <w:top w:val="nil"/>
              <w:left w:val="nil"/>
              <w:bottom w:val="nil"/>
              <w:right w:val="nil"/>
            </w:tcBorders>
            <w:vAlign w:val="center"/>
          </w:tcPr>
          <w:p w14:paraId="34AC3C1B">
            <w:pPr>
              <w:spacing w:before="0" w:after="0" w:line="240" w:lineRule="auto"/>
            </w:pPr>
            <w:r>
              <w:rPr>
                <w:rFonts w:ascii="Arial" w:hAnsi="Arial"/>
                <w:b w:val="0"/>
                <w:sz w:val="15"/>
              </w:rPr>
              <w:t>0 (0.0)</w:t>
            </w:r>
          </w:p>
        </w:tc>
        <w:tc>
          <w:tcPr>
            <w:tcW w:w="1656" w:type="dxa"/>
            <w:tcBorders>
              <w:top w:val="nil"/>
              <w:left w:val="nil"/>
              <w:bottom w:val="nil"/>
              <w:right w:val="nil"/>
            </w:tcBorders>
            <w:vAlign w:val="center"/>
          </w:tcPr>
          <w:p w14:paraId="45AA1BB5">
            <w:pPr>
              <w:spacing w:before="0" w:after="0" w:line="240" w:lineRule="auto"/>
            </w:pPr>
            <w:r>
              <w:rPr>
                <w:rFonts w:ascii="Arial" w:hAnsi="Arial"/>
                <w:b w:val="0"/>
                <w:sz w:val="15"/>
              </w:rPr>
              <w:t>1 (6.2)</w:t>
            </w:r>
          </w:p>
        </w:tc>
      </w:tr>
      <w:tr w14:paraId="542BB8B9">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3024" w:type="dxa"/>
            <w:tcBorders>
              <w:top w:val="nil"/>
              <w:left w:val="nil"/>
              <w:bottom w:val="nil"/>
              <w:right w:val="nil"/>
            </w:tcBorders>
            <w:vAlign w:val="center"/>
          </w:tcPr>
          <w:p w14:paraId="4C9E38C9">
            <w:pPr>
              <w:spacing w:before="0" w:after="0" w:line="240" w:lineRule="auto"/>
            </w:pPr>
            <w:r>
              <w:rPr>
                <w:rFonts w:ascii="Arial" w:hAnsi="Arial"/>
                <w:b w:val="0"/>
                <w:sz w:val="15"/>
              </w:rPr>
              <w:t>Scanner: SOMATOM Definition Flash</w:t>
            </w:r>
          </w:p>
        </w:tc>
        <w:tc>
          <w:tcPr>
            <w:tcW w:w="1728" w:type="dxa"/>
            <w:tcBorders>
              <w:top w:val="nil"/>
              <w:left w:val="nil"/>
              <w:bottom w:val="nil"/>
              <w:right w:val="nil"/>
            </w:tcBorders>
            <w:vAlign w:val="center"/>
          </w:tcPr>
          <w:p w14:paraId="444D48CC">
            <w:pPr>
              <w:spacing w:before="0" w:after="0" w:line="240" w:lineRule="auto"/>
            </w:pPr>
            <w:r>
              <w:rPr>
                <w:rFonts w:ascii="Arial" w:hAnsi="Arial"/>
                <w:b w:val="0"/>
                <w:sz w:val="15"/>
              </w:rPr>
              <w:t>0 (0.0)</w:t>
            </w:r>
          </w:p>
        </w:tc>
        <w:tc>
          <w:tcPr>
            <w:tcW w:w="1656" w:type="dxa"/>
            <w:tcBorders>
              <w:top w:val="nil"/>
              <w:left w:val="nil"/>
              <w:bottom w:val="nil"/>
              <w:right w:val="nil"/>
            </w:tcBorders>
            <w:vAlign w:val="center"/>
          </w:tcPr>
          <w:p w14:paraId="16072DB1">
            <w:pPr>
              <w:spacing w:before="0" w:after="0" w:line="240" w:lineRule="auto"/>
            </w:pPr>
            <w:r>
              <w:rPr>
                <w:rFonts w:ascii="Arial" w:hAnsi="Arial"/>
                <w:b w:val="0"/>
                <w:sz w:val="15"/>
              </w:rPr>
              <w:t>2 (5.4)</w:t>
            </w:r>
          </w:p>
        </w:tc>
        <w:tc>
          <w:tcPr>
            <w:tcW w:w="1728" w:type="dxa"/>
            <w:tcBorders>
              <w:top w:val="nil"/>
              <w:left w:val="nil"/>
              <w:bottom w:val="nil"/>
              <w:right w:val="nil"/>
            </w:tcBorders>
            <w:vAlign w:val="center"/>
          </w:tcPr>
          <w:p w14:paraId="3099F372">
            <w:pPr>
              <w:spacing w:before="0" w:after="0" w:line="240" w:lineRule="auto"/>
            </w:pPr>
            <w:r>
              <w:rPr>
                <w:rFonts w:ascii="Arial" w:hAnsi="Arial"/>
                <w:b w:val="0"/>
                <w:sz w:val="15"/>
              </w:rPr>
              <w:t>1 (7.7)</w:t>
            </w:r>
          </w:p>
        </w:tc>
        <w:tc>
          <w:tcPr>
            <w:tcW w:w="1656" w:type="dxa"/>
            <w:tcBorders>
              <w:top w:val="nil"/>
              <w:left w:val="nil"/>
              <w:bottom w:val="nil"/>
              <w:right w:val="nil"/>
            </w:tcBorders>
            <w:vAlign w:val="center"/>
          </w:tcPr>
          <w:p w14:paraId="1EC9E036">
            <w:pPr>
              <w:spacing w:before="0" w:after="0" w:line="240" w:lineRule="auto"/>
            </w:pPr>
            <w:r>
              <w:rPr>
                <w:rFonts w:ascii="Arial" w:hAnsi="Arial"/>
                <w:b w:val="0"/>
                <w:sz w:val="15"/>
              </w:rPr>
              <w:t>0 (0.0)</w:t>
            </w:r>
          </w:p>
        </w:tc>
      </w:tr>
      <w:tr w14:paraId="32FD6754">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3024" w:type="dxa"/>
            <w:tcBorders>
              <w:top w:val="nil"/>
              <w:left w:val="nil"/>
              <w:bottom w:val="nil"/>
              <w:right w:val="nil"/>
            </w:tcBorders>
            <w:vAlign w:val="center"/>
          </w:tcPr>
          <w:p w14:paraId="41520729">
            <w:pPr>
              <w:spacing w:before="0" w:after="0" w:line="240" w:lineRule="auto"/>
            </w:pPr>
            <w:r>
              <w:rPr>
                <w:rFonts w:ascii="Arial" w:hAnsi="Arial"/>
                <w:b w:val="0"/>
                <w:sz w:val="15"/>
              </w:rPr>
              <w:t>Scanner: uCT 760</w:t>
            </w:r>
          </w:p>
        </w:tc>
        <w:tc>
          <w:tcPr>
            <w:tcW w:w="1728" w:type="dxa"/>
            <w:tcBorders>
              <w:top w:val="nil"/>
              <w:left w:val="nil"/>
              <w:bottom w:val="nil"/>
              <w:right w:val="nil"/>
            </w:tcBorders>
            <w:vAlign w:val="center"/>
          </w:tcPr>
          <w:p w14:paraId="627723C0">
            <w:pPr>
              <w:spacing w:before="0" w:after="0" w:line="240" w:lineRule="auto"/>
            </w:pPr>
            <w:r>
              <w:rPr>
                <w:rFonts w:ascii="Arial" w:hAnsi="Arial"/>
                <w:b w:val="0"/>
                <w:sz w:val="15"/>
              </w:rPr>
              <w:t>5 (17.2)</w:t>
            </w:r>
          </w:p>
        </w:tc>
        <w:tc>
          <w:tcPr>
            <w:tcW w:w="1656" w:type="dxa"/>
            <w:tcBorders>
              <w:top w:val="nil"/>
              <w:left w:val="nil"/>
              <w:bottom w:val="nil"/>
              <w:right w:val="nil"/>
            </w:tcBorders>
            <w:vAlign w:val="center"/>
          </w:tcPr>
          <w:p w14:paraId="38E71048">
            <w:pPr>
              <w:spacing w:before="0" w:after="0" w:line="240" w:lineRule="auto"/>
            </w:pPr>
            <w:r>
              <w:rPr>
                <w:rFonts w:ascii="Arial" w:hAnsi="Arial"/>
                <w:b w:val="0"/>
                <w:sz w:val="15"/>
              </w:rPr>
              <w:t>8 (21.6)</w:t>
            </w:r>
          </w:p>
        </w:tc>
        <w:tc>
          <w:tcPr>
            <w:tcW w:w="1728" w:type="dxa"/>
            <w:tcBorders>
              <w:top w:val="nil"/>
              <w:left w:val="nil"/>
              <w:bottom w:val="nil"/>
              <w:right w:val="nil"/>
            </w:tcBorders>
            <w:vAlign w:val="center"/>
          </w:tcPr>
          <w:p w14:paraId="05C5AEC5">
            <w:pPr>
              <w:spacing w:before="0" w:after="0" w:line="240" w:lineRule="auto"/>
            </w:pPr>
            <w:r>
              <w:rPr>
                <w:rFonts w:ascii="Arial" w:hAnsi="Arial"/>
                <w:b w:val="0"/>
                <w:sz w:val="15"/>
              </w:rPr>
              <w:t>4 (30.8)</w:t>
            </w:r>
          </w:p>
        </w:tc>
        <w:tc>
          <w:tcPr>
            <w:tcW w:w="1656" w:type="dxa"/>
            <w:tcBorders>
              <w:top w:val="nil"/>
              <w:left w:val="nil"/>
              <w:bottom w:val="nil"/>
              <w:right w:val="nil"/>
            </w:tcBorders>
            <w:vAlign w:val="center"/>
          </w:tcPr>
          <w:p w14:paraId="3E976284">
            <w:pPr>
              <w:spacing w:before="0" w:after="0" w:line="240" w:lineRule="auto"/>
            </w:pPr>
            <w:r>
              <w:rPr>
                <w:rFonts w:ascii="Arial" w:hAnsi="Arial"/>
                <w:b w:val="0"/>
                <w:sz w:val="15"/>
              </w:rPr>
              <w:t>3 (18.8)</w:t>
            </w:r>
          </w:p>
        </w:tc>
      </w:tr>
      <w:tr w14:paraId="7F496C39">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3024" w:type="dxa"/>
            <w:tcBorders>
              <w:top w:val="nil"/>
              <w:left w:val="nil"/>
              <w:bottom w:val="nil"/>
              <w:right w:val="nil"/>
            </w:tcBorders>
            <w:vAlign w:val="center"/>
          </w:tcPr>
          <w:p w14:paraId="536397DB">
            <w:pPr>
              <w:spacing w:before="0" w:after="0" w:line="240" w:lineRule="auto"/>
            </w:pPr>
            <w:r>
              <w:rPr>
                <w:rFonts w:ascii="Arial" w:hAnsi="Arial"/>
                <w:b w:val="0"/>
                <w:sz w:val="15"/>
              </w:rPr>
              <w:t>Scanner: uCT 780</w:t>
            </w:r>
          </w:p>
        </w:tc>
        <w:tc>
          <w:tcPr>
            <w:tcW w:w="1728" w:type="dxa"/>
            <w:tcBorders>
              <w:top w:val="nil"/>
              <w:left w:val="nil"/>
              <w:bottom w:val="nil"/>
              <w:right w:val="nil"/>
            </w:tcBorders>
            <w:vAlign w:val="center"/>
          </w:tcPr>
          <w:p w14:paraId="7E961963">
            <w:pPr>
              <w:spacing w:before="0" w:after="0" w:line="240" w:lineRule="auto"/>
            </w:pPr>
            <w:r>
              <w:rPr>
                <w:rFonts w:ascii="Arial" w:hAnsi="Arial"/>
                <w:b w:val="0"/>
                <w:sz w:val="15"/>
              </w:rPr>
              <w:t>0 (0.0)</w:t>
            </w:r>
          </w:p>
        </w:tc>
        <w:tc>
          <w:tcPr>
            <w:tcW w:w="1656" w:type="dxa"/>
            <w:tcBorders>
              <w:top w:val="nil"/>
              <w:left w:val="nil"/>
              <w:bottom w:val="nil"/>
              <w:right w:val="nil"/>
            </w:tcBorders>
            <w:vAlign w:val="center"/>
          </w:tcPr>
          <w:p w14:paraId="555FE2D4">
            <w:pPr>
              <w:spacing w:before="0" w:after="0" w:line="240" w:lineRule="auto"/>
            </w:pPr>
            <w:r>
              <w:rPr>
                <w:rFonts w:ascii="Arial" w:hAnsi="Arial"/>
                <w:b w:val="0"/>
                <w:sz w:val="15"/>
              </w:rPr>
              <w:t>2 (5.4)</w:t>
            </w:r>
          </w:p>
        </w:tc>
        <w:tc>
          <w:tcPr>
            <w:tcW w:w="1728" w:type="dxa"/>
            <w:tcBorders>
              <w:top w:val="nil"/>
              <w:left w:val="nil"/>
              <w:bottom w:val="nil"/>
              <w:right w:val="nil"/>
            </w:tcBorders>
            <w:vAlign w:val="center"/>
          </w:tcPr>
          <w:p w14:paraId="62EEB0AC">
            <w:pPr>
              <w:spacing w:before="0" w:after="0" w:line="240" w:lineRule="auto"/>
            </w:pPr>
            <w:r>
              <w:rPr>
                <w:rFonts w:ascii="Arial" w:hAnsi="Arial"/>
                <w:b w:val="0"/>
                <w:sz w:val="15"/>
              </w:rPr>
              <w:t>0 (0.0)</w:t>
            </w:r>
          </w:p>
        </w:tc>
        <w:tc>
          <w:tcPr>
            <w:tcW w:w="1656" w:type="dxa"/>
            <w:tcBorders>
              <w:top w:val="nil"/>
              <w:left w:val="nil"/>
              <w:bottom w:val="nil"/>
              <w:right w:val="nil"/>
            </w:tcBorders>
            <w:vAlign w:val="center"/>
          </w:tcPr>
          <w:p w14:paraId="4EFCA0E0">
            <w:pPr>
              <w:spacing w:before="0" w:after="0" w:line="240" w:lineRule="auto"/>
            </w:pPr>
            <w:r>
              <w:rPr>
                <w:rFonts w:ascii="Arial" w:hAnsi="Arial"/>
                <w:b w:val="0"/>
                <w:sz w:val="15"/>
              </w:rPr>
              <w:t>0 (0.0)</w:t>
            </w:r>
          </w:p>
        </w:tc>
      </w:tr>
      <w:tr w14:paraId="6FD46AC3">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3024" w:type="dxa"/>
            <w:tcBorders>
              <w:top w:val="nil"/>
              <w:left w:val="nil"/>
              <w:bottom w:val="nil"/>
              <w:right w:val="nil"/>
            </w:tcBorders>
            <w:vAlign w:val="center"/>
          </w:tcPr>
          <w:p w14:paraId="22A34506">
            <w:pPr>
              <w:spacing w:before="0" w:after="0" w:line="240" w:lineRule="auto"/>
            </w:pPr>
            <w:r>
              <w:rPr>
                <w:rFonts w:ascii="Arial" w:hAnsi="Arial"/>
                <w:b w:val="0"/>
                <w:sz w:val="15"/>
              </w:rPr>
              <w:t>Section thickness: 0.8 mm</w:t>
            </w:r>
          </w:p>
        </w:tc>
        <w:tc>
          <w:tcPr>
            <w:tcW w:w="1728" w:type="dxa"/>
            <w:tcBorders>
              <w:top w:val="nil"/>
              <w:left w:val="nil"/>
              <w:bottom w:val="nil"/>
              <w:right w:val="nil"/>
            </w:tcBorders>
            <w:vAlign w:val="center"/>
          </w:tcPr>
          <w:p w14:paraId="4C90F180">
            <w:pPr>
              <w:spacing w:before="0" w:after="0" w:line="240" w:lineRule="auto"/>
            </w:pPr>
            <w:r>
              <w:rPr>
                <w:rFonts w:ascii="Arial" w:hAnsi="Arial"/>
                <w:b w:val="0"/>
                <w:sz w:val="15"/>
              </w:rPr>
              <w:t>1 (3.4)</w:t>
            </w:r>
          </w:p>
        </w:tc>
        <w:tc>
          <w:tcPr>
            <w:tcW w:w="1656" w:type="dxa"/>
            <w:tcBorders>
              <w:top w:val="nil"/>
              <w:left w:val="nil"/>
              <w:bottom w:val="nil"/>
              <w:right w:val="nil"/>
            </w:tcBorders>
            <w:vAlign w:val="center"/>
          </w:tcPr>
          <w:p w14:paraId="27C11930">
            <w:pPr>
              <w:spacing w:before="0" w:after="0" w:line="240" w:lineRule="auto"/>
            </w:pPr>
            <w:r>
              <w:rPr>
                <w:rFonts w:ascii="Arial" w:hAnsi="Arial"/>
                <w:b w:val="0"/>
                <w:sz w:val="15"/>
              </w:rPr>
              <w:t>5 (13.5)</w:t>
            </w:r>
          </w:p>
        </w:tc>
        <w:tc>
          <w:tcPr>
            <w:tcW w:w="1728" w:type="dxa"/>
            <w:tcBorders>
              <w:top w:val="nil"/>
              <w:left w:val="nil"/>
              <w:bottom w:val="nil"/>
              <w:right w:val="nil"/>
            </w:tcBorders>
            <w:vAlign w:val="center"/>
          </w:tcPr>
          <w:p w14:paraId="74D66602">
            <w:pPr>
              <w:spacing w:before="0" w:after="0" w:line="240" w:lineRule="auto"/>
            </w:pPr>
            <w:r>
              <w:rPr>
                <w:rFonts w:ascii="Arial" w:hAnsi="Arial"/>
                <w:b w:val="0"/>
                <w:sz w:val="15"/>
              </w:rPr>
              <w:t>4 (30.8)</w:t>
            </w:r>
          </w:p>
        </w:tc>
        <w:tc>
          <w:tcPr>
            <w:tcW w:w="1656" w:type="dxa"/>
            <w:tcBorders>
              <w:top w:val="nil"/>
              <w:left w:val="nil"/>
              <w:bottom w:val="nil"/>
              <w:right w:val="nil"/>
            </w:tcBorders>
            <w:vAlign w:val="center"/>
          </w:tcPr>
          <w:p w14:paraId="5B49FF95">
            <w:pPr>
              <w:spacing w:before="0" w:after="0" w:line="240" w:lineRule="auto"/>
            </w:pPr>
            <w:r>
              <w:rPr>
                <w:rFonts w:ascii="Arial" w:hAnsi="Arial"/>
                <w:b w:val="0"/>
                <w:sz w:val="15"/>
              </w:rPr>
              <w:t>3 (18.8)</w:t>
            </w:r>
          </w:p>
        </w:tc>
      </w:tr>
      <w:tr w14:paraId="2DA78029">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3024" w:type="dxa"/>
            <w:tcBorders>
              <w:top w:val="nil"/>
              <w:left w:val="nil"/>
              <w:bottom w:val="nil"/>
              <w:right w:val="nil"/>
            </w:tcBorders>
            <w:vAlign w:val="center"/>
          </w:tcPr>
          <w:p w14:paraId="1BAF3FAD">
            <w:pPr>
              <w:spacing w:before="0" w:after="0" w:line="240" w:lineRule="auto"/>
            </w:pPr>
            <w:r>
              <w:rPr>
                <w:rFonts w:ascii="Arial" w:hAnsi="Arial"/>
                <w:b w:val="0"/>
                <w:sz w:val="15"/>
              </w:rPr>
              <w:t>Section thickness: 1.0 mm</w:t>
            </w:r>
          </w:p>
        </w:tc>
        <w:tc>
          <w:tcPr>
            <w:tcW w:w="1728" w:type="dxa"/>
            <w:tcBorders>
              <w:top w:val="nil"/>
              <w:left w:val="nil"/>
              <w:bottom w:val="nil"/>
              <w:right w:val="nil"/>
            </w:tcBorders>
            <w:vAlign w:val="center"/>
          </w:tcPr>
          <w:p w14:paraId="35EAC170">
            <w:pPr>
              <w:spacing w:before="0" w:after="0" w:line="240" w:lineRule="auto"/>
            </w:pPr>
            <w:r>
              <w:rPr>
                <w:rFonts w:ascii="Arial" w:hAnsi="Arial"/>
                <w:b w:val="0"/>
                <w:sz w:val="15"/>
              </w:rPr>
              <w:t>7 (24.1)</w:t>
            </w:r>
          </w:p>
        </w:tc>
        <w:tc>
          <w:tcPr>
            <w:tcW w:w="1656" w:type="dxa"/>
            <w:tcBorders>
              <w:top w:val="nil"/>
              <w:left w:val="nil"/>
              <w:bottom w:val="nil"/>
              <w:right w:val="nil"/>
            </w:tcBorders>
            <w:vAlign w:val="center"/>
          </w:tcPr>
          <w:p w14:paraId="70E9EC64">
            <w:pPr>
              <w:spacing w:before="0" w:after="0" w:line="240" w:lineRule="auto"/>
            </w:pPr>
            <w:r>
              <w:rPr>
                <w:rFonts w:ascii="Arial" w:hAnsi="Arial"/>
                <w:b w:val="0"/>
                <w:sz w:val="15"/>
              </w:rPr>
              <w:t>19 (51.4)</w:t>
            </w:r>
          </w:p>
        </w:tc>
        <w:tc>
          <w:tcPr>
            <w:tcW w:w="1728" w:type="dxa"/>
            <w:tcBorders>
              <w:top w:val="nil"/>
              <w:left w:val="nil"/>
              <w:bottom w:val="nil"/>
              <w:right w:val="nil"/>
            </w:tcBorders>
            <w:vAlign w:val="center"/>
          </w:tcPr>
          <w:p w14:paraId="405CF086">
            <w:pPr>
              <w:spacing w:before="0" w:after="0" w:line="240" w:lineRule="auto"/>
            </w:pPr>
            <w:r>
              <w:rPr>
                <w:rFonts w:ascii="Arial" w:hAnsi="Arial"/>
                <w:b w:val="0"/>
                <w:sz w:val="15"/>
              </w:rPr>
              <w:t>5 (38.5)</w:t>
            </w:r>
          </w:p>
        </w:tc>
        <w:tc>
          <w:tcPr>
            <w:tcW w:w="1656" w:type="dxa"/>
            <w:tcBorders>
              <w:top w:val="nil"/>
              <w:left w:val="nil"/>
              <w:bottom w:val="nil"/>
              <w:right w:val="nil"/>
            </w:tcBorders>
            <w:vAlign w:val="center"/>
          </w:tcPr>
          <w:p w14:paraId="20D982E3">
            <w:pPr>
              <w:spacing w:before="0" w:after="0" w:line="240" w:lineRule="auto"/>
            </w:pPr>
            <w:r>
              <w:rPr>
                <w:rFonts w:ascii="Arial" w:hAnsi="Arial"/>
                <w:b w:val="0"/>
                <w:sz w:val="15"/>
              </w:rPr>
              <w:t>6 (37.5)</w:t>
            </w:r>
          </w:p>
        </w:tc>
      </w:tr>
      <w:tr w14:paraId="5D0E399B">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3024" w:type="dxa"/>
            <w:tcBorders>
              <w:top w:val="nil"/>
              <w:left w:val="nil"/>
              <w:bottom w:val="nil"/>
              <w:right w:val="nil"/>
            </w:tcBorders>
            <w:vAlign w:val="center"/>
          </w:tcPr>
          <w:p w14:paraId="37FA44F0">
            <w:pPr>
              <w:spacing w:before="0" w:after="0" w:line="240" w:lineRule="auto"/>
            </w:pPr>
            <w:r>
              <w:rPr>
                <w:rFonts w:ascii="Arial" w:hAnsi="Arial"/>
                <w:b w:val="0"/>
                <w:sz w:val="15"/>
              </w:rPr>
              <w:t>Section thickness: 1.25 mm</w:t>
            </w:r>
          </w:p>
        </w:tc>
        <w:tc>
          <w:tcPr>
            <w:tcW w:w="1728" w:type="dxa"/>
            <w:tcBorders>
              <w:top w:val="nil"/>
              <w:left w:val="nil"/>
              <w:bottom w:val="nil"/>
              <w:right w:val="nil"/>
            </w:tcBorders>
            <w:vAlign w:val="center"/>
          </w:tcPr>
          <w:p w14:paraId="3FE89857">
            <w:pPr>
              <w:spacing w:before="0" w:after="0" w:line="240" w:lineRule="auto"/>
            </w:pPr>
            <w:r>
              <w:rPr>
                <w:rFonts w:ascii="Arial" w:hAnsi="Arial"/>
                <w:b w:val="0"/>
                <w:sz w:val="15"/>
              </w:rPr>
              <w:t>21 (72.4)</w:t>
            </w:r>
          </w:p>
        </w:tc>
        <w:tc>
          <w:tcPr>
            <w:tcW w:w="1656" w:type="dxa"/>
            <w:tcBorders>
              <w:top w:val="nil"/>
              <w:left w:val="nil"/>
              <w:bottom w:val="nil"/>
              <w:right w:val="nil"/>
            </w:tcBorders>
            <w:vAlign w:val="center"/>
          </w:tcPr>
          <w:p w14:paraId="21FBBFC9">
            <w:pPr>
              <w:spacing w:before="0" w:after="0" w:line="240" w:lineRule="auto"/>
            </w:pPr>
            <w:r>
              <w:rPr>
                <w:rFonts w:ascii="Arial" w:hAnsi="Arial"/>
                <w:b w:val="0"/>
                <w:sz w:val="15"/>
              </w:rPr>
              <w:t>13 (35.1)</w:t>
            </w:r>
          </w:p>
        </w:tc>
        <w:tc>
          <w:tcPr>
            <w:tcW w:w="1728" w:type="dxa"/>
            <w:tcBorders>
              <w:top w:val="nil"/>
              <w:left w:val="nil"/>
              <w:bottom w:val="nil"/>
              <w:right w:val="nil"/>
            </w:tcBorders>
            <w:vAlign w:val="center"/>
          </w:tcPr>
          <w:p w14:paraId="0033025C">
            <w:pPr>
              <w:spacing w:before="0" w:after="0" w:line="240" w:lineRule="auto"/>
            </w:pPr>
            <w:r>
              <w:rPr>
                <w:rFonts w:ascii="Arial" w:hAnsi="Arial"/>
                <w:b w:val="0"/>
                <w:sz w:val="15"/>
              </w:rPr>
              <w:t>4 (30.8)</w:t>
            </w:r>
          </w:p>
        </w:tc>
        <w:tc>
          <w:tcPr>
            <w:tcW w:w="1656" w:type="dxa"/>
            <w:tcBorders>
              <w:top w:val="nil"/>
              <w:left w:val="nil"/>
              <w:bottom w:val="nil"/>
              <w:right w:val="nil"/>
            </w:tcBorders>
            <w:vAlign w:val="center"/>
          </w:tcPr>
          <w:p w14:paraId="240CDBDA">
            <w:pPr>
              <w:spacing w:before="0" w:after="0" w:line="240" w:lineRule="auto"/>
            </w:pPr>
            <w:r>
              <w:rPr>
                <w:rFonts w:ascii="Arial" w:hAnsi="Arial"/>
                <w:b w:val="0"/>
                <w:sz w:val="15"/>
              </w:rPr>
              <w:t>7 (43.8)</w:t>
            </w:r>
          </w:p>
        </w:tc>
      </w:tr>
      <w:tr w14:paraId="49D85B36">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3024" w:type="dxa"/>
            <w:tcBorders>
              <w:top w:val="nil"/>
              <w:left w:val="nil"/>
              <w:bottom w:val="nil"/>
              <w:right w:val="nil"/>
            </w:tcBorders>
            <w:vAlign w:val="center"/>
          </w:tcPr>
          <w:p w14:paraId="39DFAFBA">
            <w:pPr>
              <w:spacing w:before="0" w:after="0" w:line="240" w:lineRule="auto"/>
            </w:pPr>
            <w:r>
              <w:rPr>
                <w:rFonts w:ascii="Arial" w:hAnsi="Arial"/>
                <w:b w:val="0"/>
                <w:sz w:val="15"/>
              </w:rPr>
              <w:t>Tube voltage: 100 kVp</w:t>
            </w:r>
          </w:p>
        </w:tc>
        <w:tc>
          <w:tcPr>
            <w:tcW w:w="1728" w:type="dxa"/>
            <w:tcBorders>
              <w:top w:val="nil"/>
              <w:left w:val="nil"/>
              <w:bottom w:val="nil"/>
              <w:right w:val="nil"/>
            </w:tcBorders>
            <w:vAlign w:val="center"/>
          </w:tcPr>
          <w:p w14:paraId="4B5ABBF1">
            <w:pPr>
              <w:spacing w:before="0" w:after="0" w:line="240" w:lineRule="auto"/>
            </w:pPr>
            <w:r>
              <w:rPr>
                <w:rFonts w:ascii="Arial" w:hAnsi="Arial"/>
                <w:b w:val="0"/>
                <w:sz w:val="15"/>
              </w:rPr>
              <w:t>0 (0.0)</w:t>
            </w:r>
          </w:p>
        </w:tc>
        <w:tc>
          <w:tcPr>
            <w:tcW w:w="1656" w:type="dxa"/>
            <w:tcBorders>
              <w:top w:val="nil"/>
              <w:left w:val="nil"/>
              <w:bottom w:val="nil"/>
              <w:right w:val="nil"/>
            </w:tcBorders>
            <w:vAlign w:val="center"/>
          </w:tcPr>
          <w:p w14:paraId="0F2903F3">
            <w:pPr>
              <w:spacing w:before="0" w:after="0" w:line="240" w:lineRule="auto"/>
            </w:pPr>
            <w:r>
              <w:rPr>
                <w:rFonts w:ascii="Arial" w:hAnsi="Arial"/>
                <w:b w:val="0"/>
                <w:sz w:val="15"/>
              </w:rPr>
              <w:t>6 (16.2)</w:t>
            </w:r>
          </w:p>
        </w:tc>
        <w:tc>
          <w:tcPr>
            <w:tcW w:w="1728" w:type="dxa"/>
            <w:tcBorders>
              <w:top w:val="nil"/>
              <w:left w:val="nil"/>
              <w:bottom w:val="nil"/>
              <w:right w:val="nil"/>
            </w:tcBorders>
            <w:vAlign w:val="center"/>
          </w:tcPr>
          <w:p w14:paraId="39CFEC5E">
            <w:pPr>
              <w:spacing w:before="0" w:after="0" w:line="240" w:lineRule="auto"/>
            </w:pPr>
            <w:r>
              <w:rPr>
                <w:rFonts w:ascii="Arial" w:hAnsi="Arial"/>
                <w:b w:val="0"/>
                <w:sz w:val="15"/>
              </w:rPr>
              <w:t>3 (23.1)</w:t>
            </w:r>
          </w:p>
        </w:tc>
        <w:tc>
          <w:tcPr>
            <w:tcW w:w="1656" w:type="dxa"/>
            <w:tcBorders>
              <w:top w:val="nil"/>
              <w:left w:val="nil"/>
              <w:bottom w:val="nil"/>
              <w:right w:val="nil"/>
            </w:tcBorders>
            <w:vAlign w:val="center"/>
          </w:tcPr>
          <w:p w14:paraId="2FDE471B">
            <w:pPr>
              <w:spacing w:before="0" w:after="0" w:line="240" w:lineRule="auto"/>
            </w:pPr>
            <w:r>
              <w:rPr>
                <w:rFonts w:ascii="Arial" w:hAnsi="Arial"/>
                <w:b w:val="0"/>
                <w:sz w:val="15"/>
              </w:rPr>
              <w:t>1 (6.2)</w:t>
            </w:r>
          </w:p>
        </w:tc>
      </w:tr>
      <w:tr w14:paraId="65E8EF10">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3024" w:type="dxa"/>
            <w:tcBorders>
              <w:top w:val="nil"/>
              <w:left w:val="nil"/>
              <w:bottom w:val="single" w:color="auto" w:sz="4" w:space="0"/>
              <w:right w:val="nil"/>
            </w:tcBorders>
            <w:vAlign w:val="center"/>
          </w:tcPr>
          <w:p w14:paraId="30110824">
            <w:pPr>
              <w:spacing w:before="0" w:after="0" w:line="240" w:lineRule="auto"/>
            </w:pPr>
            <w:r>
              <w:rPr>
                <w:rFonts w:ascii="Arial" w:hAnsi="Arial"/>
                <w:b w:val="0"/>
                <w:sz w:val="15"/>
              </w:rPr>
              <w:t>Tube voltage: 120 kVp</w:t>
            </w:r>
          </w:p>
        </w:tc>
        <w:tc>
          <w:tcPr>
            <w:tcW w:w="1728" w:type="dxa"/>
            <w:tcBorders>
              <w:top w:val="nil"/>
              <w:left w:val="nil"/>
              <w:bottom w:val="single" w:color="auto" w:sz="4" w:space="0"/>
              <w:right w:val="nil"/>
            </w:tcBorders>
            <w:vAlign w:val="center"/>
          </w:tcPr>
          <w:p w14:paraId="010BCC4F">
            <w:pPr>
              <w:spacing w:before="0" w:after="0" w:line="240" w:lineRule="auto"/>
            </w:pPr>
            <w:r>
              <w:rPr>
                <w:rFonts w:ascii="Arial" w:hAnsi="Arial"/>
                <w:b w:val="0"/>
                <w:sz w:val="15"/>
              </w:rPr>
              <w:t>29 (100.0)</w:t>
            </w:r>
          </w:p>
        </w:tc>
        <w:tc>
          <w:tcPr>
            <w:tcW w:w="1656" w:type="dxa"/>
            <w:tcBorders>
              <w:top w:val="nil"/>
              <w:left w:val="nil"/>
              <w:bottom w:val="single" w:color="auto" w:sz="4" w:space="0"/>
              <w:right w:val="nil"/>
            </w:tcBorders>
            <w:vAlign w:val="center"/>
          </w:tcPr>
          <w:p w14:paraId="36ECF3D7">
            <w:pPr>
              <w:spacing w:before="0" w:after="0" w:line="240" w:lineRule="auto"/>
            </w:pPr>
            <w:r>
              <w:rPr>
                <w:rFonts w:ascii="Arial" w:hAnsi="Arial"/>
                <w:b w:val="0"/>
                <w:sz w:val="15"/>
              </w:rPr>
              <w:t>31 (83.8)</w:t>
            </w:r>
          </w:p>
        </w:tc>
        <w:tc>
          <w:tcPr>
            <w:tcW w:w="1728" w:type="dxa"/>
            <w:tcBorders>
              <w:top w:val="nil"/>
              <w:left w:val="nil"/>
              <w:bottom w:val="single" w:color="auto" w:sz="4" w:space="0"/>
              <w:right w:val="nil"/>
            </w:tcBorders>
            <w:vAlign w:val="center"/>
          </w:tcPr>
          <w:p w14:paraId="2B4BC5EB">
            <w:pPr>
              <w:spacing w:before="0" w:after="0" w:line="240" w:lineRule="auto"/>
            </w:pPr>
            <w:r>
              <w:rPr>
                <w:rFonts w:ascii="Arial" w:hAnsi="Arial"/>
                <w:b w:val="0"/>
                <w:sz w:val="15"/>
              </w:rPr>
              <w:t>10 (76.9)</w:t>
            </w:r>
          </w:p>
        </w:tc>
        <w:tc>
          <w:tcPr>
            <w:tcW w:w="1656" w:type="dxa"/>
            <w:tcBorders>
              <w:top w:val="nil"/>
              <w:left w:val="nil"/>
              <w:bottom w:val="single" w:color="auto" w:sz="4" w:space="0"/>
              <w:right w:val="nil"/>
            </w:tcBorders>
            <w:vAlign w:val="center"/>
          </w:tcPr>
          <w:p w14:paraId="7BC02047">
            <w:pPr>
              <w:spacing w:before="0" w:after="0" w:line="240" w:lineRule="auto"/>
            </w:pPr>
            <w:r>
              <w:rPr>
                <w:rFonts w:ascii="Arial" w:hAnsi="Arial"/>
                <w:b w:val="0"/>
                <w:sz w:val="15"/>
              </w:rPr>
              <w:t>15 (93.8)</w:t>
            </w:r>
          </w:p>
        </w:tc>
      </w:tr>
    </w:tbl>
    <w:p w14:paraId="476CEB48">
      <w:pPr>
        <w:pStyle w:val="166"/>
        <w:spacing w:after="80"/>
      </w:pPr>
      <w:r>
        <w:t>Revolution CT and 1.25-mm reconstruction completely overlap. Development association: Fisher P = 0.003 and acquisition-indicator AUC = 0.686. Evaluation association: Fisher P = 0.70, with the direction reversed. Standardized feature distributions in development are shown descriptively in Panel B; no inferential feature-by-feature tests were used for model modification.</w:t>
      </w:r>
    </w:p>
    <w:p w14:paraId="180F402D">
      <w:pPr>
        <w:pStyle w:val="168"/>
        <w:keepNext/>
        <w:keepLines/>
      </w:pPr>
      <w:r>
        <w:t>Table S5 (continued). Panel B: Development-cohort final-feature distributions by Revolution CT/1.25-mm exposure within diagnosis</w:t>
      </w:r>
    </w:p>
    <w:tbl>
      <w:tblPr>
        <w:tblStyle w:val="33"/>
        <w:tblW w:w="0" w:type="auto"/>
        <w:jc w:val="center"/>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843"/>
        <w:gridCol w:w="1843"/>
        <w:gridCol w:w="1843"/>
        <w:gridCol w:w="1843"/>
        <w:gridCol w:w="1843"/>
      </w:tblGrid>
      <w:tr w14:paraId="3622AB48">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tblHeader w:val="true"/>
          <w:jc w:val="center"/>
        </w:trPr>
        <w:tc>
          <w:tcPr>
            <w:tcW w:w="3816" w:type="dxa"/>
            <w:tcBorders>
              <w:top w:val="single" w:color="000000" w:sz="12" w:space="0"/>
              <w:left w:val="nil"/>
              <w:bottom w:val="single" w:color="000000" w:sz="6" w:space="0"/>
              <w:right w:val="nil"/>
            </w:tcBorders>
            <w:shd w:val="clear" w:color="auto" w:fill="D9EAF3"/>
            <w:vAlign w:val="center"/>
          </w:tcPr>
          <w:p w14:paraId="5647F85B">
            <w:pPr>
              <w:spacing w:before="0" w:after="0" w:line="240" w:lineRule="auto"/>
              <w:jc w:val="center"/>
            </w:pPr>
            <w:r>
              <w:rPr>
                <w:rFonts w:ascii="Arial" w:hAnsi="Arial"/>
                <w:b/>
                <w:sz w:val="15"/>
              </w:rPr>
              <w:t>Standardized feature</w:t>
            </w:r>
          </w:p>
        </w:tc>
        <w:tc>
          <w:tcPr>
            <w:tcW w:w="1440" w:type="dxa"/>
            <w:tcBorders>
              <w:top w:val="single" w:color="000000" w:sz="12" w:space="0"/>
              <w:left w:val="nil"/>
              <w:bottom w:val="single" w:color="000000" w:sz="6" w:space="0"/>
              <w:right w:val="nil"/>
            </w:tcBorders>
            <w:shd w:val="clear" w:color="auto" w:fill="D9EAF3"/>
            <w:vAlign w:val="center"/>
          </w:tcPr>
          <w:p w14:paraId="3EF46098">
            <w:pPr>
              <w:spacing w:before="0" w:after="0" w:line="240" w:lineRule="auto"/>
              <w:jc w:val="center"/>
            </w:pPr>
            <w:r>
              <w:rPr>
                <w:rFonts w:ascii="Arial" w:hAnsi="Arial"/>
                <w:b/>
                <w:sz w:val="15"/>
              </w:rPr>
              <w:t>eNCPH: Rev. (n = 21)</w:t>
            </w:r>
          </w:p>
        </w:tc>
        <w:tc>
          <w:tcPr>
            <w:tcW w:w="1440" w:type="dxa"/>
            <w:tcBorders>
              <w:top w:val="single" w:color="000000" w:sz="12" w:space="0"/>
              <w:left w:val="nil"/>
              <w:bottom w:val="single" w:color="000000" w:sz="6" w:space="0"/>
              <w:right w:val="nil"/>
            </w:tcBorders>
            <w:shd w:val="clear" w:color="auto" w:fill="D9EAF3"/>
            <w:vAlign w:val="center"/>
          </w:tcPr>
          <w:p w14:paraId="6E8A1F90">
            <w:pPr>
              <w:spacing w:before="0" w:after="0" w:line="240" w:lineRule="auto"/>
              <w:jc w:val="center"/>
            </w:pPr>
            <w:r>
              <w:rPr>
                <w:rFonts w:ascii="Arial" w:hAnsi="Arial"/>
                <w:b/>
                <w:sz w:val="15"/>
              </w:rPr>
              <w:t>eNCPH: other (n = 8)</w:t>
            </w:r>
          </w:p>
        </w:tc>
        <w:tc>
          <w:tcPr>
            <w:tcW w:w="1440" w:type="dxa"/>
            <w:tcBorders>
              <w:top w:val="single" w:color="000000" w:sz="12" w:space="0"/>
              <w:left w:val="nil"/>
              <w:bottom w:val="single" w:color="000000" w:sz="6" w:space="0"/>
              <w:right w:val="nil"/>
            </w:tcBorders>
            <w:shd w:val="clear" w:color="auto" w:fill="D9EAF3"/>
            <w:vAlign w:val="center"/>
          </w:tcPr>
          <w:p w14:paraId="702A1C4E">
            <w:pPr>
              <w:spacing w:before="0" w:after="0" w:line="240" w:lineRule="auto"/>
              <w:jc w:val="center"/>
            </w:pPr>
            <w:r>
              <w:rPr>
                <w:rFonts w:ascii="Arial" w:hAnsi="Arial"/>
                <w:b/>
                <w:sz w:val="15"/>
              </w:rPr>
              <w:t>IAC: Rev. (n = 13)</w:t>
            </w:r>
          </w:p>
        </w:tc>
        <w:tc>
          <w:tcPr>
            <w:tcW w:w="1440" w:type="dxa"/>
            <w:tcBorders>
              <w:top w:val="single" w:color="000000" w:sz="12" w:space="0"/>
              <w:left w:val="nil"/>
              <w:bottom w:val="single" w:color="000000" w:sz="6" w:space="0"/>
              <w:right w:val="nil"/>
            </w:tcBorders>
            <w:shd w:val="clear" w:color="auto" w:fill="D9EAF3"/>
            <w:vAlign w:val="center"/>
          </w:tcPr>
          <w:p w14:paraId="1BFD5625">
            <w:pPr>
              <w:spacing w:before="0" w:after="0" w:line="240" w:lineRule="auto"/>
              <w:jc w:val="center"/>
            </w:pPr>
            <w:r>
              <w:rPr>
                <w:rFonts w:ascii="Arial" w:hAnsi="Arial"/>
                <w:b/>
                <w:sz w:val="15"/>
              </w:rPr>
              <w:t>IAC: other (n = 24)</w:t>
            </w:r>
          </w:p>
        </w:tc>
      </w:tr>
      <w:tr w14:paraId="10316A6A">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3816" w:type="dxa"/>
            <w:tcBorders>
              <w:top w:val="nil"/>
              <w:left w:val="nil"/>
              <w:bottom w:val="nil"/>
              <w:right w:val="nil"/>
            </w:tcBorders>
            <w:vAlign w:val="center"/>
          </w:tcPr>
          <w:p w14:paraId="5063F5D6">
            <w:pPr>
              <w:spacing w:before="0" w:after="0" w:line="240" w:lineRule="auto"/>
            </w:pPr>
            <w:r>
              <w:rPr>
                <w:rFonts w:ascii="Arial" w:hAnsi="Arial"/>
                <w:b w:val="0"/>
                <w:sz w:val="15"/>
              </w:rPr>
              <w:t>wavelet-LHH_glcm_Correlation</w:t>
            </w:r>
          </w:p>
        </w:tc>
        <w:tc>
          <w:tcPr>
            <w:tcW w:w="1440" w:type="dxa"/>
            <w:tcBorders>
              <w:top w:val="nil"/>
              <w:left w:val="nil"/>
              <w:bottom w:val="nil"/>
              <w:right w:val="nil"/>
            </w:tcBorders>
            <w:vAlign w:val="center"/>
          </w:tcPr>
          <w:p w14:paraId="6A351E6A">
            <w:pPr>
              <w:spacing w:before="0" w:after="0" w:line="240" w:lineRule="auto"/>
            </w:pPr>
            <w:r>
              <w:rPr>
                <w:rFonts w:ascii="Arial" w:hAnsi="Arial"/>
                <w:b w:val="0"/>
                <w:sz w:val="15"/>
              </w:rPr>
              <w:t>0.56 [-0.04, 1.11]</w:t>
            </w:r>
          </w:p>
        </w:tc>
        <w:tc>
          <w:tcPr>
            <w:tcW w:w="1440" w:type="dxa"/>
            <w:tcBorders>
              <w:top w:val="nil"/>
              <w:left w:val="nil"/>
              <w:bottom w:val="nil"/>
              <w:right w:val="nil"/>
            </w:tcBorders>
            <w:vAlign w:val="center"/>
          </w:tcPr>
          <w:p w14:paraId="2050F035">
            <w:pPr>
              <w:spacing w:before="0" w:after="0" w:line="240" w:lineRule="auto"/>
            </w:pPr>
            <w:r>
              <w:rPr>
                <w:rFonts w:ascii="Arial" w:hAnsi="Arial"/>
                <w:b w:val="0"/>
                <w:sz w:val="15"/>
              </w:rPr>
              <w:t>0.40 [-0.09, 1.02]</w:t>
            </w:r>
          </w:p>
        </w:tc>
        <w:tc>
          <w:tcPr>
            <w:tcW w:w="1440" w:type="dxa"/>
            <w:tcBorders>
              <w:top w:val="nil"/>
              <w:left w:val="nil"/>
              <w:bottom w:val="nil"/>
              <w:right w:val="nil"/>
            </w:tcBorders>
            <w:vAlign w:val="center"/>
          </w:tcPr>
          <w:p w14:paraId="0CFD16F2">
            <w:pPr>
              <w:spacing w:before="0" w:after="0" w:line="240" w:lineRule="auto"/>
            </w:pPr>
            <w:r>
              <w:rPr>
                <w:rFonts w:ascii="Arial" w:hAnsi="Arial"/>
                <w:b w:val="0"/>
                <w:sz w:val="15"/>
              </w:rPr>
              <w:t>-0.16 [-0.61, 0.26]</w:t>
            </w:r>
          </w:p>
        </w:tc>
        <w:tc>
          <w:tcPr>
            <w:tcW w:w="1440" w:type="dxa"/>
            <w:tcBorders>
              <w:top w:val="nil"/>
              <w:left w:val="nil"/>
              <w:bottom w:val="nil"/>
              <w:right w:val="nil"/>
            </w:tcBorders>
            <w:vAlign w:val="center"/>
          </w:tcPr>
          <w:p w14:paraId="678B24A7">
            <w:pPr>
              <w:spacing w:before="0" w:after="0" w:line="240" w:lineRule="auto"/>
            </w:pPr>
            <w:r>
              <w:rPr>
                <w:rFonts w:ascii="Arial" w:hAnsi="Arial"/>
                <w:b w:val="0"/>
                <w:sz w:val="15"/>
              </w:rPr>
              <w:t>-0.48 [-0.78, -0.00]</w:t>
            </w:r>
          </w:p>
        </w:tc>
      </w:tr>
      <w:tr w14:paraId="5B18ECF0">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3816" w:type="dxa"/>
            <w:tcBorders>
              <w:top w:val="nil"/>
              <w:left w:val="nil"/>
              <w:bottom w:val="nil"/>
              <w:right w:val="nil"/>
            </w:tcBorders>
            <w:vAlign w:val="center"/>
          </w:tcPr>
          <w:p w14:paraId="7012A4F4">
            <w:pPr>
              <w:spacing w:before="0" w:after="0" w:line="240" w:lineRule="auto"/>
            </w:pPr>
            <w:r>
              <w:rPr>
                <w:rFonts w:ascii="Arial" w:hAnsi="Arial"/>
                <w:b w:val="0"/>
                <w:sz w:val="15"/>
              </w:rPr>
              <w:t>wavelet-HHH_glcm_ClusterShade</w:t>
            </w:r>
          </w:p>
        </w:tc>
        <w:tc>
          <w:tcPr>
            <w:tcW w:w="1440" w:type="dxa"/>
            <w:tcBorders>
              <w:top w:val="nil"/>
              <w:left w:val="nil"/>
              <w:bottom w:val="nil"/>
              <w:right w:val="nil"/>
            </w:tcBorders>
            <w:vAlign w:val="center"/>
          </w:tcPr>
          <w:p w14:paraId="03044E4A">
            <w:pPr>
              <w:spacing w:before="0" w:after="0" w:line="240" w:lineRule="auto"/>
            </w:pPr>
            <w:r>
              <w:rPr>
                <w:rFonts w:ascii="Arial" w:hAnsi="Arial"/>
                <w:b w:val="0"/>
                <w:sz w:val="15"/>
              </w:rPr>
              <w:t>-0.03 [-0.54, 0.20]</w:t>
            </w:r>
          </w:p>
        </w:tc>
        <w:tc>
          <w:tcPr>
            <w:tcW w:w="1440" w:type="dxa"/>
            <w:tcBorders>
              <w:top w:val="nil"/>
              <w:left w:val="nil"/>
              <w:bottom w:val="nil"/>
              <w:right w:val="nil"/>
            </w:tcBorders>
            <w:vAlign w:val="center"/>
          </w:tcPr>
          <w:p w14:paraId="201CF985">
            <w:pPr>
              <w:spacing w:before="0" w:after="0" w:line="240" w:lineRule="auto"/>
            </w:pPr>
            <w:r>
              <w:rPr>
                <w:rFonts w:ascii="Arial" w:hAnsi="Arial"/>
                <w:b w:val="0"/>
                <w:sz w:val="15"/>
              </w:rPr>
              <w:t>-0.42 [-0.73, 0.12]</w:t>
            </w:r>
          </w:p>
        </w:tc>
        <w:tc>
          <w:tcPr>
            <w:tcW w:w="1440" w:type="dxa"/>
            <w:tcBorders>
              <w:top w:val="nil"/>
              <w:left w:val="nil"/>
              <w:bottom w:val="nil"/>
              <w:right w:val="nil"/>
            </w:tcBorders>
            <w:vAlign w:val="center"/>
          </w:tcPr>
          <w:p w14:paraId="070E4847">
            <w:pPr>
              <w:spacing w:before="0" w:after="0" w:line="240" w:lineRule="auto"/>
            </w:pPr>
            <w:r>
              <w:rPr>
                <w:rFonts w:ascii="Arial" w:hAnsi="Arial"/>
                <w:b w:val="0"/>
                <w:sz w:val="15"/>
              </w:rPr>
              <w:t>0.27 [0.10, 0.64]</w:t>
            </w:r>
          </w:p>
        </w:tc>
        <w:tc>
          <w:tcPr>
            <w:tcW w:w="1440" w:type="dxa"/>
            <w:tcBorders>
              <w:top w:val="nil"/>
              <w:left w:val="nil"/>
              <w:bottom w:val="nil"/>
              <w:right w:val="nil"/>
            </w:tcBorders>
            <w:vAlign w:val="center"/>
          </w:tcPr>
          <w:p w14:paraId="369F5F4E">
            <w:pPr>
              <w:spacing w:before="0" w:after="0" w:line="240" w:lineRule="auto"/>
            </w:pPr>
            <w:r>
              <w:rPr>
                <w:rFonts w:ascii="Arial" w:hAnsi="Arial"/>
                <w:b w:val="0"/>
                <w:sz w:val="15"/>
              </w:rPr>
              <w:t>0.15 [-0.30, 0.42]</w:t>
            </w:r>
          </w:p>
        </w:tc>
      </w:tr>
      <w:tr w14:paraId="4BB057B0">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3816" w:type="dxa"/>
            <w:tcBorders>
              <w:top w:val="nil"/>
              <w:left w:val="nil"/>
              <w:bottom w:val="nil"/>
              <w:right w:val="nil"/>
            </w:tcBorders>
            <w:vAlign w:val="center"/>
          </w:tcPr>
          <w:p w14:paraId="7ABD31F3">
            <w:pPr>
              <w:spacing w:before="0" w:after="0" w:line="240" w:lineRule="auto"/>
            </w:pPr>
            <w:r>
              <w:rPr>
                <w:rFonts w:ascii="Arial" w:hAnsi="Arial"/>
                <w:b w:val="0"/>
                <w:sz w:val="15"/>
              </w:rPr>
              <w:t>wavelet-HHL_glcm_MCC</w:t>
            </w:r>
          </w:p>
        </w:tc>
        <w:tc>
          <w:tcPr>
            <w:tcW w:w="1440" w:type="dxa"/>
            <w:tcBorders>
              <w:top w:val="nil"/>
              <w:left w:val="nil"/>
              <w:bottom w:val="nil"/>
              <w:right w:val="nil"/>
            </w:tcBorders>
            <w:vAlign w:val="center"/>
          </w:tcPr>
          <w:p w14:paraId="7707BD0E">
            <w:pPr>
              <w:spacing w:before="0" w:after="0" w:line="240" w:lineRule="auto"/>
            </w:pPr>
            <w:r>
              <w:rPr>
                <w:rFonts w:ascii="Arial" w:hAnsi="Arial"/>
                <w:b w:val="0"/>
                <w:sz w:val="15"/>
              </w:rPr>
              <w:t>0.56 [-0.22, 0.99]</w:t>
            </w:r>
          </w:p>
        </w:tc>
        <w:tc>
          <w:tcPr>
            <w:tcW w:w="1440" w:type="dxa"/>
            <w:tcBorders>
              <w:top w:val="nil"/>
              <w:left w:val="nil"/>
              <w:bottom w:val="nil"/>
              <w:right w:val="nil"/>
            </w:tcBorders>
            <w:vAlign w:val="center"/>
          </w:tcPr>
          <w:p w14:paraId="11D74852">
            <w:pPr>
              <w:spacing w:before="0" w:after="0" w:line="240" w:lineRule="auto"/>
            </w:pPr>
            <w:r>
              <w:rPr>
                <w:rFonts w:ascii="Arial" w:hAnsi="Arial"/>
                <w:b w:val="0"/>
                <w:sz w:val="15"/>
              </w:rPr>
              <w:t>0.41 [0.12, 0.58]</w:t>
            </w:r>
          </w:p>
        </w:tc>
        <w:tc>
          <w:tcPr>
            <w:tcW w:w="1440" w:type="dxa"/>
            <w:tcBorders>
              <w:top w:val="nil"/>
              <w:left w:val="nil"/>
              <w:bottom w:val="nil"/>
              <w:right w:val="nil"/>
            </w:tcBorders>
            <w:vAlign w:val="center"/>
          </w:tcPr>
          <w:p w14:paraId="0015131C">
            <w:pPr>
              <w:spacing w:before="0" w:after="0" w:line="240" w:lineRule="auto"/>
            </w:pPr>
            <w:r>
              <w:rPr>
                <w:rFonts w:ascii="Arial" w:hAnsi="Arial"/>
                <w:b w:val="0"/>
                <w:sz w:val="15"/>
              </w:rPr>
              <w:t>-0.63 [-0.97, -0.26]</w:t>
            </w:r>
          </w:p>
        </w:tc>
        <w:tc>
          <w:tcPr>
            <w:tcW w:w="1440" w:type="dxa"/>
            <w:tcBorders>
              <w:top w:val="nil"/>
              <w:left w:val="nil"/>
              <w:bottom w:val="nil"/>
              <w:right w:val="nil"/>
            </w:tcBorders>
            <w:vAlign w:val="center"/>
          </w:tcPr>
          <w:p w14:paraId="5EC8A985">
            <w:pPr>
              <w:spacing w:before="0" w:after="0" w:line="240" w:lineRule="auto"/>
            </w:pPr>
            <w:r>
              <w:rPr>
                <w:rFonts w:ascii="Arial" w:hAnsi="Arial"/>
                <w:b w:val="0"/>
                <w:sz w:val="15"/>
              </w:rPr>
              <w:t>-0.62 [-0.81, -0.21]</w:t>
            </w:r>
          </w:p>
        </w:tc>
      </w:tr>
      <w:tr w14:paraId="4258C427">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3816" w:type="dxa"/>
            <w:tcBorders>
              <w:top w:val="nil"/>
              <w:left w:val="nil"/>
              <w:bottom w:val="nil"/>
              <w:right w:val="nil"/>
            </w:tcBorders>
            <w:vAlign w:val="center"/>
          </w:tcPr>
          <w:p w14:paraId="04DFCDDD">
            <w:pPr>
              <w:spacing w:before="0" w:after="0" w:line="240" w:lineRule="auto"/>
            </w:pPr>
            <w:r>
              <w:rPr>
                <w:rFonts w:ascii="Arial" w:hAnsi="Arial"/>
                <w:b w:val="0"/>
                <w:sz w:val="15"/>
              </w:rPr>
              <w:t>wavelet-HLL_glcm_DifferenceVariance</w:t>
            </w:r>
          </w:p>
        </w:tc>
        <w:tc>
          <w:tcPr>
            <w:tcW w:w="1440" w:type="dxa"/>
            <w:tcBorders>
              <w:top w:val="nil"/>
              <w:left w:val="nil"/>
              <w:bottom w:val="nil"/>
              <w:right w:val="nil"/>
            </w:tcBorders>
            <w:vAlign w:val="center"/>
          </w:tcPr>
          <w:p w14:paraId="6FFC9163">
            <w:pPr>
              <w:spacing w:before="0" w:after="0" w:line="240" w:lineRule="auto"/>
            </w:pPr>
            <w:r>
              <w:rPr>
                <w:rFonts w:ascii="Arial" w:hAnsi="Arial"/>
                <w:b w:val="0"/>
                <w:sz w:val="15"/>
              </w:rPr>
              <w:t>0.02 [-0.39, 0.55]</w:t>
            </w:r>
          </w:p>
        </w:tc>
        <w:tc>
          <w:tcPr>
            <w:tcW w:w="1440" w:type="dxa"/>
            <w:tcBorders>
              <w:top w:val="nil"/>
              <w:left w:val="nil"/>
              <w:bottom w:val="nil"/>
              <w:right w:val="nil"/>
            </w:tcBorders>
            <w:vAlign w:val="center"/>
          </w:tcPr>
          <w:p w14:paraId="0B75C781">
            <w:pPr>
              <w:spacing w:before="0" w:after="0" w:line="240" w:lineRule="auto"/>
            </w:pPr>
            <w:r>
              <w:rPr>
                <w:rFonts w:ascii="Arial" w:hAnsi="Arial"/>
                <w:b w:val="0"/>
                <w:sz w:val="15"/>
              </w:rPr>
              <w:t>0.51 [0.10, 1.21]</w:t>
            </w:r>
          </w:p>
        </w:tc>
        <w:tc>
          <w:tcPr>
            <w:tcW w:w="1440" w:type="dxa"/>
            <w:tcBorders>
              <w:top w:val="nil"/>
              <w:left w:val="nil"/>
              <w:bottom w:val="nil"/>
              <w:right w:val="nil"/>
            </w:tcBorders>
            <w:vAlign w:val="center"/>
          </w:tcPr>
          <w:p w14:paraId="084040F6">
            <w:pPr>
              <w:spacing w:before="0" w:after="0" w:line="240" w:lineRule="auto"/>
            </w:pPr>
            <w:r>
              <w:rPr>
                <w:rFonts w:ascii="Arial" w:hAnsi="Arial"/>
                <w:b w:val="0"/>
                <w:sz w:val="15"/>
              </w:rPr>
              <w:t>-0.47 [-0.72, -0.03]</w:t>
            </w:r>
          </w:p>
        </w:tc>
        <w:tc>
          <w:tcPr>
            <w:tcW w:w="1440" w:type="dxa"/>
            <w:tcBorders>
              <w:top w:val="nil"/>
              <w:left w:val="nil"/>
              <w:bottom w:val="nil"/>
              <w:right w:val="nil"/>
            </w:tcBorders>
            <w:vAlign w:val="center"/>
          </w:tcPr>
          <w:p w14:paraId="26A30C4D">
            <w:pPr>
              <w:spacing w:before="0" w:after="0" w:line="240" w:lineRule="auto"/>
            </w:pPr>
            <w:r>
              <w:rPr>
                <w:rFonts w:ascii="Arial" w:hAnsi="Arial"/>
                <w:b w:val="0"/>
                <w:sz w:val="15"/>
              </w:rPr>
              <w:t>-0.52 [-0.87, -0.09]</w:t>
            </w:r>
          </w:p>
        </w:tc>
      </w:tr>
      <w:tr w14:paraId="3F7BF72C">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3816" w:type="dxa"/>
            <w:tcBorders>
              <w:top w:val="nil"/>
              <w:left w:val="nil"/>
              <w:bottom w:val="nil"/>
              <w:right w:val="nil"/>
            </w:tcBorders>
            <w:vAlign w:val="center"/>
          </w:tcPr>
          <w:p w14:paraId="5D74ED5E">
            <w:pPr>
              <w:spacing w:before="0" w:after="0" w:line="240" w:lineRule="auto"/>
            </w:pPr>
            <w:r>
              <w:rPr>
                <w:rFonts w:ascii="Arial" w:hAnsi="Arial"/>
                <w:b w:val="0"/>
                <w:sz w:val="15"/>
              </w:rPr>
              <w:t>wavelet-LHL_glcm_DifferenceVariance</w:t>
            </w:r>
          </w:p>
        </w:tc>
        <w:tc>
          <w:tcPr>
            <w:tcW w:w="1440" w:type="dxa"/>
            <w:tcBorders>
              <w:top w:val="nil"/>
              <w:left w:val="nil"/>
              <w:bottom w:val="nil"/>
              <w:right w:val="nil"/>
            </w:tcBorders>
            <w:vAlign w:val="center"/>
          </w:tcPr>
          <w:p w14:paraId="2B8CCBEA">
            <w:pPr>
              <w:spacing w:before="0" w:after="0" w:line="240" w:lineRule="auto"/>
            </w:pPr>
            <w:r>
              <w:rPr>
                <w:rFonts w:ascii="Arial" w:hAnsi="Arial"/>
                <w:b w:val="0"/>
                <w:sz w:val="15"/>
              </w:rPr>
              <w:t>-0.05 [-0.60, 0.22]</w:t>
            </w:r>
          </w:p>
        </w:tc>
        <w:tc>
          <w:tcPr>
            <w:tcW w:w="1440" w:type="dxa"/>
            <w:tcBorders>
              <w:top w:val="nil"/>
              <w:left w:val="nil"/>
              <w:bottom w:val="nil"/>
              <w:right w:val="nil"/>
            </w:tcBorders>
            <w:vAlign w:val="center"/>
          </w:tcPr>
          <w:p w14:paraId="343A799A">
            <w:pPr>
              <w:spacing w:before="0" w:after="0" w:line="240" w:lineRule="auto"/>
            </w:pPr>
            <w:r>
              <w:rPr>
                <w:rFonts w:ascii="Arial" w:hAnsi="Arial"/>
                <w:b w:val="0"/>
                <w:sz w:val="15"/>
              </w:rPr>
              <w:t>0.77 [0.64, 1.95]</w:t>
            </w:r>
          </w:p>
        </w:tc>
        <w:tc>
          <w:tcPr>
            <w:tcW w:w="1440" w:type="dxa"/>
            <w:tcBorders>
              <w:top w:val="nil"/>
              <w:left w:val="nil"/>
              <w:bottom w:val="nil"/>
              <w:right w:val="nil"/>
            </w:tcBorders>
            <w:vAlign w:val="center"/>
          </w:tcPr>
          <w:p w14:paraId="3DB5FBD2">
            <w:pPr>
              <w:spacing w:before="0" w:after="0" w:line="240" w:lineRule="auto"/>
            </w:pPr>
            <w:r>
              <w:rPr>
                <w:rFonts w:ascii="Arial" w:hAnsi="Arial"/>
                <w:b w:val="0"/>
                <w:sz w:val="15"/>
              </w:rPr>
              <w:t>-0.19 [-0.84, -0.03]</w:t>
            </w:r>
          </w:p>
        </w:tc>
        <w:tc>
          <w:tcPr>
            <w:tcW w:w="1440" w:type="dxa"/>
            <w:tcBorders>
              <w:top w:val="nil"/>
              <w:left w:val="nil"/>
              <w:bottom w:val="nil"/>
              <w:right w:val="nil"/>
            </w:tcBorders>
            <w:vAlign w:val="center"/>
          </w:tcPr>
          <w:p w14:paraId="1D5C1B85">
            <w:pPr>
              <w:spacing w:before="0" w:after="0" w:line="240" w:lineRule="auto"/>
            </w:pPr>
            <w:r>
              <w:rPr>
                <w:rFonts w:ascii="Arial" w:hAnsi="Arial"/>
                <w:b w:val="0"/>
                <w:sz w:val="15"/>
              </w:rPr>
              <w:t>-0.49 [-0.84, -0.18]</w:t>
            </w:r>
          </w:p>
        </w:tc>
      </w:tr>
      <w:tr w14:paraId="0869E4FB">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3816" w:type="dxa"/>
            <w:tcBorders>
              <w:top w:val="nil"/>
              <w:left w:val="nil"/>
              <w:bottom w:val="nil"/>
              <w:right w:val="nil"/>
            </w:tcBorders>
            <w:vAlign w:val="center"/>
          </w:tcPr>
          <w:p w14:paraId="14FEFBB1">
            <w:pPr>
              <w:spacing w:before="0" w:after="0" w:line="240" w:lineRule="auto"/>
            </w:pPr>
            <w:r>
              <w:rPr>
                <w:rFonts w:ascii="Arial" w:hAnsi="Arial"/>
                <w:b w:val="0"/>
                <w:sz w:val="15"/>
              </w:rPr>
              <w:t>wavelet-HLL_gldm_LargeDependenceLowGrayLevelEmphasis</w:t>
            </w:r>
          </w:p>
        </w:tc>
        <w:tc>
          <w:tcPr>
            <w:tcW w:w="1440" w:type="dxa"/>
            <w:tcBorders>
              <w:top w:val="nil"/>
              <w:left w:val="nil"/>
              <w:bottom w:val="nil"/>
              <w:right w:val="nil"/>
            </w:tcBorders>
            <w:vAlign w:val="center"/>
          </w:tcPr>
          <w:p w14:paraId="31A5CA04">
            <w:pPr>
              <w:spacing w:before="0" w:after="0" w:line="240" w:lineRule="auto"/>
            </w:pPr>
            <w:r>
              <w:rPr>
                <w:rFonts w:ascii="Arial" w:hAnsi="Arial"/>
                <w:b w:val="0"/>
                <w:sz w:val="15"/>
              </w:rPr>
              <w:t>-0.72 [-0.87, 0.04]</w:t>
            </w:r>
          </w:p>
        </w:tc>
        <w:tc>
          <w:tcPr>
            <w:tcW w:w="1440" w:type="dxa"/>
            <w:tcBorders>
              <w:top w:val="nil"/>
              <w:left w:val="nil"/>
              <w:bottom w:val="nil"/>
              <w:right w:val="nil"/>
            </w:tcBorders>
            <w:vAlign w:val="center"/>
          </w:tcPr>
          <w:p w14:paraId="5F36CC2A">
            <w:pPr>
              <w:spacing w:before="0" w:after="0" w:line="240" w:lineRule="auto"/>
            </w:pPr>
            <w:r>
              <w:rPr>
                <w:rFonts w:ascii="Arial" w:hAnsi="Arial"/>
                <w:b w:val="0"/>
                <w:sz w:val="15"/>
              </w:rPr>
              <w:t>-0.47 [-0.58, -0.35]</w:t>
            </w:r>
          </w:p>
        </w:tc>
        <w:tc>
          <w:tcPr>
            <w:tcW w:w="1440" w:type="dxa"/>
            <w:tcBorders>
              <w:top w:val="nil"/>
              <w:left w:val="nil"/>
              <w:bottom w:val="nil"/>
              <w:right w:val="nil"/>
            </w:tcBorders>
            <w:vAlign w:val="center"/>
          </w:tcPr>
          <w:p w14:paraId="238D7FB1">
            <w:pPr>
              <w:spacing w:before="0" w:after="0" w:line="240" w:lineRule="auto"/>
            </w:pPr>
            <w:r>
              <w:rPr>
                <w:rFonts w:ascii="Arial" w:hAnsi="Arial"/>
                <w:b w:val="0"/>
                <w:sz w:val="15"/>
              </w:rPr>
              <w:t>-0.35 [-0.50, 0.24]</w:t>
            </w:r>
          </w:p>
        </w:tc>
        <w:tc>
          <w:tcPr>
            <w:tcW w:w="1440" w:type="dxa"/>
            <w:tcBorders>
              <w:top w:val="nil"/>
              <w:left w:val="nil"/>
              <w:bottom w:val="nil"/>
              <w:right w:val="nil"/>
            </w:tcBorders>
            <w:vAlign w:val="center"/>
          </w:tcPr>
          <w:p w14:paraId="12725C46">
            <w:pPr>
              <w:spacing w:before="0" w:after="0" w:line="240" w:lineRule="auto"/>
            </w:pPr>
            <w:r>
              <w:rPr>
                <w:rFonts w:ascii="Arial" w:hAnsi="Arial"/>
                <w:b w:val="0"/>
                <w:sz w:val="15"/>
              </w:rPr>
              <w:t>0.22 [-0.38, 1.42]</w:t>
            </w:r>
          </w:p>
        </w:tc>
      </w:tr>
      <w:tr w14:paraId="0A035B16">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3816" w:type="dxa"/>
            <w:tcBorders>
              <w:top w:val="nil"/>
              <w:left w:val="nil"/>
              <w:bottom w:val="nil"/>
              <w:right w:val="nil"/>
            </w:tcBorders>
            <w:vAlign w:val="center"/>
          </w:tcPr>
          <w:p w14:paraId="167E4018">
            <w:pPr>
              <w:spacing w:before="0" w:after="0" w:line="240" w:lineRule="auto"/>
            </w:pPr>
            <w:r>
              <w:rPr>
                <w:rFonts w:ascii="Arial" w:hAnsi="Arial"/>
                <w:b w:val="0"/>
                <w:sz w:val="15"/>
              </w:rPr>
              <w:t>wavelet-LLL_ngtdm_Busyness</w:t>
            </w:r>
          </w:p>
        </w:tc>
        <w:tc>
          <w:tcPr>
            <w:tcW w:w="1440" w:type="dxa"/>
            <w:tcBorders>
              <w:top w:val="nil"/>
              <w:left w:val="nil"/>
              <w:bottom w:val="nil"/>
              <w:right w:val="nil"/>
            </w:tcBorders>
            <w:vAlign w:val="center"/>
          </w:tcPr>
          <w:p w14:paraId="79BA7370">
            <w:pPr>
              <w:spacing w:before="0" w:after="0" w:line="240" w:lineRule="auto"/>
            </w:pPr>
            <w:r>
              <w:rPr>
                <w:rFonts w:ascii="Arial" w:hAnsi="Arial"/>
                <w:b w:val="0"/>
                <w:sz w:val="15"/>
              </w:rPr>
              <w:t>-0.57 [-0.74, -0.37]</w:t>
            </w:r>
          </w:p>
        </w:tc>
        <w:tc>
          <w:tcPr>
            <w:tcW w:w="1440" w:type="dxa"/>
            <w:tcBorders>
              <w:top w:val="nil"/>
              <w:left w:val="nil"/>
              <w:bottom w:val="nil"/>
              <w:right w:val="nil"/>
            </w:tcBorders>
            <w:vAlign w:val="center"/>
          </w:tcPr>
          <w:p w14:paraId="70096FDD">
            <w:pPr>
              <w:spacing w:before="0" w:after="0" w:line="240" w:lineRule="auto"/>
            </w:pPr>
            <w:r>
              <w:rPr>
                <w:rFonts w:ascii="Arial" w:hAnsi="Arial"/>
                <w:b w:val="0"/>
                <w:sz w:val="15"/>
              </w:rPr>
              <w:t>-0.60 [-0.84, -0.14]</w:t>
            </w:r>
          </w:p>
        </w:tc>
        <w:tc>
          <w:tcPr>
            <w:tcW w:w="1440" w:type="dxa"/>
            <w:tcBorders>
              <w:top w:val="nil"/>
              <w:left w:val="nil"/>
              <w:bottom w:val="nil"/>
              <w:right w:val="nil"/>
            </w:tcBorders>
            <w:vAlign w:val="center"/>
          </w:tcPr>
          <w:p w14:paraId="58528F80">
            <w:pPr>
              <w:spacing w:before="0" w:after="0" w:line="240" w:lineRule="auto"/>
            </w:pPr>
            <w:r>
              <w:rPr>
                <w:rFonts w:ascii="Arial" w:hAnsi="Arial"/>
                <w:b w:val="0"/>
                <w:sz w:val="15"/>
              </w:rPr>
              <w:t>-0.21 [-0.69, 0.57]</w:t>
            </w:r>
          </w:p>
        </w:tc>
        <w:tc>
          <w:tcPr>
            <w:tcW w:w="1440" w:type="dxa"/>
            <w:tcBorders>
              <w:top w:val="nil"/>
              <w:left w:val="nil"/>
              <w:bottom w:val="nil"/>
              <w:right w:val="nil"/>
            </w:tcBorders>
            <w:vAlign w:val="center"/>
          </w:tcPr>
          <w:p w14:paraId="63FE3464">
            <w:pPr>
              <w:spacing w:before="0" w:after="0" w:line="240" w:lineRule="auto"/>
            </w:pPr>
            <w:r>
              <w:rPr>
                <w:rFonts w:ascii="Arial" w:hAnsi="Arial"/>
                <w:b w:val="0"/>
                <w:sz w:val="15"/>
              </w:rPr>
              <w:t>-0.02 [-0.52, 1.14]</w:t>
            </w:r>
          </w:p>
        </w:tc>
      </w:tr>
      <w:tr w14:paraId="640DAC55">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3816" w:type="dxa"/>
            <w:tcBorders>
              <w:top w:val="nil"/>
              <w:left w:val="nil"/>
              <w:bottom w:val="single" w:color="auto" w:sz="4" w:space="0"/>
              <w:right w:val="nil"/>
            </w:tcBorders>
            <w:vAlign w:val="center"/>
          </w:tcPr>
          <w:p w14:paraId="70418759">
            <w:pPr>
              <w:spacing w:before="0" w:after="0" w:line="240" w:lineRule="auto"/>
            </w:pPr>
            <w:r>
              <w:rPr>
                <w:rFonts w:ascii="Arial" w:hAnsi="Arial"/>
                <w:b w:val="0"/>
                <w:sz w:val="15"/>
              </w:rPr>
              <w:t>wavelet-HLH_firstorder_Median</w:t>
            </w:r>
          </w:p>
        </w:tc>
        <w:tc>
          <w:tcPr>
            <w:tcW w:w="1440" w:type="dxa"/>
            <w:tcBorders>
              <w:top w:val="nil"/>
              <w:left w:val="nil"/>
              <w:bottom w:val="single" w:color="auto" w:sz="4" w:space="0"/>
              <w:right w:val="nil"/>
            </w:tcBorders>
            <w:vAlign w:val="center"/>
          </w:tcPr>
          <w:p w14:paraId="0903814A">
            <w:pPr>
              <w:spacing w:before="0" w:after="0" w:line="240" w:lineRule="auto"/>
            </w:pPr>
            <w:r>
              <w:rPr>
                <w:rFonts w:ascii="Arial" w:hAnsi="Arial"/>
                <w:b w:val="0"/>
                <w:sz w:val="15"/>
              </w:rPr>
              <w:t>-0.01 [-0.82, 0.26]</w:t>
            </w:r>
          </w:p>
        </w:tc>
        <w:tc>
          <w:tcPr>
            <w:tcW w:w="1440" w:type="dxa"/>
            <w:tcBorders>
              <w:top w:val="nil"/>
              <w:left w:val="nil"/>
              <w:bottom w:val="single" w:color="auto" w:sz="4" w:space="0"/>
              <w:right w:val="nil"/>
            </w:tcBorders>
            <w:vAlign w:val="center"/>
          </w:tcPr>
          <w:p w14:paraId="27E7F0E5">
            <w:pPr>
              <w:spacing w:before="0" w:after="0" w:line="240" w:lineRule="auto"/>
            </w:pPr>
            <w:r>
              <w:rPr>
                <w:rFonts w:ascii="Arial" w:hAnsi="Arial"/>
                <w:b w:val="0"/>
                <w:sz w:val="15"/>
              </w:rPr>
              <w:t>-0.41 [-0.84, -0.08]</w:t>
            </w:r>
          </w:p>
        </w:tc>
        <w:tc>
          <w:tcPr>
            <w:tcW w:w="1440" w:type="dxa"/>
            <w:tcBorders>
              <w:top w:val="nil"/>
              <w:left w:val="nil"/>
              <w:bottom w:val="single" w:color="auto" w:sz="4" w:space="0"/>
              <w:right w:val="nil"/>
            </w:tcBorders>
            <w:vAlign w:val="center"/>
          </w:tcPr>
          <w:p w14:paraId="20677058">
            <w:pPr>
              <w:spacing w:before="0" w:after="0" w:line="240" w:lineRule="auto"/>
            </w:pPr>
            <w:r>
              <w:rPr>
                <w:rFonts w:ascii="Arial" w:hAnsi="Arial"/>
                <w:b w:val="0"/>
                <w:sz w:val="15"/>
              </w:rPr>
              <w:t>0.24 [-0.05, 0.44]</w:t>
            </w:r>
          </w:p>
        </w:tc>
        <w:tc>
          <w:tcPr>
            <w:tcW w:w="1440" w:type="dxa"/>
            <w:tcBorders>
              <w:top w:val="nil"/>
              <w:left w:val="nil"/>
              <w:bottom w:val="single" w:color="auto" w:sz="4" w:space="0"/>
              <w:right w:val="nil"/>
            </w:tcBorders>
            <w:vAlign w:val="center"/>
          </w:tcPr>
          <w:p w14:paraId="3D063614">
            <w:pPr>
              <w:spacing w:before="0" w:after="0" w:line="240" w:lineRule="auto"/>
            </w:pPr>
            <w:r>
              <w:rPr>
                <w:rFonts w:ascii="Arial" w:hAnsi="Arial"/>
                <w:b w:val="0"/>
                <w:sz w:val="15"/>
              </w:rPr>
              <w:t>0.04 [-0.25, 0.25]</w:t>
            </w:r>
          </w:p>
        </w:tc>
      </w:tr>
    </w:tbl>
    <w:p w14:paraId="7EAF164F">
      <w:pPr>
        <w:pStyle w:val="166"/>
        <w:keepNext w:val="0"/>
        <w:spacing w:after="80"/>
      </w:pPr>
      <w:r>
        <w:t>Values are median [interquartile range] after transformation with the standalone model's development scaler. Rev., Revolution CT/1.25-mm joint exposure. Descriptive patterns varied by feature and diagnosis; these summaries were not used for feature selection or model modification.</w:t>
      </w:r>
    </w:p>
    <w:p w14:paraId="3150A720">
      <w:pPr>
        <w:pStyle w:val="168"/>
        <w:keepNext/>
        <w:keepLines/>
        <w:spacing w:before="160" w:after="60"/>
      </w:pPr>
      <w:r>
        <w:rPr>
          <w:rFonts w:ascii="Times New Roman" w:hAnsi="Times New Roman"/>
          <w:b/>
          <w:sz w:val="20"/>
        </w:rPr>
        <w:t>Table S6. Reproducibility and selection stability of the eight full-development radiomic features</w:t>
      </w:r>
    </w:p>
    <w:tbl>
      <w:tblPr>
        <w:tblStyle w:val="33"/>
        <w:tblW w:w="0" w:type="auto"/>
        <w:jc w:val="center"/>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843"/>
        <w:gridCol w:w="1843"/>
        <w:gridCol w:w="1843"/>
        <w:gridCol w:w="1843"/>
        <w:gridCol w:w="1843"/>
      </w:tblGrid>
      <w:tr w14:paraId="6858244E">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tblHeader w:val="true"/>
          <w:jc w:val="center"/>
        </w:trPr>
        <w:tc>
          <w:tcPr>
            <w:tcW w:w="3744" w:type="dxa"/>
            <w:tcBorders>
              <w:top w:val="single" w:color="000000" w:sz="12" w:space="0"/>
              <w:left w:val="nil"/>
              <w:bottom w:val="single" w:color="000000" w:sz="6" w:space="0"/>
              <w:right w:val="nil"/>
            </w:tcBorders>
            <w:shd w:val="clear" w:color="auto" w:fill="D9EAF3"/>
            <w:tcMar>
              <w:top w:w="50" w:type="dxa"/>
              <w:left w:w="60" w:type="dxa"/>
              <w:bottom w:w="50" w:type="dxa"/>
              <w:right w:w="60" w:type="dxa"/>
            </w:tcMar>
            <w:vAlign w:val="center"/>
          </w:tcPr>
          <w:p w14:paraId="3786E184">
            <w:pPr>
              <w:spacing w:before="0" w:after="0" w:line="240" w:lineRule="auto"/>
              <w:jc w:val="center"/>
            </w:pPr>
            <w:r>
              <w:rPr>
                <w:rFonts w:ascii="Arial" w:hAnsi="Arial" w:eastAsia="Times New Roman"/>
                <w:b/>
                <w:sz w:val="15"/>
              </w:rPr>
              <w:t>Feature</w:t>
            </w:r>
          </w:p>
        </w:tc>
        <w:tc>
          <w:tcPr>
            <w:tcW w:w="1584" w:type="dxa"/>
            <w:tcBorders>
              <w:top w:val="single" w:color="000000" w:sz="12" w:space="0"/>
              <w:left w:val="nil"/>
              <w:bottom w:val="single" w:color="000000" w:sz="6" w:space="0"/>
              <w:right w:val="nil"/>
            </w:tcBorders>
            <w:shd w:val="clear" w:color="auto" w:fill="D9EAF3"/>
            <w:tcMar>
              <w:top w:w="50" w:type="dxa"/>
              <w:left w:w="60" w:type="dxa"/>
              <w:bottom w:w="50" w:type="dxa"/>
              <w:right w:w="60" w:type="dxa"/>
            </w:tcMar>
            <w:vAlign w:val="center"/>
          </w:tcPr>
          <w:p w14:paraId="655202CB">
            <w:pPr>
              <w:spacing w:before="0" w:after="0" w:line="240" w:lineRule="auto"/>
              <w:jc w:val="center"/>
            </w:pPr>
            <w:r>
              <w:rPr>
                <w:rFonts w:ascii="Arial" w:hAnsi="Arial" w:eastAsia="Times New Roman"/>
                <w:b/>
                <w:sz w:val="15"/>
              </w:rPr>
              <w:t>Intraobserver ICC (95% CI)</w:t>
            </w:r>
          </w:p>
        </w:tc>
        <w:tc>
          <w:tcPr>
            <w:tcW w:w="1584" w:type="dxa"/>
            <w:tcBorders>
              <w:top w:val="single" w:color="000000" w:sz="12" w:space="0"/>
              <w:left w:val="nil"/>
              <w:bottom w:val="single" w:color="000000" w:sz="6" w:space="0"/>
              <w:right w:val="nil"/>
            </w:tcBorders>
            <w:shd w:val="clear" w:color="auto" w:fill="D9EAF3"/>
            <w:tcMar>
              <w:top w:w="50" w:type="dxa"/>
              <w:left w:w="60" w:type="dxa"/>
              <w:bottom w:w="50" w:type="dxa"/>
              <w:right w:w="60" w:type="dxa"/>
            </w:tcMar>
            <w:vAlign w:val="center"/>
          </w:tcPr>
          <w:p w14:paraId="4C940EDF">
            <w:pPr>
              <w:spacing w:before="0" w:after="0" w:line="240" w:lineRule="auto"/>
              <w:jc w:val="center"/>
            </w:pPr>
            <w:r>
              <w:rPr>
                <w:rFonts w:ascii="Arial" w:hAnsi="Arial" w:eastAsia="Times New Roman"/>
                <w:b/>
                <w:sz w:val="15"/>
              </w:rPr>
              <w:t>Interobserver ICC (95% CI)</w:t>
            </w:r>
          </w:p>
        </w:tc>
        <w:tc>
          <w:tcPr>
            <w:tcW w:w="1152" w:type="dxa"/>
            <w:tcBorders>
              <w:top w:val="single" w:color="000000" w:sz="12" w:space="0"/>
              <w:left w:val="nil"/>
              <w:bottom w:val="single" w:color="000000" w:sz="6" w:space="0"/>
              <w:right w:val="nil"/>
            </w:tcBorders>
            <w:shd w:val="clear" w:color="auto" w:fill="D9EAF3"/>
            <w:tcMar>
              <w:top w:w="50" w:type="dxa"/>
              <w:left w:w="60" w:type="dxa"/>
              <w:bottom w:w="50" w:type="dxa"/>
              <w:right w:w="60" w:type="dxa"/>
            </w:tcMar>
            <w:vAlign w:val="center"/>
          </w:tcPr>
          <w:p w14:paraId="31A174D6">
            <w:pPr>
              <w:spacing w:before="0" w:after="0" w:line="240" w:lineRule="auto"/>
              <w:jc w:val="center"/>
            </w:pPr>
            <w:r>
              <w:rPr>
                <w:rFonts w:ascii="Arial" w:hAnsi="Arial" w:eastAsia="Times New Roman"/>
                <w:b/>
                <w:sz w:val="15"/>
              </w:rPr>
              <w:t>Nested final-L1 selection, %</w:t>
            </w:r>
          </w:p>
        </w:tc>
        <w:tc>
          <w:tcPr>
            <w:tcW w:w="1152" w:type="dxa"/>
            <w:tcBorders>
              <w:top w:val="single" w:color="000000" w:sz="12" w:space="0"/>
              <w:left w:val="nil"/>
              <w:bottom w:val="single" w:color="000000" w:sz="6" w:space="0"/>
              <w:right w:val="nil"/>
            </w:tcBorders>
            <w:shd w:val="clear" w:color="auto" w:fill="D9EAF3"/>
            <w:tcMar>
              <w:top w:w="50" w:type="dxa"/>
              <w:left w:w="60" w:type="dxa"/>
              <w:bottom w:w="50" w:type="dxa"/>
              <w:right w:w="60" w:type="dxa"/>
            </w:tcMar>
            <w:vAlign w:val="center"/>
          </w:tcPr>
          <w:p w14:paraId="7E247473">
            <w:pPr>
              <w:spacing w:before="0" w:after="0" w:line="240" w:lineRule="auto"/>
              <w:jc w:val="center"/>
            </w:pPr>
            <w:r>
              <w:rPr>
                <w:rFonts w:ascii="Arial" w:hAnsi="Arial" w:eastAsia="Times New Roman"/>
                <w:b/>
                <w:sz w:val="15"/>
              </w:rPr>
              <w:t>Bootstrap final-L1 selection, %</w:t>
            </w:r>
          </w:p>
        </w:tc>
      </w:tr>
      <w:tr w14:paraId="690721A4">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3744" w:type="dxa"/>
            <w:tcBorders>
              <w:top w:val="nil"/>
              <w:left w:val="nil"/>
              <w:bottom w:val="nil"/>
              <w:right w:val="nil"/>
            </w:tcBorders>
            <w:shd w:val="clear" w:color="auto" w:fill="auto"/>
            <w:tcMar>
              <w:top w:w="50" w:type="dxa"/>
              <w:left w:w="60" w:type="dxa"/>
              <w:bottom w:w="50" w:type="dxa"/>
              <w:right w:w="60" w:type="dxa"/>
            </w:tcMar>
            <w:vAlign w:val="center"/>
          </w:tcPr>
          <w:p w14:paraId="5D92C3B0">
            <w:pPr>
              <w:spacing w:before="0" w:after="0" w:line="240" w:lineRule="auto"/>
              <w:jc w:val="left"/>
            </w:pPr>
            <w:r>
              <w:rPr>
                <w:rFonts w:ascii="Arial" w:hAnsi="Arial" w:eastAsia="Times New Roman"/>
                <w:b w:val="0"/>
                <w:sz w:val="15"/>
              </w:rPr>
              <w:t>wavelet-LHH_</w:t>
            </w:r>
            <w:r>
              <w:rPr>
                <w:rFonts w:ascii="Arial" w:hAnsi="Arial" w:eastAsia="Times New Roman"/>
                <w:b w:val="0"/>
                <w:sz w:val="15"/>
              </w:rPr>
              <w:br w:type="textWrapping"/>
            </w:r>
            <w:r>
              <w:rPr>
                <w:rFonts w:ascii="Arial" w:hAnsi="Arial" w:eastAsia="Times New Roman"/>
                <w:b w:val="0"/>
                <w:sz w:val="15"/>
              </w:rPr>
              <w:t>glcm_Correlation</w:t>
            </w:r>
          </w:p>
        </w:tc>
        <w:tc>
          <w:tcPr>
            <w:tcW w:w="1584" w:type="dxa"/>
            <w:tcBorders>
              <w:top w:val="nil"/>
              <w:left w:val="nil"/>
              <w:bottom w:val="nil"/>
              <w:right w:val="nil"/>
            </w:tcBorders>
            <w:shd w:val="clear" w:color="auto" w:fill="auto"/>
            <w:tcMar>
              <w:top w:w="50" w:type="dxa"/>
              <w:left w:w="60" w:type="dxa"/>
              <w:bottom w:w="50" w:type="dxa"/>
              <w:right w:w="60" w:type="dxa"/>
            </w:tcMar>
            <w:vAlign w:val="center"/>
          </w:tcPr>
          <w:p w14:paraId="26C22263">
            <w:pPr>
              <w:spacing w:before="0" w:after="0" w:line="240" w:lineRule="auto"/>
              <w:jc w:val="center"/>
            </w:pPr>
            <w:r>
              <w:rPr>
                <w:rFonts w:ascii="Arial" w:hAnsi="Arial" w:eastAsia="Times New Roman"/>
                <w:b w:val="0"/>
                <w:sz w:val="15"/>
              </w:rPr>
              <w:t>0.879 (0.764-0.940)</w:t>
            </w:r>
          </w:p>
        </w:tc>
        <w:tc>
          <w:tcPr>
            <w:tcW w:w="1584" w:type="dxa"/>
            <w:tcBorders>
              <w:top w:val="nil"/>
              <w:left w:val="nil"/>
              <w:bottom w:val="nil"/>
              <w:right w:val="nil"/>
            </w:tcBorders>
            <w:shd w:val="clear" w:color="auto" w:fill="auto"/>
            <w:tcMar>
              <w:top w:w="50" w:type="dxa"/>
              <w:left w:w="60" w:type="dxa"/>
              <w:bottom w:w="50" w:type="dxa"/>
              <w:right w:w="60" w:type="dxa"/>
            </w:tcMar>
            <w:vAlign w:val="center"/>
          </w:tcPr>
          <w:p w14:paraId="01467726">
            <w:pPr>
              <w:spacing w:before="0" w:after="0" w:line="240" w:lineRule="auto"/>
              <w:jc w:val="center"/>
            </w:pPr>
            <w:r>
              <w:rPr>
                <w:rFonts w:ascii="Arial" w:hAnsi="Arial" w:eastAsia="Times New Roman"/>
                <w:b w:val="0"/>
                <w:sz w:val="15"/>
              </w:rPr>
              <w:t>0.999 (0.998-1.000)</w:t>
            </w:r>
          </w:p>
        </w:tc>
        <w:tc>
          <w:tcPr>
            <w:tcW w:w="1152" w:type="dxa"/>
            <w:tcBorders>
              <w:top w:val="nil"/>
              <w:left w:val="nil"/>
              <w:bottom w:val="nil"/>
              <w:right w:val="nil"/>
            </w:tcBorders>
            <w:shd w:val="clear" w:color="auto" w:fill="auto"/>
            <w:tcMar>
              <w:top w:w="50" w:type="dxa"/>
              <w:left w:w="60" w:type="dxa"/>
              <w:bottom w:w="50" w:type="dxa"/>
              <w:right w:w="60" w:type="dxa"/>
            </w:tcMar>
            <w:vAlign w:val="center"/>
          </w:tcPr>
          <w:p w14:paraId="29416E34">
            <w:pPr>
              <w:spacing w:before="0" w:after="0" w:line="240" w:lineRule="auto"/>
              <w:jc w:val="center"/>
            </w:pPr>
            <w:r>
              <w:rPr>
                <w:rFonts w:ascii="Arial" w:hAnsi="Arial" w:eastAsia="Times New Roman"/>
                <w:b w:val="0"/>
                <w:sz w:val="15"/>
              </w:rPr>
              <w:t>100.0</w:t>
            </w:r>
          </w:p>
        </w:tc>
        <w:tc>
          <w:tcPr>
            <w:tcW w:w="1152" w:type="dxa"/>
            <w:tcBorders>
              <w:top w:val="nil"/>
              <w:left w:val="nil"/>
              <w:bottom w:val="nil"/>
              <w:right w:val="nil"/>
            </w:tcBorders>
            <w:shd w:val="clear" w:color="auto" w:fill="auto"/>
            <w:tcMar>
              <w:top w:w="50" w:type="dxa"/>
              <w:left w:w="60" w:type="dxa"/>
              <w:bottom w:w="50" w:type="dxa"/>
              <w:right w:w="60" w:type="dxa"/>
            </w:tcMar>
            <w:vAlign w:val="center"/>
          </w:tcPr>
          <w:p w14:paraId="150BCA6A">
            <w:pPr>
              <w:spacing w:before="0" w:after="0" w:line="240" w:lineRule="auto"/>
              <w:jc w:val="center"/>
            </w:pPr>
            <w:r>
              <w:rPr>
                <w:rFonts w:ascii="Arial" w:hAnsi="Arial" w:eastAsia="Times New Roman"/>
                <w:b w:val="0"/>
                <w:sz w:val="15"/>
              </w:rPr>
              <w:t>93.5</w:t>
            </w:r>
          </w:p>
        </w:tc>
      </w:tr>
      <w:tr w14:paraId="22851D81">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3744" w:type="dxa"/>
            <w:tcBorders>
              <w:top w:val="nil"/>
              <w:left w:val="nil"/>
              <w:bottom w:val="nil"/>
              <w:right w:val="nil"/>
            </w:tcBorders>
            <w:shd w:val="clear" w:color="auto" w:fill="auto"/>
            <w:tcMar>
              <w:top w:w="50" w:type="dxa"/>
              <w:left w:w="60" w:type="dxa"/>
              <w:bottom w:w="50" w:type="dxa"/>
              <w:right w:w="60" w:type="dxa"/>
            </w:tcMar>
            <w:vAlign w:val="center"/>
          </w:tcPr>
          <w:p w14:paraId="17D22354">
            <w:pPr>
              <w:spacing w:before="0" w:after="0" w:line="240" w:lineRule="auto"/>
              <w:jc w:val="left"/>
            </w:pPr>
            <w:r>
              <w:rPr>
                <w:rFonts w:ascii="Arial" w:hAnsi="Arial" w:eastAsia="Times New Roman"/>
                <w:b w:val="0"/>
                <w:sz w:val="15"/>
              </w:rPr>
              <w:t>wavelet-HHH_</w:t>
            </w:r>
            <w:r>
              <w:rPr>
                <w:rFonts w:ascii="Arial" w:hAnsi="Arial" w:eastAsia="Times New Roman"/>
                <w:b w:val="0"/>
                <w:sz w:val="15"/>
              </w:rPr>
              <w:br w:type="textWrapping"/>
            </w:r>
            <w:r>
              <w:rPr>
                <w:rFonts w:ascii="Arial" w:hAnsi="Arial" w:eastAsia="Times New Roman"/>
                <w:b w:val="0"/>
                <w:sz w:val="15"/>
              </w:rPr>
              <w:t>glcm_ClusterShade</w:t>
            </w:r>
          </w:p>
        </w:tc>
        <w:tc>
          <w:tcPr>
            <w:tcW w:w="1584" w:type="dxa"/>
            <w:tcBorders>
              <w:top w:val="nil"/>
              <w:left w:val="nil"/>
              <w:bottom w:val="nil"/>
              <w:right w:val="nil"/>
            </w:tcBorders>
            <w:shd w:val="clear" w:color="auto" w:fill="auto"/>
            <w:tcMar>
              <w:top w:w="50" w:type="dxa"/>
              <w:left w:w="60" w:type="dxa"/>
              <w:bottom w:w="50" w:type="dxa"/>
              <w:right w:w="60" w:type="dxa"/>
            </w:tcMar>
            <w:vAlign w:val="center"/>
          </w:tcPr>
          <w:p w14:paraId="5059635D">
            <w:pPr>
              <w:spacing w:before="0" w:after="0" w:line="240" w:lineRule="auto"/>
              <w:jc w:val="center"/>
            </w:pPr>
            <w:r>
              <w:rPr>
                <w:rFonts w:ascii="Arial" w:hAnsi="Arial" w:eastAsia="Times New Roman"/>
                <w:b w:val="0"/>
                <w:sz w:val="15"/>
              </w:rPr>
              <w:t>0.997 (0.994-0.999)</w:t>
            </w:r>
          </w:p>
        </w:tc>
        <w:tc>
          <w:tcPr>
            <w:tcW w:w="1584" w:type="dxa"/>
            <w:tcBorders>
              <w:top w:val="nil"/>
              <w:left w:val="nil"/>
              <w:bottom w:val="nil"/>
              <w:right w:val="nil"/>
            </w:tcBorders>
            <w:shd w:val="clear" w:color="auto" w:fill="auto"/>
            <w:tcMar>
              <w:top w:w="50" w:type="dxa"/>
              <w:left w:w="60" w:type="dxa"/>
              <w:bottom w:w="50" w:type="dxa"/>
              <w:right w:w="60" w:type="dxa"/>
            </w:tcMar>
            <w:vAlign w:val="center"/>
          </w:tcPr>
          <w:p w14:paraId="44579CCC">
            <w:pPr>
              <w:spacing w:before="0" w:after="0" w:line="240" w:lineRule="auto"/>
              <w:jc w:val="center"/>
            </w:pPr>
            <w:r>
              <w:rPr>
                <w:rFonts w:ascii="Arial" w:hAnsi="Arial" w:eastAsia="Times New Roman"/>
                <w:b w:val="0"/>
                <w:sz w:val="15"/>
              </w:rPr>
              <w:t>0.956 (0.911-0.979)</w:t>
            </w:r>
          </w:p>
        </w:tc>
        <w:tc>
          <w:tcPr>
            <w:tcW w:w="1152" w:type="dxa"/>
            <w:tcBorders>
              <w:top w:val="nil"/>
              <w:left w:val="nil"/>
              <w:bottom w:val="nil"/>
              <w:right w:val="nil"/>
            </w:tcBorders>
            <w:shd w:val="clear" w:color="auto" w:fill="auto"/>
            <w:tcMar>
              <w:top w:w="50" w:type="dxa"/>
              <w:left w:w="60" w:type="dxa"/>
              <w:bottom w:w="50" w:type="dxa"/>
              <w:right w:w="60" w:type="dxa"/>
            </w:tcMar>
            <w:vAlign w:val="center"/>
          </w:tcPr>
          <w:p w14:paraId="6E418F56">
            <w:pPr>
              <w:spacing w:before="0" w:after="0" w:line="240" w:lineRule="auto"/>
              <w:jc w:val="center"/>
            </w:pPr>
            <w:r>
              <w:rPr>
                <w:rFonts w:ascii="Arial" w:hAnsi="Arial" w:eastAsia="Times New Roman"/>
                <w:b w:val="0"/>
                <w:sz w:val="15"/>
              </w:rPr>
              <w:t>36.0</w:t>
            </w:r>
          </w:p>
        </w:tc>
        <w:tc>
          <w:tcPr>
            <w:tcW w:w="1152" w:type="dxa"/>
            <w:tcBorders>
              <w:top w:val="nil"/>
              <w:left w:val="nil"/>
              <w:bottom w:val="nil"/>
              <w:right w:val="nil"/>
            </w:tcBorders>
            <w:shd w:val="clear" w:color="auto" w:fill="auto"/>
            <w:tcMar>
              <w:top w:w="50" w:type="dxa"/>
              <w:left w:w="60" w:type="dxa"/>
              <w:bottom w:w="50" w:type="dxa"/>
              <w:right w:w="60" w:type="dxa"/>
            </w:tcMar>
            <w:vAlign w:val="center"/>
          </w:tcPr>
          <w:p w14:paraId="50D2E38E">
            <w:pPr>
              <w:spacing w:before="0" w:after="0" w:line="240" w:lineRule="auto"/>
              <w:jc w:val="center"/>
            </w:pPr>
            <w:r>
              <w:rPr>
                <w:rFonts w:ascii="Arial" w:hAnsi="Arial" w:eastAsia="Times New Roman"/>
                <w:b w:val="0"/>
                <w:sz w:val="15"/>
              </w:rPr>
              <w:t>31.4</w:t>
            </w:r>
          </w:p>
        </w:tc>
      </w:tr>
      <w:tr w14:paraId="2F53C32F">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3744" w:type="dxa"/>
            <w:tcBorders>
              <w:top w:val="nil"/>
              <w:left w:val="nil"/>
              <w:bottom w:val="nil"/>
              <w:right w:val="nil"/>
            </w:tcBorders>
            <w:shd w:val="clear" w:color="auto" w:fill="auto"/>
            <w:tcMar>
              <w:top w:w="50" w:type="dxa"/>
              <w:left w:w="60" w:type="dxa"/>
              <w:bottom w:w="50" w:type="dxa"/>
              <w:right w:w="60" w:type="dxa"/>
            </w:tcMar>
            <w:vAlign w:val="center"/>
          </w:tcPr>
          <w:p w14:paraId="39DBB646">
            <w:pPr>
              <w:spacing w:before="0" w:after="0" w:line="240" w:lineRule="auto"/>
              <w:jc w:val="left"/>
            </w:pPr>
            <w:r>
              <w:rPr>
                <w:rFonts w:ascii="Arial" w:hAnsi="Arial" w:eastAsia="Times New Roman"/>
                <w:b w:val="0"/>
                <w:sz w:val="15"/>
              </w:rPr>
              <w:t>wavelet-HHL_</w:t>
            </w:r>
            <w:r>
              <w:rPr>
                <w:rFonts w:ascii="Arial" w:hAnsi="Arial" w:eastAsia="Times New Roman"/>
                <w:b w:val="0"/>
                <w:sz w:val="15"/>
              </w:rPr>
              <w:br w:type="textWrapping"/>
            </w:r>
            <w:r>
              <w:rPr>
                <w:rFonts w:ascii="Arial" w:hAnsi="Arial" w:eastAsia="Times New Roman"/>
                <w:b w:val="0"/>
                <w:sz w:val="15"/>
              </w:rPr>
              <w:t>glcm_MCC</w:t>
            </w:r>
          </w:p>
        </w:tc>
        <w:tc>
          <w:tcPr>
            <w:tcW w:w="1584" w:type="dxa"/>
            <w:tcBorders>
              <w:top w:val="nil"/>
              <w:left w:val="nil"/>
              <w:bottom w:val="nil"/>
              <w:right w:val="nil"/>
            </w:tcBorders>
            <w:shd w:val="clear" w:color="auto" w:fill="auto"/>
            <w:tcMar>
              <w:top w:w="50" w:type="dxa"/>
              <w:left w:w="60" w:type="dxa"/>
              <w:bottom w:w="50" w:type="dxa"/>
              <w:right w:w="60" w:type="dxa"/>
            </w:tcMar>
            <w:vAlign w:val="center"/>
          </w:tcPr>
          <w:p w14:paraId="75D852EC">
            <w:pPr>
              <w:spacing w:before="0" w:after="0" w:line="240" w:lineRule="auto"/>
              <w:jc w:val="center"/>
            </w:pPr>
            <w:r>
              <w:rPr>
                <w:rFonts w:ascii="Arial" w:hAnsi="Arial" w:eastAsia="Times New Roman"/>
                <w:b w:val="0"/>
                <w:sz w:val="15"/>
              </w:rPr>
              <w:t>0.973 (0.941-0.987)</w:t>
            </w:r>
          </w:p>
        </w:tc>
        <w:tc>
          <w:tcPr>
            <w:tcW w:w="1584" w:type="dxa"/>
            <w:tcBorders>
              <w:top w:val="nil"/>
              <w:left w:val="nil"/>
              <w:bottom w:val="nil"/>
              <w:right w:val="nil"/>
            </w:tcBorders>
            <w:shd w:val="clear" w:color="auto" w:fill="auto"/>
            <w:tcMar>
              <w:top w:w="50" w:type="dxa"/>
              <w:left w:w="60" w:type="dxa"/>
              <w:bottom w:w="50" w:type="dxa"/>
              <w:right w:w="60" w:type="dxa"/>
            </w:tcMar>
            <w:vAlign w:val="center"/>
          </w:tcPr>
          <w:p w14:paraId="6C761CD7">
            <w:pPr>
              <w:spacing w:before="0" w:after="0" w:line="240" w:lineRule="auto"/>
              <w:jc w:val="center"/>
            </w:pPr>
            <w:r>
              <w:rPr>
                <w:rFonts w:ascii="Arial" w:hAnsi="Arial" w:eastAsia="Times New Roman"/>
                <w:b w:val="0"/>
                <w:sz w:val="15"/>
              </w:rPr>
              <w:t>0.968 (0.931-0.985)</w:t>
            </w:r>
          </w:p>
        </w:tc>
        <w:tc>
          <w:tcPr>
            <w:tcW w:w="1152" w:type="dxa"/>
            <w:tcBorders>
              <w:top w:val="nil"/>
              <w:left w:val="nil"/>
              <w:bottom w:val="nil"/>
              <w:right w:val="nil"/>
            </w:tcBorders>
            <w:shd w:val="clear" w:color="auto" w:fill="auto"/>
            <w:tcMar>
              <w:top w:w="50" w:type="dxa"/>
              <w:left w:w="60" w:type="dxa"/>
              <w:bottom w:w="50" w:type="dxa"/>
              <w:right w:w="60" w:type="dxa"/>
            </w:tcMar>
            <w:vAlign w:val="center"/>
          </w:tcPr>
          <w:p w14:paraId="78B512BC">
            <w:pPr>
              <w:spacing w:before="0" w:after="0" w:line="240" w:lineRule="auto"/>
              <w:jc w:val="center"/>
            </w:pPr>
            <w:r>
              <w:rPr>
                <w:rFonts w:ascii="Arial" w:hAnsi="Arial" w:eastAsia="Times New Roman"/>
                <w:b w:val="0"/>
                <w:sz w:val="15"/>
              </w:rPr>
              <w:t>100.0</w:t>
            </w:r>
          </w:p>
        </w:tc>
        <w:tc>
          <w:tcPr>
            <w:tcW w:w="1152" w:type="dxa"/>
            <w:tcBorders>
              <w:top w:val="nil"/>
              <w:left w:val="nil"/>
              <w:bottom w:val="nil"/>
              <w:right w:val="nil"/>
            </w:tcBorders>
            <w:shd w:val="clear" w:color="auto" w:fill="auto"/>
            <w:tcMar>
              <w:top w:w="50" w:type="dxa"/>
              <w:left w:w="60" w:type="dxa"/>
              <w:bottom w:w="50" w:type="dxa"/>
              <w:right w:w="60" w:type="dxa"/>
            </w:tcMar>
            <w:vAlign w:val="center"/>
          </w:tcPr>
          <w:p w14:paraId="3D6737DA">
            <w:pPr>
              <w:spacing w:before="0" w:after="0" w:line="240" w:lineRule="auto"/>
              <w:jc w:val="center"/>
            </w:pPr>
            <w:r>
              <w:rPr>
                <w:rFonts w:ascii="Arial" w:hAnsi="Arial" w:eastAsia="Times New Roman"/>
                <w:b w:val="0"/>
                <w:sz w:val="15"/>
              </w:rPr>
              <w:t>75.0</w:t>
            </w:r>
          </w:p>
        </w:tc>
      </w:tr>
      <w:tr w14:paraId="31AF37F9">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3744" w:type="dxa"/>
            <w:tcBorders>
              <w:top w:val="nil"/>
              <w:left w:val="nil"/>
              <w:bottom w:val="nil"/>
              <w:right w:val="nil"/>
            </w:tcBorders>
            <w:shd w:val="clear" w:color="auto" w:fill="auto"/>
            <w:tcMar>
              <w:top w:w="50" w:type="dxa"/>
              <w:left w:w="60" w:type="dxa"/>
              <w:bottom w:w="50" w:type="dxa"/>
              <w:right w:w="60" w:type="dxa"/>
            </w:tcMar>
            <w:vAlign w:val="center"/>
          </w:tcPr>
          <w:p w14:paraId="195599C3">
            <w:pPr>
              <w:spacing w:before="0" w:after="0" w:line="240" w:lineRule="auto"/>
              <w:jc w:val="left"/>
            </w:pPr>
            <w:r>
              <w:rPr>
                <w:rFonts w:ascii="Arial" w:hAnsi="Arial" w:eastAsia="Times New Roman"/>
                <w:b w:val="0"/>
                <w:sz w:val="15"/>
              </w:rPr>
              <w:t>wavelet-HLL_</w:t>
            </w:r>
            <w:r>
              <w:rPr>
                <w:rFonts w:ascii="Arial" w:hAnsi="Arial" w:eastAsia="Times New Roman"/>
                <w:b w:val="0"/>
                <w:sz w:val="15"/>
              </w:rPr>
              <w:br w:type="textWrapping"/>
            </w:r>
            <w:r>
              <w:rPr>
                <w:rFonts w:ascii="Arial" w:hAnsi="Arial" w:eastAsia="Times New Roman"/>
                <w:b w:val="0"/>
                <w:sz w:val="15"/>
              </w:rPr>
              <w:t>glcm_</w:t>
            </w:r>
            <w:r>
              <w:rPr>
                <w:rFonts w:ascii="Arial" w:hAnsi="Arial" w:eastAsia="Times New Roman"/>
                <w:b w:val="0"/>
                <w:sz w:val="15"/>
              </w:rPr>
              <w:br w:type="textWrapping"/>
            </w:r>
            <w:r>
              <w:rPr>
                <w:rFonts w:ascii="Arial" w:hAnsi="Arial" w:eastAsia="Times New Roman"/>
                <w:b w:val="0"/>
                <w:sz w:val="15"/>
              </w:rPr>
              <w:t>DifferenceVariance</w:t>
            </w:r>
          </w:p>
        </w:tc>
        <w:tc>
          <w:tcPr>
            <w:tcW w:w="1584" w:type="dxa"/>
            <w:tcBorders>
              <w:top w:val="nil"/>
              <w:left w:val="nil"/>
              <w:bottom w:val="nil"/>
              <w:right w:val="nil"/>
            </w:tcBorders>
            <w:shd w:val="clear" w:color="auto" w:fill="auto"/>
            <w:tcMar>
              <w:top w:w="50" w:type="dxa"/>
              <w:left w:w="60" w:type="dxa"/>
              <w:bottom w:w="50" w:type="dxa"/>
              <w:right w:w="60" w:type="dxa"/>
            </w:tcMar>
            <w:vAlign w:val="center"/>
          </w:tcPr>
          <w:p w14:paraId="102C87D4">
            <w:pPr>
              <w:spacing w:before="0" w:after="0" w:line="240" w:lineRule="auto"/>
              <w:jc w:val="center"/>
            </w:pPr>
            <w:r>
              <w:rPr>
                <w:rFonts w:ascii="Arial" w:hAnsi="Arial" w:eastAsia="Times New Roman"/>
                <w:b w:val="0"/>
                <w:sz w:val="15"/>
              </w:rPr>
              <w:t>0.932 (0.863-0.967)</w:t>
            </w:r>
          </w:p>
        </w:tc>
        <w:tc>
          <w:tcPr>
            <w:tcW w:w="1584" w:type="dxa"/>
            <w:tcBorders>
              <w:top w:val="nil"/>
              <w:left w:val="nil"/>
              <w:bottom w:val="nil"/>
              <w:right w:val="nil"/>
            </w:tcBorders>
            <w:shd w:val="clear" w:color="auto" w:fill="auto"/>
            <w:tcMar>
              <w:top w:w="50" w:type="dxa"/>
              <w:left w:w="60" w:type="dxa"/>
              <w:bottom w:w="50" w:type="dxa"/>
              <w:right w:w="60" w:type="dxa"/>
            </w:tcMar>
            <w:vAlign w:val="center"/>
          </w:tcPr>
          <w:p w14:paraId="18BC28AA">
            <w:pPr>
              <w:spacing w:before="0" w:after="0" w:line="240" w:lineRule="auto"/>
              <w:jc w:val="center"/>
            </w:pPr>
            <w:r>
              <w:rPr>
                <w:rFonts w:ascii="Arial" w:hAnsi="Arial" w:eastAsia="Times New Roman"/>
                <w:b w:val="0"/>
                <w:sz w:val="15"/>
              </w:rPr>
              <w:t>0.829 (0.653-0.917)</w:t>
            </w:r>
          </w:p>
        </w:tc>
        <w:tc>
          <w:tcPr>
            <w:tcW w:w="1152" w:type="dxa"/>
            <w:tcBorders>
              <w:top w:val="nil"/>
              <w:left w:val="nil"/>
              <w:bottom w:val="nil"/>
              <w:right w:val="nil"/>
            </w:tcBorders>
            <w:shd w:val="clear" w:color="auto" w:fill="auto"/>
            <w:tcMar>
              <w:top w:w="50" w:type="dxa"/>
              <w:left w:w="60" w:type="dxa"/>
              <w:bottom w:w="50" w:type="dxa"/>
              <w:right w:w="60" w:type="dxa"/>
            </w:tcMar>
            <w:vAlign w:val="center"/>
          </w:tcPr>
          <w:p w14:paraId="2AE9CCFA">
            <w:pPr>
              <w:spacing w:before="0" w:after="0" w:line="240" w:lineRule="auto"/>
              <w:jc w:val="center"/>
            </w:pPr>
            <w:r>
              <w:rPr>
                <w:rFonts w:ascii="Arial" w:hAnsi="Arial" w:eastAsia="Times New Roman"/>
                <w:b w:val="0"/>
                <w:sz w:val="15"/>
              </w:rPr>
              <w:t>44.0</w:t>
            </w:r>
          </w:p>
        </w:tc>
        <w:tc>
          <w:tcPr>
            <w:tcW w:w="1152" w:type="dxa"/>
            <w:tcBorders>
              <w:top w:val="nil"/>
              <w:left w:val="nil"/>
              <w:bottom w:val="nil"/>
              <w:right w:val="nil"/>
            </w:tcBorders>
            <w:shd w:val="clear" w:color="auto" w:fill="auto"/>
            <w:tcMar>
              <w:top w:w="50" w:type="dxa"/>
              <w:left w:w="60" w:type="dxa"/>
              <w:bottom w:w="50" w:type="dxa"/>
              <w:right w:w="60" w:type="dxa"/>
            </w:tcMar>
            <w:vAlign w:val="center"/>
          </w:tcPr>
          <w:p w14:paraId="4BF1F320">
            <w:pPr>
              <w:spacing w:before="0" w:after="0" w:line="240" w:lineRule="auto"/>
              <w:jc w:val="center"/>
            </w:pPr>
            <w:r>
              <w:rPr>
                <w:rFonts w:ascii="Arial" w:hAnsi="Arial" w:eastAsia="Times New Roman"/>
                <w:b w:val="0"/>
                <w:sz w:val="15"/>
              </w:rPr>
              <w:t>22.7</w:t>
            </w:r>
          </w:p>
        </w:tc>
      </w:tr>
      <w:tr w14:paraId="1FE4A447">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3744" w:type="dxa"/>
            <w:tcBorders>
              <w:top w:val="nil"/>
              <w:left w:val="nil"/>
              <w:bottom w:val="nil"/>
              <w:right w:val="nil"/>
            </w:tcBorders>
            <w:shd w:val="clear" w:color="auto" w:fill="auto"/>
            <w:tcMar>
              <w:top w:w="50" w:type="dxa"/>
              <w:left w:w="60" w:type="dxa"/>
              <w:bottom w:w="50" w:type="dxa"/>
              <w:right w:w="60" w:type="dxa"/>
            </w:tcMar>
            <w:vAlign w:val="center"/>
          </w:tcPr>
          <w:p w14:paraId="2525DBBE">
            <w:pPr>
              <w:spacing w:before="0" w:after="0" w:line="240" w:lineRule="auto"/>
              <w:jc w:val="left"/>
            </w:pPr>
            <w:r>
              <w:rPr>
                <w:rFonts w:ascii="Arial" w:hAnsi="Arial" w:eastAsia="Times New Roman"/>
                <w:b w:val="0"/>
                <w:sz w:val="15"/>
              </w:rPr>
              <w:t>wavelet-LHL_</w:t>
            </w:r>
            <w:r>
              <w:rPr>
                <w:rFonts w:ascii="Arial" w:hAnsi="Arial" w:eastAsia="Times New Roman"/>
                <w:b w:val="0"/>
                <w:sz w:val="15"/>
              </w:rPr>
              <w:br w:type="textWrapping"/>
            </w:r>
            <w:r>
              <w:rPr>
                <w:rFonts w:ascii="Arial" w:hAnsi="Arial" w:eastAsia="Times New Roman"/>
                <w:b w:val="0"/>
                <w:sz w:val="15"/>
              </w:rPr>
              <w:t>glcm_</w:t>
            </w:r>
            <w:r>
              <w:rPr>
                <w:rFonts w:ascii="Arial" w:hAnsi="Arial" w:eastAsia="Times New Roman"/>
                <w:b w:val="0"/>
                <w:sz w:val="15"/>
              </w:rPr>
              <w:br w:type="textWrapping"/>
            </w:r>
            <w:r>
              <w:rPr>
                <w:rFonts w:ascii="Arial" w:hAnsi="Arial" w:eastAsia="Times New Roman"/>
                <w:b w:val="0"/>
                <w:sz w:val="15"/>
              </w:rPr>
              <w:t>DifferenceVariance</w:t>
            </w:r>
          </w:p>
        </w:tc>
        <w:tc>
          <w:tcPr>
            <w:tcW w:w="1584" w:type="dxa"/>
            <w:tcBorders>
              <w:top w:val="nil"/>
              <w:left w:val="nil"/>
              <w:bottom w:val="nil"/>
              <w:right w:val="nil"/>
            </w:tcBorders>
            <w:shd w:val="clear" w:color="auto" w:fill="auto"/>
            <w:tcMar>
              <w:top w:w="50" w:type="dxa"/>
              <w:left w:w="60" w:type="dxa"/>
              <w:bottom w:w="50" w:type="dxa"/>
              <w:right w:w="60" w:type="dxa"/>
            </w:tcMar>
            <w:vAlign w:val="center"/>
          </w:tcPr>
          <w:p w14:paraId="28891410">
            <w:pPr>
              <w:spacing w:before="0" w:after="0" w:line="240" w:lineRule="auto"/>
              <w:jc w:val="center"/>
            </w:pPr>
            <w:r>
              <w:rPr>
                <w:rFonts w:ascii="Arial" w:hAnsi="Arial" w:eastAsia="Times New Roman"/>
                <w:b w:val="0"/>
                <w:sz w:val="15"/>
              </w:rPr>
              <w:t>0.922 (0.795-0.966)</w:t>
            </w:r>
          </w:p>
        </w:tc>
        <w:tc>
          <w:tcPr>
            <w:tcW w:w="1584" w:type="dxa"/>
            <w:tcBorders>
              <w:top w:val="nil"/>
              <w:left w:val="nil"/>
              <w:bottom w:val="nil"/>
              <w:right w:val="nil"/>
            </w:tcBorders>
            <w:shd w:val="clear" w:color="auto" w:fill="auto"/>
            <w:tcMar>
              <w:top w:w="50" w:type="dxa"/>
              <w:left w:w="60" w:type="dxa"/>
              <w:bottom w:w="50" w:type="dxa"/>
              <w:right w:w="60" w:type="dxa"/>
            </w:tcMar>
            <w:vAlign w:val="center"/>
          </w:tcPr>
          <w:p w14:paraId="55FA1216">
            <w:pPr>
              <w:spacing w:before="0" w:after="0" w:line="240" w:lineRule="auto"/>
              <w:jc w:val="center"/>
            </w:pPr>
            <w:r>
              <w:rPr>
                <w:rFonts w:ascii="Arial" w:hAnsi="Arial" w:eastAsia="Times New Roman"/>
                <w:b w:val="0"/>
                <w:sz w:val="15"/>
              </w:rPr>
              <w:t>0.810 (0.576-0.913)</w:t>
            </w:r>
          </w:p>
        </w:tc>
        <w:tc>
          <w:tcPr>
            <w:tcW w:w="1152" w:type="dxa"/>
            <w:tcBorders>
              <w:top w:val="nil"/>
              <w:left w:val="nil"/>
              <w:bottom w:val="nil"/>
              <w:right w:val="nil"/>
            </w:tcBorders>
            <w:shd w:val="clear" w:color="auto" w:fill="auto"/>
            <w:tcMar>
              <w:top w:w="50" w:type="dxa"/>
              <w:left w:w="60" w:type="dxa"/>
              <w:bottom w:w="50" w:type="dxa"/>
              <w:right w:w="60" w:type="dxa"/>
            </w:tcMar>
            <w:vAlign w:val="center"/>
          </w:tcPr>
          <w:p w14:paraId="48D08322">
            <w:pPr>
              <w:spacing w:before="0" w:after="0" w:line="240" w:lineRule="auto"/>
              <w:jc w:val="center"/>
            </w:pPr>
            <w:r>
              <w:rPr>
                <w:rFonts w:ascii="Arial" w:hAnsi="Arial" w:eastAsia="Times New Roman"/>
                <w:b w:val="0"/>
                <w:sz w:val="15"/>
              </w:rPr>
              <w:t>56.0</w:t>
            </w:r>
          </w:p>
        </w:tc>
        <w:tc>
          <w:tcPr>
            <w:tcW w:w="1152" w:type="dxa"/>
            <w:tcBorders>
              <w:top w:val="nil"/>
              <w:left w:val="nil"/>
              <w:bottom w:val="nil"/>
              <w:right w:val="nil"/>
            </w:tcBorders>
            <w:shd w:val="clear" w:color="auto" w:fill="auto"/>
            <w:tcMar>
              <w:top w:w="50" w:type="dxa"/>
              <w:left w:w="60" w:type="dxa"/>
              <w:bottom w:w="50" w:type="dxa"/>
              <w:right w:w="60" w:type="dxa"/>
            </w:tcMar>
            <w:vAlign w:val="center"/>
          </w:tcPr>
          <w:p w14:paraId="1A07F327">
            <w:pPr>
              <w:spacing w:before="0" w:after="0" w:line="240" w:lineRule="auto"/>
              <w:jc w:val="center"/>
            </w:pPr>
            <w:r>
              <w:rPr>
                <w:rFonts w:ascii="Arial" w:hAnsi="Arial" w:eastAsia="Times New Roman"/>
                <w:b w:val="0"/>
                <w:sz w:val="15"/>
              </w:rPr>
              <w:t>41.0</w:t>
            </w:r>
          </w:p>
        </w:tc>
      </w:tr>
      <w:tr w14:paraId="1EF0350E">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3744" w:type="dxa"/>
            <w:tcBorders>
              <w:top w:val="nil"/>
              <w:left w:val="nil"/>
              <w:bottom w:val="nil"/>
              <w:right w:val="nil"/>
            </w:tcBorders>
            <w:shd w:val="clear" w:color="auto" w:fill="auto"/>
            <w:tcMar>
              <w:top w:w="50" w:type="dxa"/>
              <w:left w:w="60" w:type="dxa"/>
              <w:bottom w:w="50" w:type="dxa"/>
              <w:right w:w="60" w:type="dxa"/>
            </w:tcMar>
            <w:vAlign w:val="center"/>
          </w:tcPr>
          <w:p w14:paraId="34C571C8">
            <w:pPr>
              <w:spacing w:before="0" w:after="0" w:line="240" w:lineRule="auto"/>
              <w:jc w:val="left"/>
            </w:pPr>
            <w:r>
              <w:rPr>
                <w:rFonts w:ascii="Arial" w:hAnsi="Arial" w:eastAsia="Times New Roman"/>
                <w:b w:val="0"/>
                <w:sz w:val="15"/>
              </w:rPr>
              <w:t>wavelet-HLL_</w:t>
            </w:r>
            <w:r>
              <w:rPr>
                <w:rFonts w:ascii="Arial" w:hAnsi="Arial" w:eastAsia="Times New Roman"/>
                <w:b w:val="0"/>
                <w:sz w:val="15"/>
              </w:rPr>
              <w:br w:type="textWrapping"/>
            </w:r>
            <w:r>
              <w:rPr>
                <w:rFonts w:ascii="Arial" w:hAnsi="Arial" w:eastAsia="Times New Roman"/>
                <w:b w:val="0"/>
                <w:sz w:val="15"/>
              </w:rPr>
              <w:t>gldm_LargeDependence</w:t>
            </w:r>
            <w:r>
              <w:rPr>
                <w:rFonts w:ascii="Arial" w:hAnsi="Arial" w:eastAsia="Times New Roman"/>
                <w:b w:val="0"/>
                <w:sz w:val="15"/>
              </w:rPr>
              <w:br w:type="textWrapping"/>
            </w:r>
            <w:r>
              <w:rPr>
                <w:rFonts w:ascii="Arial" w:hAnsi="Arial" w:eastAsia="Times New Roman"/>
                <w:b w:val="0"/>
                <w:sz w:val="15"/>
              </w:rPr>
              <w:t>LowGrayLevelEmphasis</w:t>
            </w:r>
          </w:p>
        </w:tc>
        <w:tc>
          <w:tcPr>
            <w:tcW w:w="1584" w:type="dxa"/>
            <w:tcBorders>
              <w:top w:val="nil"/>
              <w:left w:val="nil"/>
              <w:bottom w:val="nil"/>
              <w:right w:val="nil"/>
            </w:tcBorders>
            <w:shd w:val="clear" w:color="auto" w:fill="auto"/>
            <w:tcMar>
              <w:top w:w="50" w:type="dxa"/>
              <w:left w:w="60" w:type="dxa"/>
              <w:bottom w:w="50" w:type="dxa"/>
              <w:right w:w="60" w:type="dxa"/>
            </w:tcMar>
            <w:vAlign w:val="center"/>
          </w:tcPr>
          <w:p w14:paraId="4B2159D4">
            <w:pPr>
              <w:spacing w:before="0" w:after="0" w:line="240" w:lineRule="auto"/>
              <w:jc w:val="center"/>
            </w:pPr>
            <w:r>
              <w:rPr>
                <w:rFonts w:ascii="Arial" w:hAnsi="Arial" w:eastAsia="Times New Roman"/>
                <w:b w:val="0"/>
                <w:sz w:val="15"/>
              </w:rPr>
              <w:t>0.966 (0.930-0.983)</w:t>
            </w:r>
          </w:p>
        </w:tc>
        <w:tc>
          <w:tcPr>
            <w:tcW w:w="1584" w:type="dxa"/>
            <w:tcBorders>
              <w:top w:val="nil"/>
              <w:left w:val="nil"/>
              <w:bottom w:val="nil"/>
              <w:right w:val="nil"/>
            </w:tcBorders>
            <w:shd w:val="clear" w:color="auto" w:fill="auto"/>
            <w:tcMar>
              <w:top w:w="50" w:type="dxa"/>
              <w:left w:w="60" w:type="dxa"/>
              <w:bottom w:w="50" w:type="dxa"/>
              <w:right w:w="60" w:type="dxa"/>
            </w:tcMar>
            <w:vAlign w:val="center"/>
          </w:tcPr>
          <w:p w14:paraId="0AD4FC36">
            <w:pPr>
              <w:spacing w:before="0" w:after="0" w:line="240" w:lineRule="auto"/>
              <w:jc w:val="center"/>
            </w:pPr>
            <w:r>
              <w:rPr>
                <w:rFonts w:ascii="Arial" w:hAnsi="Arial" w:eastAsia="Times New Roman"/>
                <w:b w:val="0"/>
                <w:sz w:val="15"/>
              </w:rPr>
              <w:t>0.823 (0.635-0.915)</w:t>
            </w:r>
          </w:p>
        </w:tc>
        <w:tc>
          <w:tcPr>
            <w:tcW w:w="1152" w:type="dxa"/>
            <w:tcBorders>
              <w:top w:val="nil"/>
              <w:left w:val="nil"/>
              <w:bottom w:val="nil"/>
              <w:right w:val="nil"/>
            </w:tcBorders>
            <w:shd w:val="clear" w:color="auto" w:fill="auto"/>
            <w:tcMar>
              <w:top w:w="50" w:type="dxa"/>
              <w:left w:w="60" w:type="dxa"/>
              <w:bottom w:w="50" w:type="dxa"/>
              <w:right w:w="60" w:type="dxa"/>
            </w:tcMar>
            <w:vAlign w:val="center"/>
          </w:tcPr>
          <w:p w14:paraId="524B3328">
            <w:pPr>
              <w:spacing w:before="0" w:after="0" w:line="240" w:lineRule="auto"/>
              <w:jc w:val="center"/>
            </w:pPr>
            <w:r>
              <w:rPr>
                <w:rFonts w:ascii="Arial" w:hAnsi="Arial" w:eastAsia="Times New Roman"/>
                <w:b w:val="0"/>
                <w:sz w:val="15"/>
              </w:rPr>
              <w:t>82.0</w:t>
            </w:r>
          </w:p>
        </w:tc>
        <w:tc>
          <w:tcPr>
            <w:tcW w:w="1152" w:type="dxa"/>
            <w:tcBorders>
              <w:top w:val="nil"/>
              <w:left w:val="nil"/>
              <w:bottom w:val="nil"/>
              <w:right w:val="nil"/>
            </w:tcBorders>
            <w:shd w:val="clear" w:color="auto" w:fill="auto"/>
            <w:tcMar>
              <w:top w:w="50" w:type="dxa"/>
              <w:left w:w="60" w:type="dxa"/>
              <w:bottom w:w="50" w:type="dxa"/>
              <w:right w:w="60" w:type="dxa"/>
            </w:tcMar>
            <w:vAlign w:val="center"/>
          </w:tcPr>
          <w:p w14:paraId="10AED15C">
            <w:pPr>
              <w:spacing w:before="0" w:after="0" w:line="240" w:lineRule="auto"/>
              <w:jc w:val="center"/>
            </w:pPr>
            <w:r>
              <w:rPr>
                <w:rFonts w:ascii="Arial" w:hAnsi="Arial" w:eastAsia="Times New Roman"/>
                <w:b w:val="0"/>
                <w:sz w:val="15"/>
              </w:rPr>
              <w:t>55.0</w:t>
            </w:r>
          </w:p>
        </w:tc>
      </w:tr>
      <w:tr w14:paraId="050B1DB9">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3744" w:type="dxa"/>
            <w:tcBorders>
              <w:top w:val="nil"/>
              <w:left w:val="nil"/>
              <w:bottom w:val="nil"/>
              <w:right w:val="nil"/>
            </w:tcBorders>
            <w:shd w:val="clear" w:color="auto" w:fill="auto"/>
            <w:tcMar>
              <w:top w:w="50" w:type="dxa"/>
              <w:left w:w="60" w:type="dxa"/>
              <w:bottom w:w="50" w:type="dxa"/>
              <w:right w:w="60" w:type="dxa"/>
            </w:tcMar>
            <w:vAlign w:val="center"/>
          </w:tcPr>
          <w:p w14:paraId="6519F223">
            <w:pPr>
              <w:spacing w:before="0" w:after="0" w:line="240" w:lineRule="auto"/>
              <w:jc w:val="left"/>
            </w:pPr>
            <w:r>
              <w:rPr>
                <w:rFonts w:ascii="Arial" w:hAnsi="Arial" w:eastAsia="Times New Roman"/>
                <w:b w:val="0"/>
                <w:sz w:val="15"/>
              </w:rPr>
              <w:t>wavelet-LLL_</w:t>
            </w:r>
            <w:r>
              <w:rPr>
                <w:rFonts w:ascii="Arial" w:hAnsi="Arial" w:eastAsia="Times New Roman"/>
                <w:b w:val="0"/>
                <w:sz w:val="15"/>
              </w:rPr>
              <w:br w:type="textWrapping"/>
            </w:r>
            <w:r>
              <w:rPr>
                <w:rFonts w:ascii="Arial" w:hAnsi="Arial" w:eastAsia="Times New Roman"/>
                <w:b w:val="0"/>
                <w:sz w:val="15"/>
              </w:rPr>
              <w:t>ngtdm_Busyness</w:t>
            </w:r>
          </w:p>
        </w:tc>
        <w:tc>
          <w:tcPr>
            <w:tcW w:w="1584" w:type="dxa"/>
            <w:tcBorders>
              <w:top w:val="nil"/>
              <w:left w:val="nil"/>
              <w:bottom w:val="nil"/>
              <w:right w:val="nil"/>
            </w:tcBorders>
            <w:shd w:val="clear" w:color="auto" w:fill="auto"/>
            <w:tcMar>
              <w:top w:w="50" w:type="dxa"/>
              <w:left w:w="60" w:type="dxa"/>
              <w:bottom w:w="50" w:type="dxa"/>
              <w:right w:w="60" w:type="dxa"/>
            </w:tcMar>
            <w:vAlign w:val="center"/>
          </w:tcPr>
          <w:p w14:paraId="5F518728">
            <w:pPr>
              <w:spacing w:before="0" w:after="0" w:line="240" w:lineRule="auto"/>
              <w:jc w:val="center"/>
            </w:pPr>
            <w:r>
              <w:rPr>
                <w:rFonts w:ascii="Arial" w:hAnsi="Arial" w:eastAsia="Times New Roman"/>
                <w:b w:val="0"/>
                <w:sz w:val="15"/>
              </w:rPr>
              <w:t>0.976 (0.951-0.989)</w:t>
            </w:r>
          </w:p>
        </w:tc>
        <w:tc>
          <w:tcPr>
            <w:tcW w:w="1584" w:type="dxa"/>
            <w:tcBorders>
              <w:top w:val="nil"/>
              <w:left w:val="nil"/>
              <w:bottom w:val="nil"/>
              <w:right w:val="nil"/>
            </w:tcBorders>
            <w:shd w:val="clear" w:color="auto" w:fill="auto"/>
            <w:tcMar>
              <w:top w:w="50" w:type="dxa"/>
              <w:left w:w="60" w:type="dxa"/>
              <w:bottom w:w="50" w:type="dxa"/>
              <w:right w:w="60" w:type="dxa"/>
            </w:tcMar>
            <w:vAlign w:val="center"/>
          </w:tcPr>
          <w:p w14:paraId="25C4EE9B">
            <w:pPr>
              <w:spacing w:before="0" w:after="0" w:line="240" w:lineRule="auto"/>
              <w:jc w:val="center"/>
            </w:pPr>
            <w:r>
              <w:rPr>
                <w:rFonts w:ascii="Arial" w:hAnsi="Arial" w:eastAsia="Times New Roman"/>
                <w:b w:val="0"/>
                <w:sz w:val="15"/>
              </w:rPr>
              <w:t>0.944 (0.887-0.973)</w:t>
            </w:r>
          </w:p>
        </w:tc>
        <w:tc>
          <w:tcPr>
            <w:tcW w:w="1152" w:type="dxa"/>
            <w:tcBorders>
              <w:top w:val="nil"/>
              <w:left w:val="nil"/>
              <w:bottom w:val="nil"/>
              <w:right w:val="nil"/>
            </w:tcBorders>
            <w:shd w:val="clear" w:color="auto" w:fill="auto"/>
            <w:tcMar>
              <w:top w:w="50" w:type="dxa"/>
              <w:left w:w="60" w:type="dxa"/>
              <w:bottom w:w="50" w:type="dxa"/>
              <w:right w:w="60" w:type="dxa"/>
            </w:tcMar>
            <w:vAlign w:val="center"/>
          </w:tcPr>
          <w:p w14:paraId="1D711B12">
            <w:pPr>
              <w:spacing w:before="0" w:after="0" w:line="240" w:lineRule="auto"/>
              <w:jc w:val="center"/>
            </w:pPr>
            <w:r>
              <w:rPr>
                <w:rFonts w:ascii="Arial" w:hAnsi="Arial" w:eastAsia="Times New Roman"/>
                <w:b w:val="0"/>
                <w:sz w:val="15"/>
              </w:rPr>
              <w:t>36.0</w:t>
            </w:r>
          </w:p>
        </w:tc>
        <w:tc>
          <w:tcPr>
            <w:tcW w:w="1152" w:type="dxa"/>
            <w:tcBorders>
              <w:top w:val="nil"/>
              <w:left w:val="nil"/>
              <w:bottom w:val="nil"/>
              <w:right w:val="nil"/>
            </w:tcBorders>
            <w:shd w:val="clear" w:color="auto" w:fill="auto"/>
            <w:tcMar>
              <w:top w:w="50" w:type="dxa"/>
              <w:left w:w="60" w:type="dxa"/>
              <w:bottom w:w="50" w:type="dxa"/>
              <w:right w:w="60" w:type="dxa"/>
            </w:tcMar>
            <w:vAlign w:val="center"/>
          </w:tcPr>
          <w:p w14:paraId="1C2757C0">
            <w:pPr>
              <w:spacing w:before="0" w:after="0" w:line="240" w:lineRule="auto"/>
              <w:jc w:val="center"/>
            </w:pPr>
            <w:r>
              <w:rPr>
                <w:rFonts w:ascii="Arial" w:hAnsi="Arial" w:eastAsia="Times New Roman"/>
                <w:b w:val="0"/>
                <w:sz w:val="15"/>
              </w:rPr>
              <w:t>17.3</w:t>
            </w:r>
          </w:p>
        </w:tc>
      </w:tr>
      <w:tr w14:paraId="0651024E">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3744" w:type="dxa"/>
            <w:tcBorders>
              <w:top w:val="nil"/>
              <w:left w:val="nil"/>
              <w:bottom w:val="single" w:color="auto" w:sz="4" w:space="0"/>
              <w:right w:val="nil"/>
            </w:tcBorders>
            <w:shd w:val="clear" w:color="auto" w:fill="auto"/>
            <w:tcMar>
              <w:top w:w="50" w:type="dxa"/>
              <w:left w:w="60" w:type="dxa"/>
              <w:bottom w:w="50" w:type="dxa"/>
              <w:right w:w="60" w:type="dxa"/>
            </w:tcMar>
            <w:vAlign w:val="center"/>
          </w:tcPr>
          <w:p w14:paraId="10E9B181">
            <w:pPr>
              <w:spacing w:before="0" w:after="0" w:line="240" w:lineRule="auto"/>
              <w:jc w:val="left"/>
            </w:pPr>
            <w:r>
              <w:rPr>
                <w:rFonts w:ascii="Arial" w:hAnsi="Arial" w:eastAsia="Times New Roman"/>
                <w:b w:val="0"/>
                <w:sz w:val="15"/>
              </w:rPr>
              <w:t>wavelet-HLH_</w:t>
            </w:r>
            <w:r>
              <w:rPr>
                <w:rFonts w:ascii="Arial" w:hAnsi="Arial" w:eastAsia="Times New Roman"/>
                <w:b w:val="0"/>
                <w:sz w:val="15"/>
              </w:rPr>
              <w:br w:type="textWrapping"/>
            </w:r>
            <w:r>
              <w:rPr>
                <w:rFonts w:ascii="Arial" w:hAnsi="Arial" w:eastAsia="Times New Roman"/>
                <w:b w:val="0"/>
                <w:sz w:val="15"/>
              </w:rPr>
              <w:t>firstorder_Median</w:t>
            </w:r>
          </w:p>
        </w:tc>
        <w:tc>
          <w:tcPr>
            <w:tcW w:w="1584" w:type="dxa"/>
            <w:tcBorders>
              <w:top w:val="nil"/>
              <w:left w:val="nil"/>
              <w:bottom w:val="single" w:color="auto" w:sz="4" w:space="0"/>
              <w:right w:val="nil"/>
            </w:tcBorders>
            <w:shd w:val="clear" w:color="auto" w:fill="auto"/>
            <w:tcMar>
              <w:top w:w="50" w:type="dxa"/>
              <w:left w:w="60" w:type="dxa"/>
              <w:bottom w:w="50" w:type="dxa"/>
              <w:right w:w="60" w:type="dxa"/>
            </w:tcMar>
            <w:vAlign w:val="center"/>
          </w:tcPr>
          <w:p w14:paraId="2E8893CC">
            <w:pPr>
              <w:spacing w:before="0" w:after="0" w:line="240" w:lineRule="auto"/>
              <w:jc w:val="center"/>
            </w:pPr>
            <w:r>
              <w:rPr>
                <w:rFonts w:ascii="Arial" w:hAnsi="Arial" w:eastAsia="Times New Roman"/>
                <w:b w:val="0"/>
                <w:sz w:val="15"/>
              </w:rPr>
              <w:t>0.985 (0.969-0.993)</w:t>
            </w:r>
          </w:p>
        </w:tc>
        <w:tc>
          <w:tcPr>
            <w:tcW w:w="1584" w:type="dxa"/>
            <w:tcBorders>
              <w:top w:val="nil"/>
              <w:left w:val="nil"/>
              <w:bottom w:val="single" w:color="auto" w:sz="4" w:space="0"/>
              <w:right w:val="nil"/>
            </w:tcBorders>
            <w:shd w:val="clear" w:color="auto" w:fill="auto"/>
            <w:tcMar>
              <w:top w:w="50" w:type="dxa"/>
              <w:left w:w="60" w:type="dxa"/>
              <w:bottom w:w="50" w:type="dxa"/>
              <w:right w:w="60" w:type="dxa"/>
            </w:tcMar>
            <w:vAlign w:val="center"/>
          </w:tcPr>
          <w:p w14:paraId="047A13CC">
            <w:pPr>
              <w:spacing w:before="0" w:after="0" w:line="240" w:lineRule="auto"/>
              <w:jc w:val="center"/>
            </w:pPr>
            <w:r>
              <w:rPr>
                <w:rFonts w:ascii="Arial" w:hAnsi="Arial" w:eastAsia="Times New Roman"/>
                <w:b w:val="0"/>
                <w:sz w:val="15"/>
              </w:rPr>
              <w:t>0.969 (0.935-0.985)</w:t>
            </w:r>
          </w:p>
        </w:tc>
        <w:tc>
          <w:tcPr>
            <w:tcW w:w="1152" w:type="dxa"/>
            <w:tcBorders>
              <w:top w:val="nil"/>
              <w:left w:val="nil"/>
              <w:bottom w:val="single" w:color="auto" w:sz="4" w:space="0"/>
              <w:right w:val="nil"/>
            </w:tcBorders>
            <w:shd w:val="clear" w:color="auto" w:fill="auto"/>
            <w:tcMar>
              <w:top w:w="50" w:type="dxa"/>
              <w:left w:w="60" w:type="dxa"/>
              <w:bottom w:w="50" w:type="dxa"/>
              <w:right w:w="60" w:type="dxa"/>
            </w:tcMar>
            <w:vAlign w:val="center"/>
          </w:tcPr>
          <w:p w14:paraId="43C8AF4A">
            <w:pPr>
              <w:spacing w:before="0" w:after="0" w:line="240" w:lineRule="auto"/>
              <w:jc w:val="center"/>
            </w:pPr>
            <w:r>
              <w:rPr>
                <w:rFonts w:ascii="Arial" w:hAnsi="Arial" w:eastAsia="Times New Roman"/>
                <w:b w:val="0"/>
                <w:sz w:val="15"/>
              </w:rPr>
              <w:t>44.0</w:t>
            </w:r>
          </w:p>
        </w:tc>
        <w:tc>
          <w:tcPr>
            <w:tcW w:w="1152" w:type="dxa"/>
            <w:tcBorders>
              <w:top w:val="nil"/>
              <w:left w:val="nil"/>
              <w:bottom w:val="single" w:color="auto" w:sz="4" w:space="0"/>
              <w:right w:val="nil"/>
            </w:tcBorders>
            <w:shd w:val="clear" w:color="auto" w:fill="auto"/>
            <w:tcMar>
              <w:top w:w="50" w:type="dxa"/>
              <w:left w:w="60" w:type="dxa"/>
              <w:bottom w:w="50" w:type="dxa"/>
              <w:right w:w="60" w:type="dxa"/>
            </w:tcMar>
            <w:vAlign w:val="center"/>
          </w:tcPr>
          <w:p w14:paraId="75DB266D">
            <w:pPr>
              <w:spacing w:before="0" w:after="0" w:line="240" w:lineRule="auto"/>
              <w:jc w:val="center"/>
            </w:pPr>
            <w:r>
              <w:rPr>
                <w:rFonts w:ascii="Arial" w:hAnsi="Arial" w:eastAsia="Times New Roman"/>
                <w:b w:val="0"/>
                <w:sz w:val="15"/>
              </w:rPr>
              <w:t>34.8</w:t>
            </w:r>
          </w:p>
        </w:tc>
      </w:tr>
    </w:tbl>
    <w:p w14:paraId="007BF3EA">
      <w:pPr>
        <w:pStyle w:val="166"/>
        <w:spacing w:after="80"/>
      </w:pPr>
      <w:r>
        <w:t>ICCs were recomputed from the stored paired segmentation feature tables using a two-way mixed-effects, absolute-agreement, single-measure model [ICC(A,1)]. The wavelet-LHH_glcm_Correlation values (intraobserver 0.879; interobserver 0.999) were checked and are not transposed. Nested frequencies are across 50 outer folds; bootstrap frequencies are across 1,000 stratified resamples. Mean bootstrap Jaccard index = 0.330.</w:t>
      </w:r>
    </w:p>
    <w:p w14:paraId="59D34637">
      <w:pPr>
        <w:pStyle w:val="168"/>
        <w:keepNext/>
        <w:keepLines/>
        <w:spacing w:before="160" w:after="60"/>
      </w:pPr>
      <w:r>
        <w:rPr>
          <w:rFonts w:ascii="Times New Roman" w:hAnsi="Times New Roman"/>
          <w:b/>
          <w:sz w:val="20"/>
        </w:rPr>
        <w:t>Table S7. Exact frozen standalone radiomics LR specification</w:t>
      </w:r>
    </w:p>
    <w:tbl>
      <w:tblPr>
        <w:tblStyle w:val="33"/>
        <w:tblW w:w="0" w:type="auto"/>
        <w:jc w:val="center"/>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303"/>
        <w:gridCol w:w="2303"/>
        <w:gridCol w:w="2303"/>
        <w:gridCol w:w="2303"/>
      </w:tblGrid>
      <w:tr w14:paraId="07C2E2C8">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tblHeader w:val="true"/>
          <w:jc w:val="center"/>
        </w:trPr>
        <w:tc>
          <w:tcPr>
            <w:tcW w:w="4176" w:type="dxa"/>
            <w:tcBorders>
              <w:top w:val="single" w:color="000000" w:sz="12" w:space="0"/>
              <w:left w:val="nil"/>
              <w:bottom w:val="single" w:color="000000" w:sz="6" w:space="0"/>
              <w:right w:val="nil"/>
            </w:tcBorders>
            <w:shd w:val="clear" w:color="auto" w:fill="D9EAF3"/>
            <w:tcMar>
              <w:top w:w="50" w:type="dxa"/>
              <w:left w:w="60" w:type="dxa"/>
              <w:bottom w:w="50" w:type="dxa"/>
              <w:right w:w="60" w:type="dxa"/>
            </w:tcMar>
            <w:vAlign w:val="center"/>
          </w:tcPr>
          <w:p w14:paraId="5D851891">
            <w:pPr>
              <w:spacing w:before="0" w:after="0" w:line="240" w:lineRule="auto"/>
              <w:jc w:val="center"/>
            </w:pPr>
            <w:r>
              <w:rPr>
                <w:rFonts w:ascii="Arial" w:hAnsi="Arial" w:eastAsia="Times New Roman"/>
                <w:b/>
                <w:sz w:val="15"/>
              </w:rPr>
              <w:t>Term</w:t>
            </w:r>
          </w:p>
        </w:tc>
        <w:tc>
          <w:tcPr>
            <w:tcW w:w="1584" w:type="dxa"/>
            <w:tcBorders>
              <w:top w:val="single" w:color="000000" w:sz="12" w:space="0"/>
              <w:left w:val="nil"/>
              <w:bottom w:val="single" w:color="000000" w:sz="6" w:space="0"/>
              <w:right w:val="nil"/>
            </w:tcBorders>
            <w:shd w:val="clear" w:color="auto" w:fill="D9EAF3"/>
            <w:tcMar>
              <w:top w:w="50" w:type="dxa"/>
              <w:left w:w="60" w:type="dxa"/>
              <w:bottom w:w="50" w:type="dxa"/>
              <w:right w:w="60" w:type="dxa"/>
            </w:tcMar>
            <w:vAlign w:val="center"/>
          </w:tcPr>
          <w:p w14:paraId="488E4409">
            <w:pPr>
              <w:spacing w:before="0" w:after="0" w:line="240" w:lineRule="auto"/>
              <w:jc w:val="center"/>
            </w:pPr>
            <w:r>
              <w:rPr>
                <w:rFonts w:ascii="Arial" w:hAnsi="Arial" w:eastAsia="Times New Roman"/>
                <w:b/>
                <w:sz w:val="15"/>
              </w:rPr>
              <w:t>Scaler mean</w:t>
            </w:r>
          </w:p>
        </w:tc>
        <w:tc>
          <w:tcPr>
            <w:tcW w:w="1584" w:type="dxa"/>
            <w:tcBorders>
              <w:top w:val="single" w:color="000000" w:sz="12" w:space="0"/>
              <w:left w:val="nil"/>
              <w:bottom w:val="single" w:color="000000" w:sz="6" w:space="0"/>
              <w:right w:val="nil"/>
            </w:tcBorders>
            <w:shd w:val="clear" w:color="auto" w:fill="D9EAF3"/>
            <w:tcMar>
              <w:top w:w="50" w:type="dxa"/>
              <w:left w:w="60" w:type="dxa"/>
              <w:bottom w:w="50" w:type="dxa"/>
              <w:right w:w="60" w:type="dxa"/>
            </w:tcMar>
            <w:vAlign w:val="center"/>
          </w:tcPr>
          <w:p w14:paraId="5974E7B2">
            <w:pPr>
              <w:spacing w:before="0" w:after="0" w:line="240" w:lineRule="auto"/>
              <w:jc w:val="center"/>
            </w:pPr>
            <w:r>
              <w:rPr>
                <w:rFonts w:ascii="Arial" w:hAnsi="Arial" w:eastAsia="Times New Roman"/>
                <w:b/>
                <w:sz w:val="15"/>
              </w:rPr>
              <w:t>Scaler scale</w:t>
            </w:r>
          </w:p>
        </w:tc>
        <w:tc>
          <w:tcPr>
            <w:tcW w:w="1872" w:type="dxa"/>
            <w:tcBorders>
              <w:top w:val="single" w:color="000000" w:sz="12" w:space="0"/>
              <w:left w:val="nil"/>
              <w:bottom w:val="single" w:color="000000" w:sz="6" w:space="0"/>
              <w:right w:val="nil"/>
            </w:tcBorders>
            <w:shd w:val="clear" w:color="auto" w:fill="D9EAF3"/>
            <w:tcMar>
              <w:top w:w="50" w:type="dxa"/>
              <w:left w:w="60" w:type="dxa"/>
              <w:bottom w:w="50" w:type="dxa"/>
              <w:right w:w="60" w:type="dxa"/>
            </w:tcMar>
            <w:vAlign w:val="center"/>
          </w:tcPr>
          <w:p w14:paraId="5C7AA8EE">
            <w:pPr>
              <w:spacing w:before="0" w:after="0" w:line="240" w:lineRule="auto"/>
              <w:jc w:val="center"/>
            </w:pPr>
            <w:r>
              <w:rPr>
                <w:rFonts w:ascii="Arial" w:hAnsi="Arial" w:eastAsia="Times New Roman"/>
                <w:b/>
                <w:sz w:val="15"/>
              </w:rPr>
              <w:t>Standardized LR coefficient</w:t>
            </w:r>
          </w:p>
        </w:tc>
      </w:tr>
      <w:tr w14:paraId="3DF35D97">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4176" w:type="dxa"/>
            <w:tcBorders>
              <w:top w:val="nil"/>
              <w:left w:val="nil"/>
              <w:bottom w:val="nil"/>
              <w:right w:val="nil"/>
            </w:tcBorders>
            <w:shd w:val="clear" w:color="auto" w:fill="auto"/>
            <w:tcMar>
              <w:top w:w="50" w:type="dxa"/>
              <w:left w:w="60" w:type="dxa"/>
              <w:bottom w:w="50" w:type="dxa"/>
              <w:right w:w="60" w:type="dxa"/>
            </w:tcMar>
            <w:vAlign w:val="center"/>
          </w:tcPr>
          <w:p w14:paraId="638EADAD">
            <w:pPr>
              <w:spacing w:before="0" w:after="0" w:line="240" w:lineRule="auto"/>
              <w:jc w:val="left"/>
            </w:pPr>
            <w:r>
              <w:rPr>
                <w:rFonts w:ascii="Arial" w:hAnsi="Arial" w:eastAsia="Times New Roman"/>
                <w:b w:val="0"/>
                <w:sz w:val="15"/>
              </w:rPr>
              <w:t>Intercept</w:t>
            </w:r>
          </w:p>
        </w:tc>
        <w:tc>
          <w:tcPr>
            <w:tcW w:w="1584" w:type="dxa"/>
            <w:tcBorders>
              <w:top w:val="nil"/>
              <w:left w:val="nil"/>
              <w:bottom w:val="nil"/>
              <w:right w:val="nil"/>
            </w:tcBorders>
            <w:shd w:val="clear" w:color="auto" w:fill="auto"/>
            <w:tcMar>
              <w:top w:w="50" w:type="dxa"/>
              <w:left w:w="60" w:type="dxa"/>
              <w:bottom w:w="50" w:type="dxa"/>
              <w:right w:w="60" w:type="dxa"/>
            </w:tcMar>
            <w:vAlign w:val="center"/>
          </w:tcPr>
          <w:p w14:paraId="380F59A2">
            <w:pPr>
              <w:spacing w:before="0" w:after="0" w:line="240" w:lineRule="auto"/>
              <w:jc w:val="center"/>
            </w:pPr>
            <w:r>
              <w:rPr>
                <w:rFonts w:ascii="Arial" w:hAnsi="Arial" w:eastAsia="Times New Roman"/>
                <w:b w:val="0"/>
                <w:sz w:val="15"/>
              </w:rPr>
              <w:t>—</w:t>
            </w:r>
          </w:p>
        </w:tc>
        <w:tc>
          <w:tcPr>
            <w:tcW w:w="1584" w:type="dxa"/>
            <w:tcBorders>
              <w:top w:val="nil"/>
              <w:left w:val="nil"/>
              <w:bottom w:val="nil"/>
              <w:right w:val="nil"/>
            </w:tcBorders>
            <w:shd w:val="clear" w:color="auto" w:fill="auto"/>
            <w:tcMar>
              <w:top w:w="50" w:type="dxa"/>
              <w:left w:w="60" w:type="dxa"/>
              <w:bottom w:w="50" w:type="dxa"/>
              <w:right w:w="60" w:type="dxa"/>
            </w:tcMar>
            <w:vAlign w:val="center"/>
          </w:tcPr>
          <w:p w14:paraId="10EDA971">
            <w:pPr>
              <w:spacing w:before="0" w:after="0" w:line="240" w:lineRule="auto"/>
              <w:jc w:val="center"/>
            </w:pPr>
            <w:r>
              <w:rPr>
                <w:rFonts w:ascii="Arial" w:hAnsi="Arial" w:eastAsia="Times New Roman"/>
                <w:b w:val="0"/>
                <w:sz w:val="15"/>
              </w:rPr>
              <w:t>—</w:t>
            </w:r>
          </w:p>
        </w:tc>
        <w:tc>
          <w:tcPr>
            <w:tcW w:w="1872" w:type="dxa"/>
            <w:tcBorders>
              <w:top w:val="nil"/>
              <w:left w:val="nil"/>
              <w:bottom w:val="nil"/>
              <w:right w:val="nil"/>
            </w:tcBorders>
            <w:shd w:val="clear" w:color="auto" w:fill="auto"/>
            <w:tcMar>
              <w:top w:w="50" w:type="dxa"/>
              <w:left w:w="60" w:type="dxa"/>
              <w:bottom w:w="50" w:type="dxa"/>
              <w:right w:w="60" w:type="dxa"/>
            </w:tcMar>
            <w:vAlign w:val="center"/>
          </w:tcPr>
          <w:p w14:paraId="1D73CD5F">
            <w:pPr>
              <w:spacing w:before="0" w:after="0" w:line="240" w:lineRule="auto"/>
              <w:jc w:val="center"/>
            </w:pPr>
            <w:r>
              <w:rPr>
                <w:rFonts w:ascii="Arial" w:hAnsi="Arial" w:eastAsia="Times New Roman"/>
                <w:b w:val="0"/>
                <w:sz w:val="15"/>
              </w:rPr>
              <w:t>-0.0315805188</w:t>
            </w:r>
          </w:p>
        </w:tc>
      </w:tr>
      <w:tr w14:paraId="633D8852">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4176" w:type="dxa"/>
            <w:tcBorders>
              <w:top w:val="nil"/>
              <w:left w:val="nil"/>
              <w:bottom w:val="nil"/>
              <w:right w:val="nil"/>
            </w:tcBorders>
            <w:shd w:val="clear" w:color="auto" w:fill="auto"/>
            <w:tcMar>
              <w:top w:w="50" w:type="dxa"/>
              <w:left w:w="60" w:type="dxa"/>
              <w:bottom w:w="50" w:type="dxa"/>
              <w:right w:w="60" w:type="dxa"/>
            </w:tcMar>
            <w:vAlign w:val="center"/>
          </w:tcPr>
          <w:p w14:paraId="6D02C910">
            <w:pPr>
              <w:spacing w:before="0" w:after="0" w:line="240" w:lineRule="auto"/>
              <w:jc w:val="left"/>
            </w:pPr>
            <w:r>
              <w:rPr>
                <w:rFonts w:ascii="Arial" w:hAnsi="Arial" w:eastAsia="Times New Roman"/>
                <w:b w:val="0"/>
                <w:sz w:val="15"/>
              </w:rPr>
              <w:t>wavelet-LHH_glcm_Correlation</w:t>
            </w:r>
          </w:p>
        </w:tc>
        <w:tc>
          <w:tcPr>
            <w:tcW w:w="1584" w:type="dxa"/>
            <w:tcBorders>
              <w:top w:val="nil"/>
              <w:left w:val="nil"/>
              <w:bottom w:val="nil"/>
              <w:right w:val="nil"/>
            </w:tcBorders>
            <w:shd w:val="clear" w:color="auto" w:fill="auto"/>
            <w:tcMar>
              <w:top w:w="50" w:type="dxa"/>
              <w:left w:w="60" w:type="dxa"/>
              <w:bottom w:w="50" w:type="dxa"/>
              <w:right w:w="60" w:type="dxa"/>
            </w:tcMar>
            <w:vAlign w:val="center"/>
          </w:tcPr>
          <w:p w14:paraId="33C532C6">
            <w:pPr>
              <w:spacing w:before="0" w:after="0" w:line="240" w:lineRule="auto"/>
              <w:jc w:val="center"/>
            </w:pPr>
            <w:r>
              <w:rPr>
                <w:rFonts w:ascii="Arial" w:hAnsi="Arial" w:eastAsia="Times New Roman"/>
                <w:b w:val="0"/>
                <w:sz w:val="15"/>
              </w:rPr>
              <w:t>0.0879012821</w:t>
            </w:r>
          </w:p>
        </w:tc>
        <w:tc>
          <w:tcPr>
            <w:tcW w:w="1584" w:type="dxa"/>
            <w:tcBorders>
              <w:top w:val="nil"/>
              <w:left w:val="nil"/>
              <w:bottom w:val="nil"/>
              <w:right w:val="nil"/>
            </w:tcBorders>
            <w:shd w:val="clear" w:color="auto" w:fill="auto"/>
            <w:tcMar>
              <w:top w:w="50" w:type="dxa"/>
              <w:left w:w="60" w:type="dxa"/>
              <w:bottom w:w="50" w:type="dxa"/>
              <w:right w:w="60" w:type="dxa"/>
            </w:tcMar>
            <w:vAlign w:val="center"/>
          </w:tcPr>
          <w:p w14:paraId="0FCF5B53">
            <w:pPr>
              <w:spacing w:before="0" w:after="0" w:line="240" w:lineRule="auto"/>
              <w:jc w:val="center"/>
            </w:pPr>
            <w:r>
              <w:rPr>
                <w:rFonts w:ascii="Arial" w:hAnsi="Arial" w:eastAsia="Times New Roman"/>
                <w:b w:val="0"/>
                <w:sz w:val="15"/>
              </w:rPr>
              <w:t>0.0540364451</w:t>
            </w:r>
          </w:p>
        </w:tc>
        <w:tc>
          <w:tcPr>
            <w:tcW w:w="1872" w:type="dxa"/>
            <w:tcBorders>
              <w:top w:val="nil"/>
              <w:left w:val="nil"/>
              <w:bottom w:val="nil"/>
              <w:right w:val="nil"/>
            </w:tcBorders>
            <w:shd w:val="clear" w:color="auto" w:fill="auto"/>
            <w:tcMar>
              <w:top w:w="50" w:type="dxa"/>
              <w:left w:w="60" w:type="dxa"/>
              <w:bottom w:w="50" w:type="dxa"/>
              <w:right w:w="60" w:type="dxa"/>
            </w:tcMar>
            <w:vAlign w:val="center"/>
          </w:tcPr>
          <w:p w14:paraId="04358445">
            <w:pPr>
              <w:spacing w:before="0" w:after="0" w:line="240" w:lineRule="auto"/>
              <w:jc w:val="center"/>
            </w:pPr>
            <w:r>
              <w:rPr>
                <w:rFonts w:ascii="Arial" w:hAnsi="Arial" w:eastAsia="Times New Roman"/>
                <w:b w:val="0"/>
                <w:sz w:val="15"/>
              </w:rPr>
              <w:t>-1.0816839375</w:t>
            </w:r>
          </w:p>
        </w:tc>
      </w:tr>
      <w:tr w14:paraId="06B14D00">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4176" w:type="dxa"/>
            <w:tcBorders>
              <w:top w:val="nil"/>
              <w:left w:val="nil"/>
              <w:bottom w:val="nil"/>
              <w:right w:val="nil"/>
            </w:tcBorders>
            <w:shd w:val="clear" w:color="auto" w:fill="auto"/>
            <w:tcMar>
              <w:top w:w="50" w:type="dxa"/>
              <w:left w:w="60" w:type="dxa"/>
              <w:bottom w:w="50" w:type="dxa"/>
              <w:right w:w="60" w:type="dxa"/>
            </w:tcMar>
            <w:vAlign w:val="center"/>
          </w:tcPr>
          <w:p w14:paraId="1BD8F77E">
            <w:pPr>
              <w:spacing w:before="0" w:after="0" w:line="240" w:lineRule="auto"/>
              <w:jc w:val="left"/>
            </w:pPr>
            <w:r>
              <w:rPr>
                <w:rFonts w:ascii="Arial" w:hAnsi="Arial" w:eastAsia="Times New Roman"/>
                <w:b w:val="0"/>
                <w:sz w:val="15"/>
              </w:rPr>
              <w:t>wavelet-HHH_glcm_ClusterShade</w:t>
            </w:r>
          </w:p>
        </w:tc>
        <w:tc>
          <w:tcPr>
            <w:tcW w:w="1584" w:type="dxa"/>
            <w:tcBorders>
              <w:top w:val="nil"/>
              <w:left w:val="nil"/>
              <w:bottom w:val="nil"/>
              <w:right w:val="nil"/>
            </w:tcBorders>
            <w:shd w:val="clear" w:color="auto" w:fill="auto"/>
            <w:tcMar>
              <w:top w:w="50" w:type="dxa"/>
              <w:left w:w="60" w:type="dxa"/>
              <w:bottom w:w="50" w:type="dxa"/>
              <w:right w:w="60" w:type="dxa"/>
            </w:tcMar>
            <w:vAlign w:val="center"/>
          </w:tcPr>
          <w:p w14:paraId="4636D129">
            <w:pPr>
              <w:spacing w:before="0" w:after="0" w:line="240" w:lineRule="auto"/>
              <w:jc w:val="center"/>
            </w:pPr>
            <w:r>
              <w:rPr>
                <w:rFonts w:ascii="Arial" w:hAnsi="Arial" w:eastAsia="Times New Roman"/>
                <w:b w:val="0"/>
                <w:sz w:val="15"/>
              </w:rPr>
              <w:t>-0.0498826843</w:t>
            </w:r>
          </w:p>
        </w:tc>
        <w:tc>
          <w:tcPr>
            <w:tcW w:w="1584" w:type="dxa"/>
            <w:tcBorders>
              <w:top w:val="nil"/>
              <w:left w:val="nil"/>
              <w:bottom w:val="nil"/>
              <w:right w:val="nil"/>
            </w:tcBorders>
            <w:shd w:val="clear" w:color="auto" w:fill="auto"/>
            <w:tcMar>
              <w:top w:w="50" w:type="dxa"/>
              <w:left w:w="60" w:type="dxa"/>
              <w:bottom w:w="50" w:type="dxa"/>
              <w:right w:w="60" w:type="dxa"/>
            </w:tcMar>
            <w:vAlign w:val="center"/>
          </w:tcPr>
          <w:p w14:paraId="72DFCDC9">
            <w:pPr>
              <w:spacing w:before="0" w:after="0" w:line="240" w:lineRule="auto"/>
              <w:jc w:val="center"/>
            </w:pPr>
            <w:r>
              <w:rPr>
                <w:rFonts w:ascii="Arial" w:hAnsi="Arial" w:eastAsia="Times New Roman"/>
                <w:b w:val="0"/>
                <w:sz w:val="15"/>
              </w:rPr>
              <w:t>0.1504276640</w:t>
            </w:r>
          </w:p>
        </w:tc>
        <w:tc>
          <w:tcPr>
            <w:tcW w:w="1872" w:type="dxa"/>
            <w:tcBorders>
              <w:top w:val="nil"/>
              <w:left w:val="nil"/>
              <w:bottom w:val="nil"/>
              <w:right w:val="nil"/>
            </w:tcBorders>
            <w:shd w:val="clear" w:color="auto" w:fill="auto"/>
            <w:tcMar>
              <w:top w:w="50" w:type="dxa"/>
              <w:left w:w="60" w:type="dxa"/>
              <w:bottom w:w="50" w:type="dxa"/>
              <w:right w:w="60" w:type="dxa"/>
            </w:tcMar>
            <w:vAlign w:val="center"/>
          </w:tcPr>
          <w:p w14:paraId="4ADB65D5">
            <w:pPr>
              <w:spacing w:before="0" w:after="0" w:line="240" w:lineRule="auto"/>
              <w:jc w:val="center"/>
            </w:pPr>
            <w:r>
              <w:rPr>
                <w:rFonts w:ascii="Arial" w:hAnsi="Arial" w:eastAsia="Times New Roman"/>
                <w:b w:val="0"/>
                <w:sz w:val="15"/>
              </w:rPr>
              <w:t>0.2870967362</w:t>
            </w:r>
          </w:p>
        </w:tc>
      </w:tr>
      <w:tr w14:paraId="1D5EC16B">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4176" w:type="dxa"/>
            <w:tcBorders>
              <w:top w:val="nil"/>
              <w:left w:val="nil"/>
              <w:bottom w:val="nil"/>
              <w:right w:val="nil"/>
            </w:tcBorders>
            <w:shd w:val="clear" w:color="auto" w:fill="auto"/>
            <w:tcMar>
              <w:top w:w="50" w:type="dxa"/>
              <w:left w:w="60" w:type="dxa"/>
              <w:bottom w:w="50" w:type="dxa"/>
              <w:right w:w="60" w:type="dxa"/>
            </w:tcMar>
            <w:vAlign w:val="center"/>
          </w:tcPr>
          <w:p w14:paraId="14F12E33">
            <w:pPr>
              <w:spacing w:before="0" w:after="0" w:line="240" w:lineRule="auto"/>
              <w:jc w:val="left"/>
            </w:pPr>
            <w:r>
              <w:rPr>
                <w:rFonts w:ascii="Arial" w:hAnsi="Arial" w:eastAsia="Times New Roman"/>
                <w:b w:val="0"/>
                <w:sz w:val="15"/>
              </w:rPr>
              <w:t>wavelet-HHL_glcm_MCC</w:t>
            </w:r>
          </w:p>
        </w:tc>
        <w:tc>
          <w:tcPr>
            <w:tcW w:w="1584" w:type="dxa"/>
            <w:tcBorders>
              <w:top w:val="nil"/>
              <w:left w:val="nil"/>
              <w:bottom w:val="nil"/>
              <w:right w:val="nil"/>
            </w:tcBorders>
            <w:shd w:val="clear" w:color="auto" w:fill="auto"/>
            <w:tcMar>
              <w:top w:w="50" w:type="dxa"/>
              <w:left w:w="60" w:type="dxa"/>
              <w:bottom w:w="50" w:type="dxa"/>
              <w:right w:w="60" w:type="dxa"/>
            </w:tcMar>
            <w:vAlign w:val="center"/>
          </w:tcPr>
          <w:p w14:paraId="6C8FBADA">
            <w:pPr>
              <w:spacing w:before="0" w:after="0" w:line="240" w:lineRule="auto"/>
              <w:jc w:val="center"/>
            </w:pPr>
            <w:r>
              <w:rPr>
                <w:rFonts w:ascii="Arial" w:hAnsi="Arial" w:eastAsia="Times New Roman"/>
                <w:b w:val="0"/>
                <w:sz w:val="15"/>
              </w:rPr>
              <w:t>0.4253696428</w:t>
            </w:r>
          </w:p>
        </w:tc>
        <w:tc>
          <w:tcPr>
            <w:tcW w:w="1584" w:type="dxa"/>
            <w:tcBorders>
              <w:top w:val="nil"/>
              <w:left w:val="nil"/>
              <w:bottom w:val="nil"/>
              <w:right w:val="nil"/>
            </w:tcBorders>
            <w:shd w:val="clear" w:color="auto" w:fill="auto"/>
            <w:tcMar>
              <w:top w:w="50" w:type="dxa"/>
              <w:left w:w="60" w:type="dxa"/>
              <w:bottom w:w="50" w:type="dxa"/>
              <w:right w:w="60" w:type="dxa"/>
            </w:tcMar>
            <w:vAlign w:val="center"/>
          </w:tcPr>
          <w:p w14:paraId="5728C4B8">
            <w:pPr>
              <w:spacing w:before="0" w:after="0" w:line="240" w:lineRule="auto"/>
              <w:jc w:val="center"/>
            </w:pPr>
            <w:r>
              <w:rPr>
                <w:rFonts w:ascii="Arial" w:hAnsi="Arial" w:eastAsia="Times New Roman"/>
                <w:b w:val="0"/>
                <w:sz w:val="15"/>
              </w:rPr>
              <w:t>0.1404656228</w:t>
            </w:r>
          </w:p>
        </w:tc>
        <w:tc>
          <w:tcPr>
            <w:tcW w:w="1872" w:type="dxa"/>
            <w:tcBorders>
              <w:top w:val="nil"/>
              <w:left w:val="nil"/>
              <w:bottom w:val="nil"/>
              <w:right w:val="nil"/>
            </w:tcBorders>
            <w:shd w:val="clear" w:color="auto" w:fill="auto"/>
            <w:tcMar>
              <w:top w:w="50" w:type="dxa"/>
              <w:left w:w="60" w:type="dxa"/>
              <w:bottom w:w="50" w:type="dxa"/>
              <w:right w:w="60" w:type="dxa"/>
            </w:tcMar>
            <w:vAlign w:val="center"/>
          </w:tcPr>
          <w:p w14:paraId="04A1259B">
            <w:pPr>
              <w:spacing w:before="0" w:after="0" w:line="240" w:lineRule="auto"/>
              <w:jc w:val="center"/>
            </w:pPr>
            <w:r>
              <w:rPr>
                <w:rFonts w:ascii="Arial" w:hAnsi="Arial" w:eastAsia="Times New Roman"/>
                <w:b w:val="0"/>
                <w:sz w:val="15"/>
              </w:rPr>
              <w:t>-0.9602097923</w:t>
            </w:r>
          </w:p>
        </w:tc>
      </w:tr>
      <w:tr w14:paraId="33B595BF">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4176" w:type="dxa"/>
            <w:tcBorders>
              <w:top w:val="nil"/>
              <w:left w:val="nil"/>
              <w:bottom w:val="nil"/>
              <w:right w:val="nil"/>
            </w:tcBorders>
            <w:shd w:val="clear" w:color="auto" w:fill="auto"/>
            <w:tcMar>
              <w:top w:w="50" w:type="dxa"/>
              <w:left w:w="60" w:type="dxa"/>
              <w:bottom w:w="50" w:type="dxa"/>
              <w:right w:w="60" w:type="dxa"/>
            </w:tcMar>
            <w:vAlign w:val="center"/>
          </w:tcPr>
          <w:p w14:paraId="76BC2167">
            <w:pPr>
              <w:spacing w:before="0" w:after="0" w:line="240" w:lineRule="auto"/>
              <w:jc w:val="left"/>
            </w:pPr>
            <w:r>
              <w:rPr>
                <w:rFonts w:ascii="Arial" w:hAnsi="Arial" w:eastAsia="Times New Roman"/>
                <w:b w:val="0"/>
                <w:sz w:val="15"/>
              </w:rPr>
              <w:t>wavelet-HLL_glcm_DifferenceVariance</w:t>
            </w:r>
          </w:p>
        </w:tc>
        <w:tc>
          <w:tcPr>
            <w:tcW w:w="1584" w:type="dxa"/>
            <w:tcBorders>
              <w:top w:val="nil"/>
              <w:left w:val="nil"/>
              <w:bottom w:val="nil"/>
              <w:right w:val="nil"/>
            </w:tcBorders>
            <w:shd w:val="clear" w:color="auto" w:fill="auto"/>
            <w:tcMar>
              <w:top w:w="50" w:type="dxa"/>
              <w:left w:w="60" w:type="dxa"/>
              <w:bottom w:w="50" w:type="dxa"/>
              <w:right w:w="60" w:type="dxa"/>
            </w:tcMar>
            <w:vAlign w:val="center"/>
          </w:tcPr>
          <w:p w14:paraId="0B2869A1">
            <w:pPr>
              <w:spacing w:before="0" w:after="0" w:line="240" w:lineRule="auto"/>
              <w:jc w:val="center"/>
            </w:pPr>
            <w:r>
              <w:rPr>
                <w:rFonts w:ascii="Arial" w:hAnsi="Arial" w:eastAsia="Times New Roman"/>
                <w:b w:val="0"/>
                <w:sz w:val="15"/>
              </w:rPr>
              <w:t>8.4297092096</w:t>
            </w:r>
          </w:p>
        </w:tc>
        <w:tc>
          <w:tcPr>
            <w:tcW w:w="1584" w:type="dxa"/>
            <w:tcBorders>
              <w:top w:val="nil"/>
              <w:left w:val="nil"/>
              <w:bottom w:val="nil"/>
              <w:right w:val="nil"/>
            </w:tcBorders>
            <w:shd w:val="clear" w:color="auto" w:fill="auto"/>
            <w:tcMar>
              <w:top w:w="50" w:type="dxa"/>
              <w:left w:w="60" w:type="dxa"/>
              <w:bottom w:w="50" w:type="dxa"/>
              <w:right w:w="60" w:type="dxa"/>
            </w:tcMar>
            <w:vAlign w:val="center"/>
          </w:tcPr>
          <w:p w14:paraId="0A314A12">
            <w:pPr>
              <w:spacing w:before="0" w:after="0" w:line="240" w:lineRule="auto"/>
              <w:jc w:val="center"/>
            </w:pPr>
            <w:r>
              <w:rPr>
                <w:rFonts w:ascii="Arial" w:hAnsi="Arial" w:eastAsia="Times New Roman"/>
                <w:b w:val="0"/>
                <w:sz w:val="15"/>
              </w:rPr>
              <w:t>5.4016542861</w:t>
            </w:r>
          </w:p>
        </w:tc>
        <w:tc>
          <w:tcPr>
            <w:tcW w:w="1872" w:type="dxa"/>
            <w:tcBorders>
              <w:top w:val="nil"/>
              <w:left w:val="nil"/>
              <w:bottom w:val="nil"/>
              <w:right w:val="nil"/>
            </w:tcBorders>
            <w:shd w:val="clear" w:color="auto" w:fill="auto"/>
            <w:tcMar>
              <w:top w:w="50" w:type="dxa"/>
              <w:left w:w="60" w:type="dxa"/>
              <w:bottom w:w="50" w:type="dxa"/>
              <w:right w:w="60" w:type="dxa"/>
            </w:tcMar>
            <w:vAlign w:val="center"/>
          </w:tcPr>
          <w:p w14:paraId="233A3268">
            <w:pPr>
              <w:spacing w:before="0" w:after="0" w:line="240" w:lineRule="auto"/>
              <w:jc w:val="center"/>
            </w:pPr>
            <w:r>
              <w:rPr>
                <w:rFonts w:ascii="Arial" w:hAnsi="Arial" w:eastAsia="Times New Roman"/>
                <w:b w:val="0"/>
                <w:sz w:val="15"/>
              </w:rPr>
              <w:t>-0.1838806641</w:t>
            </w:r>
          </w:p>
        </w:tc>
      </w:tr>
      <w:tr w14:paraId="5AA89208">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4176" w:type="dxa"/>
            <w:tcBorders>
              <w:top w:val="nil"/>
              <w:left w:val="nil"/>
              <w:bottom w:val="nil"/>
              <w:right w:val="nil"/>
            </w:tcBorders>
            <w:shd w:val="clear" w:color="auto" w:fill="auto"/>
            <w:tcMar>
              <w:top w:w="50" w:type="dxa"/>
              <w:left w:w="60" w:type="dxa"/>
              <w:bottom w:w="50" w:type="dxa"/>
              <w:right w:w="60" w:type="dxa"/>
            </w:tcMar>
            <w:vAlign w:val="center"/>
          </w:tcPr>
          <w:p w14:paraId="280654F3">
            <w:pPr>
              <w:spacing w:before="0" w:after="0" w:line="240" w:lineRule="auto"/>
              <w:jc w:val="left"/>
            </w:pPr>
            <w:r>
              <w:rPr>
                <w:rFonts w:ascii="Arial" w:hAnsi="Arial" w:eastAsia="Times New Roman"/>
                <w:b w:val="0"/>
                <w:sz w:val="15"/>
              </w:rPr>
              <w:t>wavelet-LHL_glcm_DifferenceVariance</w:t>
            </w:r>
          </w:p>
        </w:tc>
        <w:tc>
          <w:tcPr>
            <w:tcW w:w="1584" w:type="dxa"/>
            <w:tcBorders>
              <w:top w:val="nil"/>
              <w:left w:val="nil"/>
              <w:bottom w:val="nil"/>
              <w:right w:val="nil"/>
            </w:tcBorders>
            <w:shd w:val="clear" w:color="auto" w:fill="auto"/>
            <w:tcMar>
              <w:top w:w="50" w:type="dxa"/>
              <w:left w:w="60" w:type="dxa"/>
              <w:bottom w:w="50" w:type="dxa"/>
              <w:right w:w="60" w:type="dxa"/>
            </w:tcMar>
            <w:vAlign w:val="center"/>
          </w:tcPr>
          <w:p w14:paraId="459DAEEB">
            <w:pPr>
              <w:spacing w:before="0" w:after="0" w:line="240" w:lineRule="auto"/>
              <w:jc w:val="center"/>
            </w:pPr>
            <w:r>
              <w:rPr>
                <w:rFonts w:ascii="Arial" w:hAnsi="Arial" w:eastAsia="Times New Roman"/>
                <w:b w:val="0"/>
                <w:sz w:val="15"/>
              </w:rPr>
              <w:t>7.5110499025</w:t>
            </w:r>
          </w:p>
        </w:tc>
        <w:tc>
          <w:tcPr>
            <w:tcW w:w="1584" w:type="dxa"/>
            <w:tcBorders>
              <w:top w:val="nil"/>
              <w:left w:val="nil"/>
              <w:bottom w:val="nil"/>
              <w:right w:val="nil"/>
            </w:tcBorders>
            <w:shd w:val="clear" w:color="auto" w:fill="auto"/>
            <w:tcMar>
              <w:top w:w="50" w:type="dxa"/>
              <w:left w:w="60" w:type="dxa"/>
              <w:bottom w:w="50" w:type="dxa"/>
              <w:right w:w="60" w:type="dxa"/>
            </w:tcMar>
            <w:vAlign w:val="center"/>
          </w:tcPr>
          <w:p w14:paraId="31ABCBDE">
            <w:pPr>
              <w:spacing w:before="0" w:after="0" w:line="240" w:lineRule="auto"/>
              <w:jc w:val="center"/>
            </w:pPr>
            <w:r>
              <w:rPr>
                <w:rFonts w:ascii="Arial" w:hAnsi="Arial" w:eastAsia="Times New Roman"/>
                <w:b w:val="0"/>
                <w:sz w:val="15"/>
              </w:rPr>
              <w:t>4.6026935962</w:t>
            </w:r>
          </w:p>
        </w:tc>
        <w:tc>
          <w:tcPr>
            <w:tcW w:w="1872" w:type="dxa"/>
            <w:tcBorders>
              <w:top w:val="nil"/>
              <w:left w:val="nil"/>
              <w:bottom w:val="nil"/>
              <w:right w:val="nil"/>
            </w:tcBorders>
            <w:shd w:val="clear" w:color="auto" w:fill="auto"/>
            <w:tcMar>
              <w:top w:w="50" w:type="dxa"/>
              <w:left w:w="60" w:type="dxa"/>
              <w:bottom w:w="50" w:type="dxa"/>
              <w:right w:w="60" w:type="dxa"/>
            </w:tcMar>
            <w:vAlign w:val="center"/>
          </w:tcPr>
          <w:p w14:paraId="2CB0FEFB">
            <w:pPr>
              <w:spacing w:before="0" w:after="0" w:line="240" w:lineRule="auto"/>
              <w:jc w:val="center"/>
            </w:pPr>
            <w:r>
              <w:rPr>
                <w:rFonts w:ascii="Arial" w:hAnsi="Arial" w:eastAsia="Times New Roman"/>
                <w:b w:val="0"/>
                <w:sz w:val="15"/>
              </w:rPr>
              <w:t>-0.2643958229</w:t>
            </w:r>
          </w:p>
        </w:tc>
      </w:tr>
      <w:tr w14:paraId="05E69ED6">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4176" w:type="dxa"/>
            <w:tcBorders>
              <w:top w:val="nil"/>
              <w:left w:val="nil"/>
              <w:bottom w:val="nil"/>
              <w:right w:val="nil"/>
            </w:tcBorders>
            <w:shd w:val="clear" w:color="auto" w:fill="auto"/>
            <w:tcMar>
              <w:top w:w="50" w:type="dxa"/>
              <w:left w:w="60" w:type="dxa"/>
              <w:bottom w:w="50" w:type="dxa"/>
              <w:right w:w="60" w:type="dxa"/>
            </w:tcMar>
            <w:vAlign w:val="center"/>
          </w:tcPr>
          <w:p w14:paraId="406A8C35">
            <w:pPr>
              <w:spacing w:before="0" w:after="0" w:line="240" w:lineRule="auto"/>
              <w:jc w:val="left"/>
            </w:pPr>
            <w:r>
              <w:rPr>
                <w:rFonts w:ascii="Arial" w:hAnsi="Arial" w:eastAsia="Times New Roman"/>
                <w:b w:val="0"/>
                <w:sz w:val="15"/>
              </w:rPr>
              <w:t>wavelet-HLL_gldm_LargeDependenceLowGrayLevelEmphasis</w:t>
            </w:r>
          </w:p>
        </w:tc>
        <w:tc>
          <w:tcPr>
            <w:tcW w:w="1584" w:type="dxa"/>
            <w:tcBorders>
              <w:top w:val="nil"/>
              <w:left w:val="nil"/>
              <w:bottom w:val="nil"/>
              <w:right w:val="nil"/>
            </w:tcBorders>
            <w:shd w:val="clear" w:color="auto" w:fill="auto"/>
            <w:tcMar>
              <w:top w:w="50" w:type="dxa"/>
              <w:left w:w="60" w:type="dxa"/>
              <w:bottom w:w="50" w:type="dxa"/>
              <w:right w:w="60" w:type="dxa"/>
            </w:tcMar>
            <w:vAlign w:val="center"/>
          </w:tcPr>
          <w:p w14:paraId="6D99E63D">
            <w:pPr>
              <w:spacing w:before="0" w:after="0" w:line="240" w:lineRule="auto"/>
              <w:jc w:val="center"/>
            </w:pPr>
            <w:r>
              <w:rPr>
                <w:rFonts w:ascii="Arial" w:hAnsi="Arial" w:eastAsia="Times New Roman"/>
                <w:b w:val="0"/>
                <w:sz w:val="15"/>
              </w:rPr>
              <w:t>0.2455078162</w:t>
            </w:r>
          </w:p>
        </w:tc>
        <w:tc>
          <w:tcPr>
            <w:tcW w:w="1584" w:type="dxa"/>
            <w:tcBorders>
              <w:top w:val="nil"/>
              <w:left w:val="nil"/>
              <w:bottom w:val="nil"/>
              <w:right w:val="nil"/>
            </w:tcBorders>
            <w:shd w:val="clear" w:color="auto" w:fill="auto"/>
            <w:tcMar>
              <w:top w:w="50" w:type="dxa"/>
              <w:left w:w="60" w:type="dxa"/>
              <w:bottom w:w="50" w:type="dxa"/>
              <w:right w:w="60" w:type="dxa"/>
            </w:tcMar>
            <w:vAlign w:val="center"/>
          </w:tcPr>
          <w:p w14:paraId="6AFB9A30">
            <w:pPr>
              <w:spacing w:before="0" w:after="0" w:line="240" w:lineRule="auto"/>
              <w:jc w:val="center"/>
            </w:pPr>
            <w:r>
              <w:rPr>
                <w:rFonts w:ascii="Arial" w:hAnsi="Arial" w:eastAsia="Times New Roman"/>
                <w:b w:val="0"/>
                <w:sz w:val="15"/>
              </w:rPr>
              <w:t>0.1656431247</w:t>
            </w:r>
          </w:p>
        </w:tc>
        <w:tc>
          <w:tcPr>
            <w:tcW w:w="1872" w:type="dxa"/>
            <w:tcBorders>
              <w:top w:val="nil"/>
              <w:left w:val="nil"/>
              <w:bottom w:val="nil"/>
              <w:right w:val="nil"/>
            </w:tcBorders>
            <w:shd w:val="clear" w:color="auto" w:fill="auto"/>
            <w:tcMar>
              <w:top w:w="50" w:type="dxa"/>
              <w:left w:w="60" w:type="dxa"/>
              <w:bottom w:w="50" w:type="dxa"/>
              <w:right w:w="60" w:type="dxa"/>
            </w:tcMar>
            <w:vAlign w:val="center"/>
          </w:tcPr>
          <w:p w14:paraId="473A5E33">
            <w:pPr>
              <w:spacing w:before="0" w:after="0" w:line="240" w:lineRule="auto"/>
              <w:jc w:val="center"/>
            </w:pPr>
            <w:r>
              <w:rPr>
                <w:rFonts w:ascii="Arial" w:hAnsi="Arial" w:eastAsia="Times New Roman"/>
                <w:b w:val="0"/>
                <w:sz w:val="15"/>
              </w:rPr>
              <w:t>0.5251666601</w:t>
            </w:r>
          </w:p>
        </w:tc>
      </w:tr>
      <w:tr w14:paraId="347AF416">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4176" w:type="dxa"/>
            <w:tcBorders>
              <w:top w:val="nil"/>
              <w:left w:val="nil"/>
              <w:bottom w:val="nil"/>
              <w:right w:val="nil"/>
            </w:tcBorders>
            <w:shd w:val="clear" w:color="auto" w:fill="auto"/>
            <w:tcMar>
              <w:top w:w="50" w:type="dxa"/>
              <w:left w:w="60" w:type="dxa"/>
              <w:bottom w:w="50" w:type="dxa"/>
              <w:right w:w="60" w:type="dxa"/>
            </w:tcMar>
            <w:vAlign w:val="center"/>
          </w:tcPr>
          <w:p w14:paraId="05E0275E">
            <w:pPr>
              <w:spacing w:before="0" w:after="0" w:line="240" w:lineRule="auto"/>
              <w:jc w:val="left"/>
            </w:pPr>
            <w:r>
              <w:rPr>
                <w:rFonts w:ascii="Arial" w:hAnsi="Arial" w:eastAsia="Times New Roman"/>
                <w:b w:val="0"/>
                <w:sz w:val="15"/>
              </w:rPr>
              <w:t>wavelet-LLL_ngtdm_Busyness</w:t>
            </w:r>
          </w:p>
        </w:tc>
        <w:tc>
          <w:tcPr>
            <w:tcW w:w="1584" w:type="dxa"/>
            <w:tcBorders>
              <w:top w:val="nil"/>
              <w:left w:val="nil"/>
              <w:bottom w:val="nil"/>
              <w:right w:val="nil"/>
            </w:tcBorders>
            <w:shd w:val="clear" w:color="auto" w:fill="auto"/>
            <w:tcMar>
              <w:top w:w="50" w:type="dxa"/>
              <w:left w:w="60" w:type="dxa"/>
              <w:bottom w:w="50" w:type="dxa"/>
              <w:right w:w="60" w:type="dxa"/>
            </w:tcMar>
            <w:vAlign w:val="center"/>
          </w:tcPr>
          <w:p w14:paraId="15795B12">
            <w:pPr>
              <w:spacing w:before="0" w:after="0" w:line="240" w:lineRule="auto"/>
              <w:jc w:val="center"/>
            </w:pPr>
            <w:r>
              <w:rPr>
                <w:rFonts w:ascii="Arial" w:hAnsi="Arial" w:eastAsia="Times New Roman"/>
                <w:b w:val="0"/>
                <w:sz w:val="15"/>
              </w:rPr>
              <w:t>0.0830090913</w:t>
            </w:r>
          </w:p>
        </w:tc>
        <w:tc>
          <w:tcPr>
            <w:tcW w:w="1584" w:type="dxa"/>
            <w:tcBorders>
              <w:top w:val="nil"/>
              <w:left w:val="nil"/>
              <w:bottom w:val="nil"/>
              <w:right w:val="nil"/>
            </w:tcBorders>
            <w:shd w:val="clear" w:color="auto" w:fill="auto"/>
            <w:tcMar>
              <w:top w:w="50" w:type="dxa"/>
              <w:left w:w="60" w:type="dxa"/>
              <w:bottom w:w="50" w:type="dxa"/>
              <w:right w:w="60" w:type="dxa"/>
            </w:tcMar>
            <w:vAlign w:val="center"/>
          </w:tcPr>
          <w:p w14:paraId="59A30FDD">
            <w:pPr>
              <w:spacing w:before="0" w:after="0" w:line="240" w:lineRule="auto"/>
              <w:jc w:val="center"/>
            </w:pPr>
            <w:r>
              <w:rPr>
                <w:rFonts w:ascii="Arial" w:hAnsi="Arial" w:eastAsia="Times New Roman"/>
                <w:b w:val="0"/>
                <w:sz w:val="15"/>
              </w:rPr>
              <w:t>0.0720493056</w:t>
            </w:r>
          </w:p>
        </w:tc>
        <w:tc>
          <w:tcPr>
            <w:tcW w:w="1872" w:type="dxa"/>
            <w:tcBorders>
              <w:top w:val="nil"/>
              <w:left w:val="nil"/>
              <w:bottom w:val="nil"/>
              <w:right w:val="nil"/>
            </w:tcBorders>
            <w:shd w:val="clear" w:color="auto" w:fill="auto"/>
            <w:tcMar>
              <w:top w:w="50" w:type="dxa"/>
              <w:left w:w="60" w:type="dxa"/>
              <w:bottom w:w="50" w:type="dxa"/>
              <w:right w:w="60" w:type="dxa"/>
            </w:tcMar>
            <w:vAlign w:val="center"/>
          </w:tcPr>
          <w:p w14:paraId="26FF0DA3">
            <w:pPr>
              <w:spacing w:before="0" w:after="0" w:line="240" w:lineRule="auto"/>
              <w:jc w:val="center"/>
            </w:pPr>
            <w:r>
              <w:rPr>
                <w:rFonts w:ascii="Arial" w:hAnsi="Arial" w:eastAsia="Times New Roman"/>
                <w:b w:val="0"/>
                <w:sz w:val="15"/>
              </w:rPr>
              <w:t>0.1944892642</w:t>
            </w:r>
          </w:p>
        </w:tc>
      </w:tr>
      <w:tr w14:paraId="00D59D10">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4176" w:type="dxa"/>
            <w:tcBorders>
              <w:top w:val="nil"/>
              <w:left w:val="nil"/>
              <w:bottom w:val="single" w:color="auto" w:sz="4" w:space="0"/>
              <w:right w:val="nil"/>
            </w:tcBorders>
            <w:shd w:val="clear" w:color="auto" w:fill="auto"/>
            <w:tcMar>
              <w:top w:w="50" w:type="dxa"/>
              <w:left w:w="60" w:type="dxa"/>
              <w:bottom w:w="50" w:type="dxa"/>
              <w:right w:w="60" w:type="dxa"/>
            </w:tcMar>
            <w:vAlign w:val="center"/>
          </w:tcPr>
          <w:p w14:paraId="2AE26E29">
            <w:pPr>
              <w:spacing w:before="0" w:after="0" w:line="240" w:lineRule="auto"/>
              <w:jc w:val="left"/>
            </w:pPr>
            <w:r>
              <w:rPr>
                <w:rFonts w:ascii="Arial" w:hAnsi="Arial" w:eastAsia="Times New Roman"/>
                <w:b w:val="0"/>
                <w:sz w:val="15"/>
              </w:rPr>
              <w:t>wavelet-HLH_firstorder_Median</w:t>
            </w:r>
          </w:p>
        </w:tc>
        <w:tc>
          <w:tcPr>
            <w:tcW w:w="1584" w:type="dxa"/>
            <w:tcBorders>
              <w:top w:val="nil"/>
              <w:left w:val="nil"/>
              <w:bottom w:val="single" w:color="auto" w:sz="4" w:space="0"/>
              <w:right w:val="nil"/>
            </w:tcBorders>
            <w:shd w:val="clear" w:color="auto" w:fill="auto"/>
            <w:tcMar>
              <w:top w:w="50" w:type="dxa"/>
              <w:left w:w="60" w:type="dxa"/>
              <w:bottom w:w="50" w:type="dxa"/>
              <w:right w:w="60" w:type="dxa"/>
            </w:tcMar>
            <w:vAlign w:val="center"/>
          </w:tcPr>
          <w:p w14:paraId="21110EF6">
            <w:pPr>
              <w:spacing w:before="0" w:after="0" w:line="240" w:lineRule="auto"/>
              <w:jc w:val="center"/>
            </w:pPr>
            <w:r>
              <w:rPr>
                <w:rFonts w:ascii="Arial" w:hAnsi="Arial" w:eastAsia="Times New Roman"/>
                <w:b w:val="0"/>
                <w:sz w:val="15"/>
              </w:rPr>
              <w:t>-0.8137306917</w:t>
            </w:r>
          </w:p>
        </w:tc>
        <w:tc>
          <w:tcPr>
            <w:tcW w:w="1584" w:type="dxa"/>
            <w:tcBorders>
              <w:top w:val="nil"/>
              <w:left w:val="nil"/>
              <w:bottom w:val="single" w:color="auto" w:sz="4" w:space="0"/>
              <w:right w:val="nil"/>
            </w:tcBorders>
            <w:shd w:val="clear" w:color="auto" w:fill="auto"/>
            <w:tcMar>
              <w:top w:w="50" w:type="dxa"/>
              <w:left w:w="60" w:type="dxa"/>
              <w:bottom w:w="50" w:type="dxa"/>
              <w:right w:w="60" w:type="dxa"/>
            </w:tcMar>
            <w:vAlign w:val="center"/>
          </w:tcPr>
          <w:p w14:paraId="004B9648">
            <w:pPr>
              <w:spacing w:before="0" w:after="0" w:line="240" w:lineRule="auto"/>
              <w:jc w:val="center"/>
            </w:pPr>
            <w:r>
              <w:rPr>
                <w:rFonts w:ascii="Arial" w:hAnsi="Arial" w:eastAsia="Times New Roman"/>
                <w:b w:val="0"/>
                <w:sz w:val="15"/>
              </w:rPr>
              <w:t>2.0507393558</w:t>
            </w:r>
          </w:p>
        </w:tc>
        <w:tc>
          <w:tcPr>
            <w:tcW w:w="1872" w:type="dxa"/>
            <w:tcBorders>
              <w:top w:val="nil"/>
              <w:left w:val="nil"/>
              <w:bottom w:val="single" w:color="auto" w:sz="4" w:space="0"/>
              <w:right w:val="nil"/>
            </w:tcBorders>
            <w:shd w:val="clear" w:color="auto" w:fill="auto"/>
            <w:tcMar>
              <w:top w:w="50" w:type="dxa"/>
              <w:left w:w="60" w:type="dxa"/>
              <w:bottom w:w="50" w:type="dxa"/>
              <w:right w:w="60" w:type="dxa"/>
            </w:tcMar>
            <w:vAlign w:val="center"/>
          </w:tcPr>
          <w:p w14:paraId="1849AB7B">
            <w:pPr>
              <w:spacing w:before="0" w:after="0" w:line="240" w:lineRule="auto"/>
              <w:jc w:val="center"/>
            </w:pPr>
            <w:r>
              <w:rPr>
                <w:rFonts w:ascii="Arial" w:hAnsi="Arial" w:eastAsia="Times New Roman"/>
                <w:b w:val="0"/>
                <w:sz w:val="15"/>
              </w:rPr>
              <w:t>0.3539881074</w:t>
            </w:r>
          </w:p>
        </w:tc>
      </w:tr>
    </w:tbl>
    <w:p w14:paraId="46C50204">
      <w:pPr>
        <w:pStyle w:val="166"/>
        <w:spacing w:after="80"/>
      </w:pPr>
      <w:r>
        <w:t>LR configuration: C = 1, L2 penalty, lbfgs solver, class_weight = balanced, max_iter = 1000. Development-derived cutoff = 0.5825520268. Standardized model: logit[P(IAC)] = intercept + sum(beta_j x z_j), where z_j = (x_j - scaler mean_j)/scaler scale_j.</w:t>
      </w:r>
    </w:p>
    <w:p w14:paraId="0643C75F">
      <w:r>
        <w:t>Combined model specification: logit[P(IAC)] = −2.8942650338 + 2.4415859945 × pleural indentation + 3.6765207574 × CrossFitted_Rad_score; cutoff = 0.3731118318. The cutoff was selected by maximum Youden J from in-sample second-level development probabilities based on repeated out-of-fold radiomics inputs, with ties resolved by higher specificity and then higher threshold. Morphologic comparator: logit[P(IAC)] = −1.0560526742 + 2.6315890350 × pleural indentation; cutoff = 0.5.</w:t>
      </w:r>
    </w:p>
    <w:p w14:paraId="195D0355">
      <w:pPr>
        <w:pStyle w:val="168"/>
        <w:keepNext/>
        <w:keepLines/>
      </w:pPr>
      <w:r>
        <w:t>Table S7 (continued). Stacked combined-model reconstruction and operating rule</w:t>
      </w:r>
    </w:p>
    <w:tbl>
      <w:tblPr>
        <w:tblStyle w:val="33"/>
        <w:tblW w:w="0" w:type="auto"/>
        <w:jc w:val="center"/>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606"/>
        <w:gridCol w:w="4606"/>
      </w:tblGrid>
      <w:tr w14:paraId="03632E91">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PrEx>
        <w:trPr>
          <w:cantSplit/>
          <w:tblHeader w:val="true"/>
          <w:jc w:val="center"/>
        </w:trPr>
        <w:tc>
          <w:tcPr>
            <w:tcW w:w="2448" w:type="dxa"/>
            <w:tcBorders>
              <w:top w:val="single" w:color="000000" w:sz="12" w:space="0"/>
              <w:left w:val="nil"/>
              <w:bottom w:val="single" w:color="000000" w:sz="6" w:space="0"/>
              <w:right w:val="nil"/>
            </w:tcBorders>
            <w:shd w:val="clear" w:color="auto" w:fill="D9EAF3"/>
            <w:vAlign w:val="center"/>
          </w:tcPr>
          <w:p w14:paraId="58A12E41">
            <w:pPr>
              <w:spacing w:before="0" w:after="0" w:line="240" w:lineRule="auto"/>
              <w:jc w:val="center"/>
            </w:pPr>
            <w:r>
              <w:rPr>
                <w:rFonts w:ascii="Arial" w:hAnsi="Arial"/>
                <w:b/>
                <w:sz w:val="15"/>
              </w:rPr>
              <w:t>Component</w:t>
            </w:r>
          </w:p>
        </w:tc>
        <w:tc>
          <w:tcPr>
            <w:tcW w:w="7056" w:type="dxa"/>
            <w:tcBorders>
              <w:top w:val="single" w:color="000000" w:sz="12" w:space="0"/>
              <w:left w:val="nil"/>
              <w:bottom w:val="single" w:color="000000" w:sz="6" w:space="0"/>
              <w:right w:val="nil"/>
            </w:tcBorders>
            <w:shd w:val="clear" w:color="auto" w:fill="D9EAF3"/>
            <w:vAlign w:val="center"/>
          </w:tcPr>
          <w:p w14:paraId="3BB3E091">
            <w:pPr>
              <w:spacing w:before="0" w:after="0" w:line="240" w:lineRule="auto"/>
              <w:jc w:val="center"/>
            </w:pPr>
            <w:r>
              <w:rPr>
                <w:rFonts w:ascii="Arial" w:hAnsi="Arial"/>
                <w:b/>
                <w:sz w:val="15"/>
              </w:rPr>
              <w:t>Exact specification</w:t>
            </w:r>
          </w:p>
        </w:tc>
      </w:tr>
      <w:tr w14:paraId="624710C5">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2448" w:type="dxa"/>
            <w:tcBorders>
              <w:top w:val="nil"/>
              <w:left w:val="nil"/>
              <w:bottom w:val="nil"/>
              <w:right w:val="nil"/>
            </w:tcBorders>
            <w:vAlign w:val="center"/>
          </w:tcPr>
          <w:p w14:paraId="200B555B">
            <w:pPr>
              <w:spacing w:before="0" w:after="0" w:line="240" w:lineRule="auto"/>
            </w:pPr>
            <w:r>
              <w:rPr>
                <w:rFonts w:ascii="Arial" w:hAnsi="Arial"/>
                <w:b w:val="0"/>
                <w:sz w:val="15"/>
              </w:rPr>
              <w:t>Development radiomics input</w:t>
            </w:r>
          </w:p>
        </w:tc>
        <w:tc>
          <w:tcPr>
            <w:tcW w:w="7056" w:type="dxa"/>
            <w:tcBorders>
              <w:top w:val="nil"/>
              <w:left w:val="nil"/>
              <w:bottom w:val="nil"/>
              <w:right w:val="nil"/>
            </w:tcBorders>
            <w:vAlign w:val="center"/>
          </w:tcPr>
          <w:p w14:paraId="4EEF9BF2">
            <w:pPr>
              <w:spacing w:before="0" w:after="0" w:line="240" w:lineRule="auto"/>
            </w:pPr>
            <w:r>
              <w:rPr>
                <w:rFonts w:ascii="Arial" w:hAnsi="Arial"/>
                <w:b w:val="0"/>
                <w:sz w:val="15"/>
              </w:rPr>
              <w:t>Mean of 10 repeated out-of-fold LR probabilities per patient</w:t>
            </w:r>
          </w:p>
        </w:tc>
      </w:tr>
      <w:tr w14:paraId="1DAF32DD">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2448" w:type="dxa"/>
            <w:tcBorders>
              <w:top w:val="nil"/>
              <w:left w:val="nil"/>
              <w:bottom w:val="nil"/>
              <w:right w:val="nil"/>
            </w:tcBorders>
            <w:vAlign w:val="center"/>
          </w:tcPr>
          <w:p w14:paraId="0E38305D">
            <w:pPr>
              <w:spacing w:before="0" w:after="0" w:line="240" w:lineRule="auto"/>
            </w:pPr>
            <w:r>
              <w:rPr>
                <w:rFonts w:ascii="Arial" w:hAnsi="Arial"/>
                <w:b w:val="0"/>
                <w:sz w:val="15"/>
              </w:rPr>
              <w:t>Evaluation radiomics input</w:t>
            </w:r>
          </w:p>
        </w:tc>
        <w:tc>
          <w:tcPr>
            <w:tcW w:w="7056" w:type="dxa"/>
            <w:tcBorders>
              <w:top w:val="nil"/>
              <w:left w:val="nil"/>
              <w:bottom w:val="nil"/>
              <w:right w:val="nil"/>
            </w:tcBorders>
            <w:vAlign w:val="center"/>
          </w:tcPr>
          <w:p w14:paraId="5FEC9C3D">
            <w:pPr>
              <w:spacing w:before="0" w:after="0" w:line="240" w:lineRule="auto"/>
            </w:pPr>
            <w:r>
              <w:rPr>
                <w:rFonts w:ascii="Arial" w:hAnsi="Arial"/>
                <w:b w:val="0"/>
                <w:sz w:val="15"/>
              </w:rPr>
              <w:t>Mean probability from 50 frozen fold-specific LR pipelines</w:t>
            </w:r>
          </w:p>
        </w:tc>
      </w:tr>
      <w:tr w14:paraId="359A26E0">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2448" w:type="dxa"/>
            <w:tcBorders>
              <w:top w:val="nil"/>
              <w:left w:val="nil"/>
              <w:bottom w:val="nil"/>
              <w:right w:val="nil"/>
            </w:tcBorders>
            <w:vAlign w:val="center"/>
          </w:tcPr>
          <w:p w14:paraId="4FAEA084">
            <w:pPr>
              <w:spacing w:before="0" w:after="0" w:line="240" w:lineRule="auto"/>
            </w:pPr>
            <w:r>
              <w:rPr>
                <w:rFonts w:ascii="Arial" w:hAnsi="Arial"/>
                <w:b w:val="0"/>
                <w:sz w:val="15"/>
              </w:rPr>
              <w:t>Second-level equation</w:t>
            </w:r>
          </w:p>
        </w:tc>
        <w:tc>
          <w:tcPr>
            <w:tcW w:w="7056" w:type="dxa"/>
            <w:tcBorders>
              <w:top w:val="nil"/>
              <w:left w:val="nil"/>
              <w:bottom w:val="nil"/>
              <w:right w:val="nil"/>
            </w:tcBorders>
            <w:vAlign w:val="center"/>
          </w:tcPr>
          <w:p w14:paraId="5B313D89">
            <w:pPr>
              <w:spacing w:before="0" w:after="0" w:line="240" w:lineRule="auto"/>
            </w:pPr>
            <w:r>
              <w:rPr>
                <w:rFonts w:ascii="Arial" w:hAnsi="Arial"/>
                <w:b w:val="0"/>
                <w:sz w:val="15"/>
              </w:rPr>
              <w:t>logit[P(IAC)] = −2.8942650338 + 2.4415859945 × PI + 3.6765207574 × CrossFitted_Rad_score</w:t>
            </w:r>
          </w:p>
        </w:tc>
      </w:tr>
      <w:tr w14:paraId="28AF0256">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2448" w:type="dxa"/>
            <w:tcBorders>
              <w:top w:val="nil"/>
              <w:left w:val="nil"/>
              <w:bottom w:val="nil"/>
              <w:right w:val="nil"/>
            </w:tcBorders>
            <w:vAlign w:val="center"/>
          </w:tcPr>
          <w:p w14:paraId="2AFE400A">
            <w:pPr>
              <w:spacing w:before="0" w:after="0" w:line="240" w:lineRule="auto"/>
            </w:pPr>
            <w:r>
              <w:rPr>
                <w:rFonts w:ascii="Arial" w:hAnsi="Arial"/>
                <w:b w:val="0"/>
                <w:sz w:val="15"/>
              </w:rPr>
              <w:t>Cutoff derivation</w:t>
            </w:r>
          </w:p>
        </w:tc>
        <w:tc>
          <w:tcPr>
            <w:tcW w:w="7056" w:type="dxa"/>
            <w:tcBorders>
              <w:top w:val="nil"/>
              <w:left w:val="nil"/>
              <w:bottom w:val="nil"/>
              <w:right w:val="nil"/>
            </w:tcBorders>
            <w:vAlign w:val="center"/>
          </w:tcPr>
          <w:p w14:paraId="4C0D907F">
            <w:pPr>
              <w:spacing w:before="0" w:after="0" w:line="240" w:lineRule="auto"/>
            </w:pPr>
            <w:r>
              <w:rPr>
                <w:rFonts w:ascii="Arial" w:hAnsi="Arial"/>
                <w:b w:val="0"/>
                <w:sz w:val="15"/>
              </w:rPr>
              <w:t>0.3731118318; maximum Youden J from in-sample second-level probabilities based on out-of-fold radiomics inputs in n = 66; ties: specificity, then higher threshold</w:t>
            </w:r>
          </w:p>
        </w:tc>
      </w:tr>
      <w:tr w14:paraId="590D93DB">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2448" w:type="dxa"/>
            <w:tcBorders>
              <w:top w:val="nil"/>
              <w:left w:val="nil"/>
              <w:bottom w:val="nil"/>
              <w:right w:val="nil"/>
            </w:tcBorders>
            <w:vAlign w:val="center"/>
          </w:tcPr>
          <w:p w14:paraId="133DC25D">
            <w:pPr>
              <w:spacing w:before="0" w:after="0" w:line="240" w:lineRule="auto"/>
            </w:pPr>
            <w:r>
              <w:rPr>
                <w:rFonts w:ascii="Arial" w:hAnsi="Arial"/>
                <w:b w:val="0"/>
                <w:sz w:val="15"/>
              </w:rPr>
              <w:t>Equivalent operating rule</w:t>
            </w:r>
          </w:p>
        </w:tc>
        <w:tc>
          <w:tcPr>
            <w:tcW w:w="7056" w:type="dxa"/>
            <w:tcBorders>
              <w:top w:val="nil"/>
              <w:left w:val="nil"/>
              <w:bottom w:val="nil"/>
              <w:right w:val="nil"/>
            </w:tcBorders>
            <w:vAlign w:val="center"/>
          </w:tcPr>
          <w:p w14:paraId="503EFC3D">
            <w:pPr>
              <w:spacing w:before="0" w:after="0" w:line="240" w:lineRule="auto"/>
            </w:pPr>
            <w:r>
              <w:rPr>
                <w:rFonts w:ascii="Arial" w:hAnsi="Arial"/>
                <w:b w:val="0"/>
                <w:sz w:val="15"/>
              </w:rPr>
              <w:t>PI present OR (PI absent and CrossFitted_Rad_score ≥0.646093) → IAC</w:t>
            </w:r>
          </w:p>
        </w:tc>
      </w:tr>
      <w:tr w14:paraId="07F5C986">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2448" w:type="dxa"/>
            <w:tcBorders>
              <w:top w:val="nil"/>
              <w:left w:val="nil"/>
              <w:bottom w:val="nil"/>
              <w:right w:val="nil"/>
            </w:tcBorders>
            <w:vAlign w:val="center"/>
          </w:tcPr>
          <w:p w14:paraId="7E876F27">
            <w:pPr>
              <w:spacing w:before="0" w:after="0" w:line="240" w:lineRule="auto"/>
            </w:pPr>
            <w:r>
              <w:rPr>
                <w:rFonts w:ascii="Arial" w:hAnsi="Arial"/>
                <w:b w:val="0"/>
                <w:sz w:val="15"/>
              </w:rPr>
              <w:t>Evaluation consequences</w:t>
            </w:r>
          </w:p>
        </w:tc>
        <w:tc>
          <w:tcPr>
            <w:tcW w:w="7056" w:type="dxa"/>
            <w:tcBorders>
              <w:top w:val="nil"/>
              <w:left w:val="nil"/>
              <w:bottom w:val="nil"/>
              <w:right w:val="nil"/>
            </w:tcBorders>
            <w:vAlign w:val="center"/>
          </w:tcPr>
          <w:p w14:paraId="0D1599DF">
            <w:pPr>
              <w:spacing w:before="0" w:after="0" w:line="240" w:lineRule="auto"/>
            </w:pPr>
            <w:r>
              <w:rPr>
                <w:rFonts w:ascii="Arial" w:hAnsi="Arial"/>
                <w:b w:val="0"/>
                <w:sz w:val="15"/>
              </w:rPr>
              <w:t>All 13 PI-positive cases classified positive (10 IAC, 3 eNCPH); among 16 PI-negative cases, radiomics added 4 IAC and 1 eNCPH</w:t>
            </w:r>
          </w:p>
        </w:tc>
      </w:tr>
      <w:tr w14:paraId="37289E56">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2448" w:type="dxa"/>
            <w:tcBorders>
              <w:top w:val="nil"/>
              <w:left w:val="nil"/>
              <w:bottom w:val="single" w:color="auto" w:sz="4" w:space="0"/>
              <w:right w:val="nil"/>
            </w:tcBorders>
            <w:vAlign w:val="center"/>
          </w:tcPr>
          <w:p w14:paraId="6AB25605">
            <w:pPr>
              <w:spacing w:before="0" w:after="0" w:line="240" w:lineRule="auto"/>
            </w:pPr>
            <w:r>
              <w:rPr>
                <w:rFonts w:ascii="Arial" w:hAnsi="Arial"/>
                <w:b w:val="0"/>
                <w:sz w:val="15"/>
              </w:rPr>
              <w:t>Reproducibility</w:t>
            </w:r>
          </w:p>
        </w:tc>
        <w:tc>
          <w:tcPr>
            <w:tcW w:w="7056" w:type="dxa"/>
            <w:tcBorders>
              <w:top w:val="nil"/>
              <w:left w:val="nil"/>
              <w:bottom w:val="single" w:color="auto" w:sz="4" w:space="0"/>
              <w:right w:val="nil"/>
            </w:tcBorders>
            <w:vAlign w:val="center"/>
          </w:tcPr>
          <w:p w14:paraId="0E57F54A">
            <w:pPr>
              <w:spacing w:before="0" w:after="0" w:line="240" w:lineRule="auto"/>
            </w:pPr>
            <w:r>
              <w:rPr>
                <w:rFonts w:ascii="Arial" w:hAnsi="Arial"/>
                <w:b w:val="0"/>
                <w:sz w:val="15"/>
              </w:rPr>
              <w:t>Additional file 2 contains all 50 pipelines, readable parameters, frozen objects, code, and checksums</w:t>
            </w:r>
          </w:p>
        </w:tc>
      </w:tr>
    </w:tbl>
    <w:p w14:paraId="55F54411">
      <w:pPr>
        <w:pStyle w:val="168"/>
        <w:keepNext/>
        <w:keepLines/>
        <w:spacing w:before="160" w:after="60"/>
      </w:pPr>
      <w:r>
        <w:rPr>
          <w:rFonts w:ascii="Times New Roman" w:hAnsi="Times New Roman"/>
          <w:b/>
          <w:sz w:val="20"/>
        </w:rPr>
        <w:t>Table S8. Classifier selection and repeated nested assessment</w:t>
      </w:r>
    </w:p>
    <w:tbl>
      <w:tblPr>
        <w:tblStyle w:val="33"/>
        <w:tblW w:w="0" w:type="auto"/>
        <w:jc w:val="center"/>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303"/>
        <w:gridCol w:w="2303"/>
        <w:gridCol w:w="2303"/>
        <w:gridCol w:w="2303"/>
      </w:tblGrid>
      <w:tr w14:paraId="2661D326">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tblHeader w:val="true"/>
          <w:jc w:val="center"/>
        </w:trPr>
        <w:tc>
          <w:tcPr>
            <w:tcW w:w="2160" w:type="dxa"/>
            <w:tcBorders>
              <w:top w:val="single" w:color="000000" w:sz="12" w:space="0"/>
              <w:left w:val="nil"/>
              <w:bottom w:val="single" w:color="000000" w:sz="6" w:space="0"/>
              <w:right w:val="nil"/>
            </w:tcBorders>
            <w:shd w:val="clear" w:color="auto" w:fill="D9EAF3"/>
            <w:tcMar>
              <w:top w:w="50" w:type="dxa"/>
              <w:left w:w="60" w:type="dxa"/>
              <w:bottom w:w="50" w:type="dxa"/>
              <w:right w:w="60" w:type="dxa"/>
            </w:tcMar>
            <w:vAlign w:val="center"/>
          </w:tcPr>
          <w:p w14:paraId="0E3B282C">
            <w:pPr>
              <w:spacing w:before="0" w:after="0" w:line="240" w:lineRule="auto"/>
              <w:jc w:val="center"/>
            </w:pPr>
            <w:r>
              <w:rPr>
                <w:rFonts w:ascii="Arial" w:hAnsi="Arial" w:eastAsia="Times New Roman"/>
                <w:b/>
                <w:sz w:val="15"/>
              </w:rPr>
              <w:t>Classifier family</w:t>
            </w:r>
          </w:p>
        </w:tc>
        <w:tc>
          <w:tcPr>
            <w:tcW w:w="2951" w:type="dxa"/>
            <w:tcBorders>
              <w:top w:val="single" w:color="000000" w:sz="12" w:space="0"/>
              <w:left w:val="nil"/>
              <w:bottom w:val="single" w:color="000000" w:sz="6" w:space="0"/>
              <w:right w:val="nil"/>
            </w:tcBorders>
            <w:shd w:val="clear" w:color="auto" w:fill="D9EAF3"/>
            <w:tcMar>
              <w:top w:w="50" w:type="dxa"/>
              <w:left w:w="60" w:type="dxa"/>
              <w:bottom w:w="50" w:type="dxa"/>
              <w:right w:w="60" w:type="dxa"/>
            </w:tcMar>
            <w:vAlign w:val="center"/>
          </w:tcPr>
          <w:p w14:paraId="26B9F695">
            <w:pPr>
              <w:spacing w:before="0" w:after="0" w:line="240" w:lineRule="auto"/>
              <w:jc w:val="center"/>
            </w:pPr>
            <w:r>
              <w:rPr>
                <w:rFonts w:ascii="Arial" w:hAnsi="Arial" w:eastAsia="Times New Roman"/>
                <w:b/>
                <w:sz w:val="15"/>
              </w:rPr>
              <w:t>Full-66 model-selection CV mean AUC</w:t>
            </w:r>
          </w:p>
        </w:tc>
        <w:tc>
          <w:tcPr>
            <w:tcW w:w="1080" w:type="dxa"/>
            <w:tcBorders>
              <w:top w:val="single" w:color="000000" w:sz="12" w:space="0"/>
              <w:left w:val="nil"/>
              <w:bottom w:val="single" w:color="000000" w:sz="6" w:space="0"/>
              <w:right w:val="nil"/>
            </w:tcBorders>
            <w:shd w:val="clear" w:color="auto" w:fill="D9EAF3"/>
            <w:tcMar>
              <w:top w:w="50" w:type="dxa"/>
              <w:left w:w="60" w:type="dxa"/>
              <w:bottom w:w="50" w:type="dxa"/>
              <w:right w:w="60" w:type="dxa"/>
            </w:tcMar>
            <w:vAlign w:val="center"/>
          </w:tcPr>
          <w:p w14:paraId="6A01C31F">
            <w:pPr>
              <w:spacing w:before="0" w:after="0" w:line="240" w:lineRule="auto"/>
              <w:jc w:val="center"/>
            </w:pPr>
            <w:r>
              <w:rPr>
                <w:rFonts w:ascii="Arial" w:hAnsi="Arial" w:eastAsia="Times New Roman"/>
                <w:b/>
                <w:sz w:val="15"/>
              </w:rPr>
              <w:t>SD</w:t>
            </w:r>
          </w:p>
        </w:tc>
        <w:tc>
          <w:tcPr>
            <w:tcW w:w="3024" w:type="dxa"/>
            <w:tcBorders>
              <w:top w:val="single" w:color="000000" w:sz="12" w:space="0"/>
              <w:left w:val="nil"/>
              <w:bottom w:val="single" w:color="000000" w:sz="6" w:space="0"/>
              <w:right w:val="nil"/>
            </w:tcBorders>
            <w:shd w:val="clear" w:color="auto" w:fill="D9EAF3"/>
            <w:tcMar>
              <w:top w:w="50" w:type="dxa"/>
              <w:left w:w="60" w:type="dxa"/>
              <w:bottom w:w="50" w:type="dxa"/>
              <w:right w:w="60" w:type="dxa"/>
            </w:tcMar>
            <w:vAlign w:val="center"/>
          </w:tcPr>
          <w:p w14:paraId="2850F397">
            <w:pPr>
              <w:spacing w:before="0" w:after="0" w:line="240" w:lineRule="auto"/>
              <w:jc w:val="center"/>
            </w:pPr>
            <w:r>
              <w:rPr>
                <w:rFonts w:ascii="Arial" w:hAnsi="Arial" w:eastAsia="Times New Roman"/>
                <w:b/>
                <w:sz w:val="15"/>
              </w:rPr>
              <w:t>Selections among 50 nested outer splits</w:t>
            </w:r>
          </w:p>
        </w:tc>
      </w:tr>
      <w:tr w14:paraId="3E8ECD8E">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2160" w:type="dxa"/>
            <w:tcBorders>
              <w:top w:val="nil"/>
              <w:left w:val="nil"/>
              <w:bottom w:val="nil"/>
              <w:right w:val="nil"/>
            </w:tcBorders>
            <w:shd w:val="clear" w:color="auto" w:fill="auto"/>
            <w:tcMar>
              <w:top w:w="50" w:type="dxa"/>
              <w:left w:w="60" w:type="dxa"/>
              <w:bottom w:w="50" w:type="dxa"/>
              <w:right w:w="60" w:type="dxa"/>
            </w:tcMar>
            <w:vAlign w:val="center"/>
          </w:tcPr>
          <w:p w14:paraId="6EC98D57">
            <w:pPr>
              <w:spacing w:before="0" w:after="0" w:line="240" w:lineRule="auto"/>
              <w:jc w:val="left"/>
            </w:pPr>
            <w:r>
              <w:rPr>
                <w:rFonts w:ascii="Arial" w:hAnsi="Arial" w:eastAsia="Times New Roman"/>
                <w:b w:val="0"/>
                <w:sz w:val="15"/>
              </w:rPr>
              <w:t>LR</w:t>
            </w:r>
          </w:p>
        </w:tc>
        <w:tc>
          <w:tcPr>
            <w:tcW w:w="2951" w:type="dxa"/>
            <w:tcBorders>
              <w:top w:val="nil"/>
              <w:left w:val="nil"/>
              <w:bottom w:val="nil"/>
              <w:right w:val="nil"/>
            </w:tcBorders>
            <w:shd w:val="clear" w:color="auto" w:fill="auto"/>
            <w:tcMar>
              <w:top w:w="50" w:type="dxa"/>
              <w:left w:w="60" w:type="dxa"/>
              <w:bottom w:w="50" w:type="dxa"/>
              <w:right w:w="60" w:type="dxa"/>
            </w:tcMar>
            <w:vAlign w:val="center"/>
          </w:tcPr>
          <w:p w14:paraId="64D62DA8">
            <w:pPr>
              <w:spacing w:before="0" w:after="0" w:line="240" w:lineRule="auto"/>
              <w:jc w:val="center"/>
            </w:pPr>
            <w:r>
              <w:rPr>
                <w:rFonts w:ascii="Arial" w:hAnsi="Arial" w:eastAsia="Times New Roman"/>
                <w:b w:val="0"/>
                <w:sz w:val="15"/>
              </w:rPr>
              <w:t>0.786</w:t>
            </w:r>
          </w:p>
        </w:tc>
        <w:tc>
          <w:tcPr>
            <w:tcW w:w="1080" w:type="dxa"/>
            <w:tcBorders>
              <w:top w:val="nil"/>
              <w:left w:val="nil"/>
              <w:bottom w:val="nil"/>
              <w:right w:val="nil"/>
            </w:tcBorders>
            <w:shd w:val="clear" w:color="auto" w:fill="auto"/>
            <w:tcMar>
              <w:top w:w="50" w:type="dxa"/>
              <w:left w:w="60" w:type="dxa"/>
              <w:bottom w:w="50" w:type="dxa"/>
              <w:right w:w="60" w:type="dxa"/>
            </w:tcMar>
            <w:vAlign w:val="center"/>
          </w:tcPr>
          <w:p w14:paraId="7049EC67">
            <w:pPr>
              <w:spacing w:before="0" w:after="0" w:line="240" w:lineRule="auto"/>
              <w:jc w:val="center"/>
            </w:pPr>
            <w:r>
              <w:rPr>
                <w:rFonts w:ascii="Arial" w:hAnsi="Arial" w:eastAsia="Times New Roman"/>
                <w:b w:val="0"/>
                <w:sz w:val="15"/>
              </w:rPr>
              <w:t>0.142</w:t>
            </w:r>
          </w:p>
        </w:tc>
        <w:tc>
          <w:tcPr>
            <w:tcW w:w="3024" w:type="dxa"/>
            <w:tcBorders>
              <w:top w:val="nil"/>
              <w:left w:val="nil"/>
              <w:bottom w:val="nil"/>
              <w:right w:val="nil"/>
            </w:tcBorders>
            <w:shd w:val="clear" w:color="auto" w:fill="auto"/>
            <w:tcMar>
              <w:top w:w="50" w:type="dxa"/>
              <w:left w:w="60" w:type="dxa"/>
              <w:bottom w:w="50" w:type="dxa"/>
              <w:right w:w="60" w:type="dxa"/>
            </w:tcMar>
            <w:vAlign w:val="center"/>
          </w:tcPr>
          <w:p w14:paraId="6290F5AA">
            <w:pPr>
              <w:spacing w:before="0" w:after="0" w:line="240" w:lineRule="auto"/>
              <w:jc w:val="center"/>
            </w:pPr>
            <w:r>
              <w:rPr>
                <w:rFonts w:ascii="Arial" w:hAnsi="Arial" w:eastAsia="Times New Roman"/>
                <w:b w:val="0"/>
                <w:sz w:val="15"/>
              </w:rPr>
              <w:t>12</w:t>
            </w:r>
          </w:p>
        </w:tc>
      </w:tr>
      <w:tr w14:paraId="79E0FC18">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2160" w:type="dxa"/>
            <w:tcBorders>
              <w:top w:val="nil"/>
              <w:left w:val="nil"/>
              <w:bottom w:val="nil"/>
              <w:right w:val="nil"/>
            </w:tcBorders>
            <w:shd w:val="clear" w:color="auto" w:fill="auto"/>
            <w:tcMar>
              <w:top w:w="50" w:type="dxa"/>
              <w:left w:w="60" w:type="dxa"/>
              <w:bottom w:w="50" w:type="dxa"/>
              <w:right w:w="60" w:type="dxa"/>
            </w:tcMar>
            <w:vAlign w:val="center"/>
          </w:tcPr>
          <w:p w14:paraId="72268F87">
            <w:pPr>
              <w:spacing w:before="0" w:after="0" w:line="240" w:lineRule="auto"/>
              <w:jc w:val="left"/>
            </w:pPr>
            <w:r>
              <w:rPr>
                <w:rFonts w:ascii="Arial" w:hAnsi="Arial" w:eastAsia="Times New Roman"/>
                <w:b w:val="0"/>
                <w:sz w:val="15"/>
              </w:rPr>
              <w:t>LDA</w:t>
            </w:r>
          </w:p>
        </w:tc>
        <w:tc>
          <w:tcPr>
            <w:tcW w:w="2951" w:type="dxa"/>
            <w:tcBorders>
              <w:top w:val="nil"/>
              <w:left w:val="nil"/>
              <w:bottom w:val="nil"/>
              <w:right w:val="nil"/>
            </w:tcBorders>
            <w:shd w:val="clear" w:color="auto" w:fill="auto"/>
            <w:tcMar>
              <w:top w:w="50" w:type="dxa"/>
              <w:left w:w="60" w:type="dxa"/>
              <w:bottom w:w="50" w:type="dxa"/>
              <w:right w:w="60" w:type="dxa"/>
            </w:tcMar>
            <w:vAlign w:val="center"/>
          </w:tcPr>
          <w:p w14:paraId="2B2B020A">
            <w:pPr>
              <w:spacing w:before="0" w:after="0" w:line="240" w:lineRule="auto"/>
              <w:jc w:val="center"/>
            </w:pPr>
            <w:r>
              <w:rPr>
                <w:rFonts w:ascii="Arial" w:hAnsi="Arial" w:eastAsia="Times New Roman"/>
                <w:b w:val="0"/>
                <w:sz w:val="15"/>
              </w:rPr>
              <w:t>0.769</w:t>
            </w:r>
          </w:p>
        </w:tc>
        <w:tc>
          <w:tcPr>
            <w:tcW w:w="1080" w:type="dxa"/>
            <w:tcBorders>
              <w:top w:val="nil"/>
              <w:left w:val="nil"/>
              <w:bottom w:val="nil"/>
              <w:right w:val="nil"/>
            </w:tcBorders>
            <w:shd w:val="clear" w:color="auto" w:fill="auto"/>
            <w:tcMar>
              <w:top w:w="50" w:type="dxa"/>
              <w:left w:w="60" w:type="dxa"/>
              <w:bottom w:w="50" w:type="dxa"/>
              <w:right w:w="60" w:type="dxa"/>
            </w:tcMar>
            <w:vAlign w:val="center"/>
          </w:tcPr>
          <w:p w14:paraId="18317E47">
            <w:pPr>
              <w:spacing w:before="0" w:after="0" w:line="240" w:lineRule="auto"/>
              <w:jc w:val="center"/>
            </w:pPr>
            <w:r>
              <w:rPr>
                <w:rFonts w:ascii="Arial" w:hAnsi="Arial" w:eastAsia="Times New Roman"/>
                <w:b w:val="0"/>
                <w:sz w:val="15"/>
              </w:rPr>
              <w:t>0.149</w:t>
            </w:r>
          </w:p>
        </w:tc>
        <w:tc>
          <w:tcPr>
            <w:tcW w:w="3024" w:type="dxa"/>
            <w:tcBorders>
              <w:top w:val="nil"/>
              <w:left w:val="nil"/>
              <w:bottom w:val="nil"/>
              <w:right w:val="nil"/>
            </w:tcBorders>
            <w:shd w:val="clear" w:color="auto" w:fill="auto"/>
            <w:tcMar>
              <w:top w:w="50" w:type="dxa"/>
              <w:left w:w="60" w:type="dxa"/>
              <w:bottom w:w="50" w:type="dxa"/>
              <w:right w:w="60" w:type="dxa"/>
            </w:tcMar>
            <w:vAlign w:val="center"/>
          </w:tcPr>
          <w:p w14:paraId="4AE667CA">
            <w:pPr>
              <w:spacing w:before="0" w:after="0" w:line="240" w:lineRule="auto"/>
              <w:jc w:val="center"/>
            </w:pPr>
            <w:r>
              <w:rPr>
                <w:rFonts w:ascii="Arial" w:hAnsi="Arial" w:eastAsia="Times New Roman"/>
                <w:b w:val="0"/>
                <w:sz w:val="15"/>
              </w:rPr>
              <w:t>6</w:t>
            </w:r>
          </w:p>
        </w:tc>
      </w:tr>
      <w:tr w14:paraId="4E66BB43">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2160" w:type="dxa"/>
            <w:tcBorders>
              <w:top w:val="nil"/>
              <w:left w:val="nil"/>
              <w:bottom w:val="nil"/>
              <w:right w:val="nil"/>
            </w:tcBorders>
            <w:shd w:val="clear" w:color="auto" w:fill="auto"/>
            <w:tcMar>
              <w:top w:w="50" w:type="dxa"/>
              <w:left w:w="60" w:type="dxa"/>
              <w:bottom w:w="50" w:type="dxa"/>
              <w:right w:w="60" w:type="dxa"/>
            </w:tcMar>
            <w:vAlign w:val="center"/>
          </w:tcPr>
          <w:p w14:paraId="3282C1EB">
            <w:pPr>
              <w:spacing w:before="0" w:after="0" w:line="240" w:lineRule="auto"/>
              <w:jc w:val="left"/>
            </w:pPr>
            <w:r>
              <w:rPr>
                <w:rFonts w:ascii="Arial" w:hAnsi="Arial" w:eastAsia="Times New Roman"/>
                <w:b w:val="0"/>
                <w:sz w:val="15"/>
              </w:rPr>
              <w:t>GNB</w:t>
            </w:r>
          </w:p>
        </w:tc>
        <w:tc>
          <w:tcPr>
            <w:tcW w:w="2951" w:type="dxa"/>
            <w:tcBorders>
              <w:top w:val="nil"/>
              <w:left w:val="nil"/>
              <w:bottom w:val="nil"/>
              <w:right w:val="nil"/>
            </w:tcBorders>
            <w:shd w:val="clear" w:color="auto" w:fill="auto"/>
            <w:tcMar>
              <w:top w:w="50" w:type="dxa"/>
              <w:left w:w="60" w:type="dxa"/>
              <w:bottom w:w="50" w:type="dxa"/>
              <w:right w:w="60" w:type="dxa"/>
            </w:tcMar>
            <w:vAlign w:val="center"/>
          </w:tcPr>
          <w:p w14:paraId="02152065">
            <w:pPr>
              <w:spacing w:before="0" w:after="0" w:line="240" w:lineRule="auto"/>
              <w:jc w:val="center"/>
            </w:pPr>
            <w:r>
              <w:rPr>
                <w:rFonts w:ascii="Arial" w:hAnsi="Arial" w:eastAsia="Times New Roman"/>
                <w:b w:val="0"/>
                <w:sz w:val="15"/>
              </w:rPr>
              <w:t>0.763</w:t>
            </w:r>
          </w:p>
        </w:tc>
        <w:tc>
          <w:tcPr>
            <w:tcW w:w="1080" w:type="dxa"/>
            <w:tcBorders>
              <w:top w:val="nil"/>
              <w:left w:val="nil"/>
              <w:bottom w:val="nil"/>
              <w:right w:val="nil"/>
            </w:tcBorders>
            <w:shd w:val="clear" w:color="auto" w:fill="auto"/>
            <w:tcMar>
              <w:top w:w="50" w:type="dxa"/>
              <w:left w:w="60" w:type="dxa"/>
              <w:bottom w:w="50" w:type="dxa"/>
              <w:right w:w="60" w:type="dxa"/>
            </w:tcMar>
            <w:vAlign w:val="center"/>
          </w:tcPr>
          <w:p w14:paraId="3C0C1DC6">
            <w:pPr>
              <w:spacing w:before="0" w:after="0" w:line="240" w:lineRule="auto"/>
              <w:jc w:val="center"/>
            </w:pPr>
            <w:r>
              <w:rPr>
                <w:rFonts w:ascii="Arial" w:hAnsi="Arial" w:eastAsia="Times New Roman"/>
                <w:b w:val="0"/>
                <w:sz w:val="15"/>
              </w:rPr>
              <w:t>0.139</w:t>
            </w:r>
          </w:p>
        </w:tc>
        <w:tc>
          <w:tcPr>
            <w:tcW w:w="3024" w:type="dxa"/>
            <w:tcBorders>
              <w:top w:val="nil"/>
              <w:left w:val="nil"/>
              <w:bottom w:val="nil"/>
              <w:right w:val="nil"/>
            </w:tcBorders>
            <w:shd w:val="clear" w:color="auto" w:fill="auto"/>
            <w:tcMar>
              <w:top w:w="50" w:type="dxa"/>
              <w:left w:w="60" w:type="dxa"/>
              <w:bottom w:w="50" w:type="dxa"/>
              <w:right w:w="60" w:type="dxa"/>
            </w:tcMar>
            <w:vAlign w:val="center"/>
          </w:tcPr>
          <w:p w14:paraId="5C638A68">
            <w:pPr>
              <w:spacing w:before="0" w:after="0" w:line="240" w:lineRule="auto"/>
              <w:jc w:val="center"/>
            </w:pPr>
            <w:r>
              <w:rPr>
                <w:rFonts w:ascii="Arial" w:hAnsi="Arial" w:eastAsia="Times New Roman"/>
                <w:b w:val="0"/>
                <w:sz w:val="15"/>
              </w:rPr>
              <w:t>17</w:t>
            </w:r>
          </w:p>
        </w:tc>
      </w:tr>
      <w:tr w14:paraId="7C1C6590">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2160" w:type="dxa"/>
            <w:tcBorders>
              <w:top w:val="nil"/>
              <w:left w:val="nil"/>
              <w:bottom w:val="nil"/>
              <w:right w:val="nil"/>
            </w:tcBorders>
            <w:shd w:val="clear" w:color="auto" w:fill="auto"/>
            <w:tcMar>
              <w:top w:w="50" w:type="dxa"/>
              <w:left w:w="60" w:type="dxa"/>
              <w:bottom w:w="50" w:type="dxa"/>
              <w:right w:w="60" w:type="dxa"/>
            </w:tcMar>
            <w:vAlign w:val="center"/>
          </w:tcPr>
          <w:p w14:paraId="264DC7BE">
            <w:pPr>
              <w:spacing w:before="0" w:after="0" w:line="240" w:lineRule="auto"/>
              <w:jc w:val="left"/>
            </w:pPr>
            <w:r>
              <w:rPr>
                <w:rFonts w:ascii="Arial" w:hAnsi="Arial" w:eastAsia="Times New Roman"/>
                <w:b w:val="0"/>
                <w:sz w:val="15"/>
              </w:rPr>
              <w:t>SVM</w:t>
            </w:r>
          </w:p>
        </w:tc>
        <w:tc>
          <w:tcPr>
            <w:tcW w:w="2951" w:type="dxa"/>
            <w:tcBorders>
              <w:top w:val="nil"/>
              <w:left w:val="nil"/>
              <w:bottom w:val="nil"/>
              <w:right w:val="nil"/>
            </w:tcBorders>
            <w:shd w:val="clear" w:color="auto" w:fill="auto"/>
            <w:tcMar>
              <w:top w:w="50" w:type="dxa"/>
              <w:left w:w="60" w:type="dxa"/>
              <w:bottom w:w="50" w:type="dxa"/>
              <w:right w:w="60" w:type="dxa"/>
            </w:tcMar>
            <w:vAlign w:val="center"/>
          </w:tcPr>
          <w:p w14:paraId="06149781">
            <w:pPr>
              <w:spacing w:before="0" w:after="0" w:line="240" w:lineRule="auto"/>
              <w:jc w:val="center"/>
            </w:pPr>
            <w:r>
              <w:rPr>
                <w:rFonts w:ascii="Arial" w:hAnsi="Arial" w:eastAsia="Times New Roman"/>
                <w:b w:val="0"/>
                <w:sz w:val="15"/>
              </w:rPr>
              <w:t>0.761</w:t>
            </w:r>
          </w:p>
        </w:tc>
        <w:tc>
          <w:tcPr>
            <w:tcW w:w="1080" w:type="dxa"/>
            <w:tcBorders>
              <w:top w:val="nil"/>
              <w:left w:val="nil"/>
              <w:bottom w:val="nil"/>
              <w:right w:val="nil"/>
            </w:tcBorders>
            <w:shd w:val="clear" w:color="auto" w:fill="auto"/>
            <w:tcMar>
              <w:top w:w="50" w:type="dxa"/>
              <w:left w:w="60" w:type="dxa"/>
              <w:bottom w:w="50" w:type="dxa"/>
              <w:right w:w="60" w:type="dxa"/>
            </w:tcMar>
            <w:vAlign w:val="center"/>
          </w:tcPr>
          <w:p w14:paraId="378955C0">
            <w:pPr>
              <w:spacing w:before="0" w:after="0" w:line="240" w:lineRule="auto"/>
              <w:jc w:val="center"/>
            </w:pPr>
            <w:r>
              <w:rPr>
                <w:rFonts w:ascii="Arial" w:hAnsi="Arial" w:eastAsia="Times New Roman"/>
                <w:b w:val="0"/>
                <w:sz w:val="15"/>
              </w:rPr>
              <w:t>0.120</w:t>
            </w:r>
          </w:p>
        </w:tc>
        <w:tc>
          <w:tcPr>
            <w:tcW w:w="3024" w:type="dxa"/>
            <w:tcBorders>
              <w:top w:val="nil"/>
              <w:left w:val="nil"/>
              <w:bottom w:val="nil"/>
              <w:right w:val="nil"/>
            </w:tcBorders>
            <w:shd w:val="clear" w:color="auto" w:fill="auto"/>
            <w:tcMar>
              <w:top w:w="50" w:type="dxa"/>
              <w:left w:w="60" w:type="dxa"/>
              <w:bottom w:w="50" w:type="dxa"/>
              <w:right w:w="60" w:type="dxa"/>
            </w:tcMar>
            <w:vAlign w:val="center"/>
          </w:tcPr>
          <w:p w14:paraId="2C0B7DC2">
            <w:pPr>
              <w:spacing w:before="0" w:after="0" w:line="240" w:lineRule="auto"/>
              <w:jc w:val="center"/>
            </w:pPr>
            <w:r>
              <w:rPr>
                <w:rFonts w:ascii="Arial" w:hAnsi="Arial" w:eastAsia="Times New Roman"/>
                <w:b w:val="0"/>
                <w:sz w:val="15"/>
              </w:rPr>
              <w:t>8</w:t>
            </w:r>
          </w:p>
        </w:tc>
      </w:tr>
      <w:tr w14:paraId="7FAAB0C7">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2160" w:type="dxa"/>
            <w:tcBorders>
              <w:top w:val="nil"/>
              <w:left w:val="nil"/>
              <w:bottom w:val="single" w:color="auto" w:sz="4" w:space="0"/>
              <w:right w:val="nil"/>
            </w:tcBorders>
            <w:shd w:val="clear" w:color="auto" w:fill="auto"/>
            <w:tcMar>
              <w:top w:w="50" w:type="dxa"/>
              <w:left w:w="60" w:type="dxa"/>
              <w:bottom w:w="50" w:type="dxa"/>
              <w:right w:w="60" w:type="dxa"/>
            </w:tcMar>
            <w:vAlign w:val="center"/>
          </w:tcPr>
          <w:p w14:paraId="64F6943B">
            <w:pPr>
              <w:spacing w:before="0" w:after="0" w:line="240" w:lineRule="auto"/>
              <w:jc w:val="left"/>
            </w:pPr>
            <w:r>
              <w:rPr>
                <w:rFonts w:ascii="Arial" w:hAnsi="Arial" w:eastAsia="Times New Roman"/>
                <w:b w:val="0"/>
                <w:sz w:val="15"/>
              </w:rPr>
              <w:t>SGD</w:t>
            </w:r>
          </w:p>
        </w:tc>
        <w:tc>
          <w:tcPr>
            <w:tcW w:w="2951" w:type="dxa"/>
            <w:tcBorders>
              <w:top w:val="nil"/>
              <w:left w:val="nil"/>
              <w:bottom w:val="single" w:color="auto" w:sz="4" w:space="0"/>
              <w:right w:val="nil"/>
            </w:tcBorders>
            <w:shd w:val="clear" w:color="auto" w:fill="auto"/>
            <w:tcMar>
              <w:top w:w="50" w:type="dxa"/>
              <w:left w:w="60" w:type="dxa"/>
              <w:bottom w:w="50" w:type="dxa"/>
              <w:right w:w="60" w:type="dxa"/>
            </w:tcMar>
            <w:vAlign w:val="center"/>
          </w:tcPr>
          <w:p w14:paraId="1ED6B368">
            <w:pPr>
              <w:spacing w:before="0" w:after="0" w:line="240" w:lineRule="auto"/>
              <w:jc w:val="center"/>
            </w:pPr>
            <w:r>
              <w:rPr>
                <w:rFonts w:ascii="Arial" w:hAnsi="Arial" w:eastAsia="Times New Roman"/>
                <w:b w:val="0"/>
                <w:sz w:val="15"/>
              </w:rPr>
              <w:t>0.746</w:t>
            </w:r>
          </w:p>
        </w:tc>
        <w:tc>
          <w:tcPr>
            <w:tcW w:w="1080" w:type="dxa"/>
            <w:tcBorders>
              <w:top w:val="nil"/>
              <w:left w:val="nil"/>
              <w:bottom w:val="single" w:color="auto" w:sz="4" w:space="0"/>
              <w:right w:val="nil"/>
            </w:tcBorders>
            <w:shd w:val="clear" w:color="auto" w:fill="auto"/>
            <w:tcMar>
              <w:top w:w="50" w:type="dxa"/>
              <w:left w:w="60" w:type="dxa"/>
              <w:bottom w:w="50" w:type="dxa"/>
              <w:right w:w="60" w:type="dxa"/>
            </w:tcMar>
            <w:vAlign w:val="center"/>
          </w:tcPr>
          <w:p w14:paraId="3539E867">
            <w:pPr>
              <w:spacing w:before="0" w:after="0" w:line="240" w:lineRule="auto"/>
              <w:jc w:val="center"/>
            </w:pPr>
            <w:r>
              <w:rPr>
                <w:rFonts w:ascii="Arial" w:hAnsi="Arial" w:eastAsia="Times New Roman"/>
                <w:b w:val="0"/>
                <w:sz w:val="15"/>
              </w:rPr>
              <w:t>0.210</w:t>
            </w:r>
          </w:p>
        </w:tc>
        <w:tc>
          <w:tcPr>
            <w:tcW w:w="3024" w:type="dxa"/>
            <w:tcBorders>
              <w:top w:val="nil"/>
              <w:left w:val="nil"/>
              <w:bottom w:val="single" w:color="auto" w:sz="4" w:space="0"/>
              <w:right w:val="nil"/>
            </w:tcBorders>
            <w:shd w:val="clear" w:color="auto" w:fill="auto"/>
            <w:tcMar>
              <w:top w:w="50" w:type="dxa"/>
              <w:left w:w="60" w:type="dxa"/>
              <w:bottom w:w="50" w:type="dxa"/>
              <w:right w:w="60" w:type="dxa"/>
            </w:tcMar>
            <w:vAlign w:val="center"/>
          </w:tcPr>
          <w:p w14:paraId="5F030DA0">
            <w:pPr>
              <w:spacing w:before="0" w:after="0" w:line="240" w:lineRule="auto"/>
              <w:jc w:val="center"/>
            </w:pPr>
            <w:r>
              <w:rPr>
                <w:rFonts w:ascii="Arial" w:hAnsi="Arial" w:eastAsia="Times New Roman"/>
                <w:b w:val="0"/>
                <w:sz w:val="15"/>
              </w:rPr>
              <w:t>7</w:t>
            </w:r>
          </w:p>
        </w:tc>
      </w:tr>
    </w:tbl>
    <w:p w14:paraId="1EE0E419">
      <w:pPr>
        <w:pStyle w:val="166"/>
        <w:spacing w:after="80"/>
      </w:pPr>
      <w:r>
        <w:t>Panel A: full-development model-selection CV and outer-split selection counts. LR_C1_balanced was frozen because it ranked first in the dedicated full-66 training-only model-selection CV. Candidate configurations were ranked by higher mean AUC, with lower SD and then lexicographic configuration identifier used as tie-breakers. The five fold-specific AUCs for LR_C1_balanced were 0.625, 0.900, 0.786, 0.952, and 0.667. Selection counts show that classifier-family choice was not stable across the repeated nested outer splits.</w:t>
      </w:r>
    </w:p>
    <w:p w14:paraId="12A329D2">
      <w:pPr>
        <w:pStyle w:val="168"/>
        <w:keepNext/>
        <w:keepLines/>
      </w:pPr>
      <w:r>
        <w:t>Table S8 (continued). Panel B: Candidate configurations and split controls</w:t>
      </w:r>
    </w:p>
    <w:tbl>
      <w:tblPr>
        <w:tblStyle w:val="33"/>
        <w:tblW w:w="0" w:type="auto"/>
        <w:jc w:val="center"/>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606"/>
        <w:gridCol w:w="4606"/>
      </w:tblGrid>
      <w:tr w14:paraId="4E5E8756">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tblHeader w:val="true"/>
          <w:jc w:val="center"/>
        </w:trPr>
        <w:tc>
          <w:tcPr>
            <w:tcW w:w="2880" w:type="dxa"/>
            <w:tcBorders>
              <w:top w:val="single" w:color="000000" w:sz="12" w:space="0"/>
              <w:left w:val="nil"/>
              <w:bottom w:val="single" w:color="000000" w:sz="6" w:space="0"/>
              <w:right w:val="nil"/>
            </w:tcBorders>
            <w:shd w:val="clear" w:color="auto" w:fill="D9EAF3"/>
            <w:vAlign w:val="center"/>
          </w:tcPr>
          <w:p w14:paraId="011C1C19">
            <w:pPr>
              <w:spacing w:before="0" w:after="0" w:line="240" w:lineRule="auto"/>
              <w:jc w:val="center"/>
            </w:pPr>
            <w:r>
              <w:rPr>
                <w:rFonts w:ascii="Arial" w:hAnsi="Arial"/>
                <w:b/>
                <w:sz w:val="15"/>
              </w:rPr>
              <w:t>Stage/family</w:t>
            </w:r>
          </w:p>
        </w:tc>
        <w:tc>
          <w:tcPr>
            <w:tcW w:w="6624" w:type="dxa"/>
            <w:tcBorders>
              <w:top w:val="single" w:color="000000" w:sz="12" w:space="0"/>
              <w:left w:val="nil"/>
              <w:bottom w:val="single" w:color="000000" w:sz="6" w:space="0"/>
              <w:right w:val="nil"/>
            </w:tcBorders>
            <w:shd w:val="clear" w:color="auto" w:fill="D9EAF3"/>
            <w:vAlign w:val="center"/>
          </w:tcPr>
          <w:p w14:paraId="21B9D7FF">
            <w:pPr>
              <w:spacing w:before="0" w:after="0" w:line="240" w:lineRule="auto"/>
              <w:jc w:val="center"/>
            </w:pPr>
            <w:r>
              <w:rPr>
                <w:rFonts w:ascii="Arial" w:hAnsi="Arial"/>
                <w:b/>
                <w:sz w:val="15"/>
              </w:rPr>
              <w:t>Candidate configuration or grid</w:t>
            </w:r>
          </w:p>
        </w:tc>
      </w:tr>
      <w:tr w14:paraId="64F1B54E">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2880" w:type="dxa"/>
            <w:tcBorders>
              <w:top w:val="nil"/>
              <w:left w:val="nil"/>
              <w:bottom w:val="nil"/>
              <w:right w:val="nil"/>
            </w:tcBorders>
            <w:vAlign w:val="center"/>
          </w:tcPr>
          <w:p w14:paraId="49EF5F13">
            <w:pPr>
              <w:spacing w:before="0" w:after="0" w:line="240" w:lineRule="auto"/>
            </w:pPr>
            <w:r>
              <w:rPr>
                <w:rFonts w:ascii="Arial" w:hAnsi="Arial"/>
                <w:b w:val="0"/>
                <w:sz w:val="15"/>
              </w:rPr>
              <w:t>Patient-level split</w:t>
            </w:r>
          </w:p>
        </w:tc>
        <w:tc>
          <w:tcPr>
            <w:tcW w:w="6624" w:type="dxa"/>
            <w:tcBorders>
              <w:top w:val="nil"/>
              <w:left w:val="nil"/>
              <w:bottom w:val="nil"/>
              <w:right w:val="nil"/>
            </w:tcBorders>
            <w:vAlign w:val="center"/>
          </w:tcPr>
          <w:p w14:paraId="1A28D53D">
            <w:pPr>
              <w:spacing w:before="0" w:after="0" w:line="240" w:lineRule="auto"/>
            </w:pPr>
            <w:r>
              <w:rPr>
                <w:rFonts w:ascii="Arial" w:hAnsi="Arial"/>
                <w:b w:val="0"/>
                <w:sz w:val="15"/>
              </w:rPr>
              <w:t>Stratified by diagnosis; test_size = 0.30; random_state = 1</w:t>
            </w:r>
          </w:p>
        </w:tc>
      </w:tr>
      <w:tr w14:paraId="32E7423A">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2880" w:type="dxa"/>
            <w:tcBorders>
              <w:top w:val="nil"/>
              <w:left w:val="nil"/>
              <w:bottom w:val="nil"/>
              <w:right w:val="nil"/>
            </w:tcBorders>
            <w:vAlign w:val="center"/>
          </w:tcPr>
          <w:p w14:paraId="2FD72A56">
            <w:pPr>
              <w:spacing w:before="0" w:after="0" w:line="240" w:lineRule="auto"/>
            </w:pPr>
            <w:r>
              <w:rPr>
                <w:rFonts w:ascii="Arial" w:hAnsi="Arial"/>
                <w:b w:val="0"/>
                <w:sz w:val="15"/>
              </w:rPr>
              <w:t>Dedicated model-selection CV</w:t>
            </w:r>
          </w:p>
        </w:tc>
        <w:tc>
          <w:tcPr>
            <w:tcW w:w="6624" w:type="dxa"/>
            <w:tcBorders>
              <w:top w:val="nil"/>
              <w:left w:val="nil"/>
              <w:bottom w:val="nil"/>
              <w:right w:val="nil"/>
            </w:tcBorders>
            <w:vAlign w:val="center"/>
          </w:tcPr>
          <w:p w14:paraId="3FBC4674">
            <w:pPr>
              <w:spacing w:before="0" w:after="0" w:line="240" w:lineRule="auto"/>
            </w:pPr>
            <w:r>
              <w:rPr>
                <w:rFonts w:ascii="Arial" w:hAnsi="Arial"/>
                <w:b w:val="0"/>
                <w:sz w:val="15"/>
              </w:rPr>
              <w:t>StratifiedKFold, 5 folds, shuffle = true, random_state = 9090</w:t>
            </w:r>
          </w:p>
        </w:tc>
      </w:tr>
      <w:tr w14:paraId="743A547D">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2880" w:type="dxa"/>
            <w:tcBorders>
              <w:top w:val="nil"/>
              <w:left w:val="nil"/>
              <w:bottom w:val="nil"/>
              <w:right w:val="nil"/>
            </w:tcBorders>
            <w:vAlign w:val="center"/>
          </w:tcPr>
          <w:p w14:paraId="3897EB32">
            <w:pPr>
              <w:spacing w:before="0" w:after="0" w:line="240" w:lineRule="auto"/>
            </w:pPr>
            <w:r>
              <w:rPr>
                <w:rFonts w:ascii="Arial" w:hAnsi="Arial"/>
                <w:b w:val="0"/>
                <w:sz w:val="15"/>
              </w:rPr>
              <w:t>LR</w:t>
            </w:r>
          </w:p>
        </w:tc>
        <w:tc>
          <w:tcPr>
            <w:tcW w:w="6624" w:type="dxa"/>
            <w:tcBorders>
              <w:top w:val="nil"/>
              <w:left w:val="nil"/>
              <w:bottom w:val="nil"/>
              <w:right w:val="nil"/>
            </w:tcBorders>
            <w:vAlign w:val="center"/>
          </w:tcPr>
          <w:p w14:paraId="104E40E5">
            <w:pPr>
              <w:spacing w:before="0" w:after="0" w:line="240" w:lineRule="auto"/>
            </w:pPr>
            <w:r>
              <w:rPr>
                <w:rFonts w:ascii="Arial" w:hAnsi="Arial"/>
                <w:b w:val="0"/>
                <w:sz w:val="15"/>
              </w:rPr>
              <w:t>C = 1; L2; lbfgs; class_weight = balanced; max_iter = 1000</w:t>
            </w:r>
          </w:p>
        </w:tc>
      </w:tr>
      <w:tr w14:paraId="5AD00DF9">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2880" w:type="dxa"/>
            <w:tcBorders>
              <w:top w:val="nil"/>
              <w:left w:val="nil"/>
              <w:bottom w:val="nil"/>
              <w:right w:val="nil"/>
            </w:tcBorders>
            <w:vAlign w:val="center"/>
          </w:tcPr>
          <w:p w14:paraId="781438CC">
            <w:pPr>
              <w:spacing w:before="0" w:after="0" w:line="240" w:lineRule="auto"/>
            </w:pPr>
            <w:r>
              <w:rPr>
                <w:rFonts w:ascii="Arial" w:hAnsi="Arial"/>
                <w:b w:val="0"/>
                <w:sz w:val="15"/>
              </w:rPr>
              <w:t>SVM</w:t>
            </w:r>
          </w:p>
        </w:tc>
        <w:tc>
          <w:tcPr>
            <w:tcW w:w="6624" w:type="dxa"/>
            <w:tcBorders>
              <w:top w:val="nil"/>
              <w:left w:val="nil"/>
              <w:bottom w:val="nil"/>
              <w:right w:val="nil"/>
            </w:tcBorders>
            <w:vAlign w:val="center"/>
          </w:tcPr>
          <w:p w14:paraId="27B2F423">
            <w:pPr>
              <w:spacing w:before="0" w:after="0" w:line="240" w:lineRule="auto"/>
            </w:pPr>
            <w:r>
              <w:rPr>
                <w:rFonts w:ascii="Arial" w:hAnsi="Arial"/>
                <w:b w:val="0"/>
                <w:sz w:val="15"/>
              </w:rPr>
              <w:t>RBF kernel; C = 1; gamma = scale; class_weight = balanced; probability = true</w:t>
            </w:r>
          </w:p>
        </w:tc>
      </w:tr>
      <w:tr w14:paraId="1975256A">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2880" w:type="dxa"/>
            <w:tcBorders>
              <w:top w:val="nil"/>
              <w:left w:val="nil"/>
              <w:bottom w:val="nil"/>
              <w:right w:val="nil"/>
            </w:tcBorders>
            <w:vAlign w:val="center"/>
          </w:tcPr>
          <w:p w14:paraId="32642842">
            <w:pPr>
              <w:spacing w:before="0" w:after="0" w:line="240" w:lineRule="auto"/>
            </w:pPr>
            <w:r>
              <w:rPr>
                <w:rFonts w:ascii="Arial" w:hAnsi="Arial"/>
                <w:b w:val="0"/>
                <w:sz w:val="15"/>
              </w:rPr>
              <w:t>SGD</w:t>
            </w:r>
          </w:p>
        </w:tc>
        <w:tc>
          <w:tcPr>
            <w:tcW w:w="6624" w:type="dxa"/>
            <w:tcBorders>
              <w:top w:val="nil"/>
              <w:left w:val="nil"/>
              <w:bottom w:val="nil"/>
              <w:right w:val="nil"/>
            </w:tcBorders>
            <w:vAlign w:val="center"/>
          </w:tcPr>
          <w:p w14:paraId="40EABEDF">
            <w:pPr>
              <w:spacing w:before="0" w:after="0" w:line="240" w:lineRule="auto"/>
            </w:pPr>
            <w:r>
              <w:rPr>
                <w:rFonts w:ascii="Arial" w:hAnsi="Arial"/>
                <w:b w:val="0"/>
                <w:sz w:val="15"/>
              </w:rPr>
              <w:t>log_loss; L2; alpha = 10^-4; class_weight = balanced; learning_rate = optimal; max_iter = 1000; tol = 0.001</w:t>
            </w:r>
          </w:p>
        </w:tc>
      </w:tr>
      <w:tr w14:paraId="6074C8C6">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2880" w:type="dxa"/>
            <w:tcBorders>
              <w:top w:val="nil"/>
              <w:left w:val="nil"/>
              <w:bottom w:val="nil"/>
              <w:right w:val="nil"/>
            </w:tcBorders>
            <w:vAlign w:val="center"/>
          </w:tcPr>
          <w:p w14:paraId="63B942D5">
            <w:pPr>
              <w:spacing w:before="0" w:after="0" w:line="240" w:lineRule="auto"/>
            </w:pPr>
            <w:r>
              <w:rPr>
                <w:rFonts w:ascii="Arial" w:hAnsi="Arial"/>
                <w:b w:val="0"/>
                <w:sz w:val="15"/>
              </w:rPr>
              <w:t>LDA</w:t>
            </w:r>
          </w:p>
        </w:tc>
        <w:tc>
          <w:tcPr>
            <w:tcW w:w="6624" w:type="dxa"/>
            <w:tcBorders>
              <w:top w:val="nil"/>
              <w:left w:val="nil"/>
              <w:bottom w:val="nil"/>
              <w:right w:val="nil"/>
            </w:tcBorders>
            <w:vAlign w:val="center"/>
          </w:tcPr>
          <w:p w14:paraId="26447E03">
            <w:pPr>
              <w:spacing w:before="0" w:after="0" w:line="240" w:lineRule="auto"/>
            </w:pPr>
            <w:r>
              <w:rPr>
                <w:rFonts w:ascii="Arial" w:hAnsi="Arial"/>
                <w:b w:val="0"/>
                <w:sz w:val="15"/>
              </w:rPr>
              <w:t>solver = svd</w:t>
            </w:r>
          </w:p>
        </w:tc>
      </w:tr>
      <w:tr w14:paraId="39BD5AD1">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2880" w:type="dxa"/>
            <w:tcBorders>
              <w:top w:val="nil"/>
              <w:left w:val="nil"/>
              <w:bottom w:val="nil"/>
              <w:right w:val="nil"/>
            </w:tcBorders>
            <w:vAlign w:val="center"/>
          </w:tcPr>
          <w:p w14:paraId="789B7B07">
            <w:pPr>
              <w:spacing w:before="0" w:after="0" w:line="240" w:lineRule="auto"/>
            </w:pPr>
            <w:r>
              <w:rPr>
                <w:rFonts w:ascii="Arial" w:hAnsi="Arial"/>
                <w:b w:val="0"/>
                <w:sz w:val="15"/>
              </w:rPr>
              <w:t>GNB</w:t>
            </w:r>
          </w:p>
        </w:tc>
        <w:tc>
          <w:tcPr>
            <w:tcW w:w="6624" w:type="dxa"/>
            <w:tcBorders>
              <w:top w:val="nil"/>
              <w:left w:val="nil"/>
              <w:bottom w:val="nil"/>
              <w:right w:val="nil"/>
            </w:tcBorders>
            <w:vAlign w:val="center"/>
          </w:tcPr>
          <w:p w14:paraId="6E683A8C">
            <w:pPr>
              <w:spacing w:before="0" w:after="0" w:line="240" w:lineRule="auto"/>
            </w:pPr>
            <w:r>
              <w:rPr>
                <w:rFonts w:ascii="Arial" w:hAnsi="Arial"/>
                <w:b w:val="0"/>
                <w:sz w:val="15"/>
              </w:rPr>
              <w:t>var_smoothing ∈ logspace(10^-12, 10^0, 13)</w:t>
            </w:r>
          </w:p>
        </w:tc>
      </w:tr>
      <w:tr w14:paraId="7860EC26">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2880" w:type="dxa"/>
            <w:tcBorders>
              <w:top w:val="nil"/>
              <w:left w:val="nil"/>
              <w:bottom w:val="nil"/>
              <w:right w:val="nil"/>
            </w:tcBorders>
            <w:vAlign w:val="center"/>
          </w:tcPr>
          <w:p w14:paraId="6B15A917">
            <w:pPr>
              <w:spacing w:before="0" w:after="0" w:line="240" w:lineRule="auto"/>
            </w:pPr>
            <w:r>
              <w:rPr>
                <w:rFonts w:ascii="Arial" w:hAnsi="Arial"/>
                <w:b w:val="0"/>
                <w:sz w:val="15"/>
              </w:rPr>
              <w:t>L1 feature selection</w:t>
            </w:r>
          </w:p>
        </w:tc>
        <w:tc>
          <w:tcPr>
            <w:tcW w:w="6624" w:type="dxa"/>
            <w:tcBorders>
              <w:top w:val="nil"/>
              <w:left w:val="nil"/>
              <w:bottom w:val="nil"/>
              <w:right w:val="nil"/>
            </w:tcBorders>
            <w:vAlign w:val="center"/>
          </w:tcPr>
          <w:p w14:paraId="59007E24">
            <w:pPr>
              <w:spacing w:before="0" w:after="0" w:line="240" w:lineRule="auto"/>
            </w:pPr>
            <w:r>
              <w:rPr>
                <w:rFonts w:ascii="Arial" w:hAnsi="Arial"/>
                <w:b w:val="0"/>
                <w:sz w:val="15"/>
              </w:rPr>
              <w:t>C ∈ logspace(10^-4, 10^4, 100); 10-fold training-only CV</w:t>
            </w:r>
          </w:p>
        </w:tc>
      </w:tr>
      <w:tr w14:paraId="7360EFC9">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2880" w:type="dxa"/>
            <w:tcBorders>
              <w:top w:val="nil"/>
              <w:left w:val="nil"/>
              <w:bottom w:val="nil"/>
              <w:right w:val="nil"/>
            </w:tcBorders>
            <w:vAlign w:val="center"/>
          </w:tcPr>
          <w:p w14:paraId="1E1834E0">
            <w:pPr>
              <w:spacing w:before="0" w:after="0" w:line="240" w:lineRule="auto"/>
            </w:pPr>
            <w:r>
              <w:rPr>
                <w:rFonts w:ascii="Arial" w:hAnsi="Arial"/>
                <w:b w:val="0"/>
                <w:sz w:val="15"/>
              </w:rPr>
              <w:t>Repeated nested assessment</w:t>
            </w:r>
          </w:p>
        </w:tc>
        <w:tc>
          <w:tcPr>
            <w:tcW w:w="6624" w:type="dxa"/>
            <w:tcBorders>
              <w:top w:val="nil"/>
              <w:left w:val="nil"/>
              <w:bottom w:val="nil"/>
              <w:right w:val="nil"/>
            </w:tcBorders>
            <w:vAlign w:val="center"/>
          </w:tcPr>
          <w:p w14:paraId="4D018360">
            <w:pPr>
              <w:spacing w:before="0" w:after="0" w:line="240" w:lineRule="auto"/>
            </w:pPr>
            <w:r>
              <w:rPr>
                <w:rFonts w:ascii="Arial" w:hAnsi="Arial"/>
                <w:b w:val="0"/>
                <w:sz w:val="15"/>
              </w:rPr>
              <w:t>RepeatedStratifiedKFold, 5 folds × 10 repeats, random_state = 0</w:t>
            </w:r>
          </w:p>
        </w:tc>
      </w:tr>
      <w:tr w14:paraId="6261EEB8">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2880" w:type="dxa"/>
            <w:tcBorders>
              <w:top w:val="nil"/>
              <w:left w:val="nil"/>
              <w:bottom w:val="single" w:color="auto" w:sz="4" w:space="0"/>
              <w:right w:val="nil"/>
            </w:tcBorders>
            <w:vAlign w:val="center"/>
          </w:tcPr>
          <w:p w14:paraId="44C4B304">
            <w:pPr>
              <w:spacing w:before="0" w:after="0" w:line="240" w:lineRule="auto"/>
            </w:pPr>
            <w:r>
              <w:rPr>
                <w:rFonts w:ascii="Arial" w:hAnsi="Arial"/>
                <w:b w:val="0"/>
                <w:sz w:val="15"/>
              </w:rPr>
              <w:t>Bootstrap stability</w:t>
            </w:r>
          </w:p>
        </w:tc>
        <w:tc>
          <w:tcPr>
            <w:tcW w:w="6624" w:type="dxa"/>
            <w:tcBorders>
              <w:top w:val="nil"/>
              <w:left w:val="nil"/>
              <w:bottom w:val="single" w:color="auto" w:sz="4" w:space="0"/>
              <w:right w:val="nil"/>
            </w:tcBorders>
            <w:vAlign w:val="center"/>
          </w:tcPr>
          <w:p w14:paraId="546A2DB5">
            <w:pPr>
              <w:spacing w:before="0" w:after="0" w:line="240" w:lineRule="auto"/>
            </w:pPr>
            <w:r>
              <w:rPr>
                <w:rFonts w:ascii="Arial" w:hAnsi="Arial"/>
                <w:b w:val="0"/>
                <w:sz w:val="15"/>
              </w:rPr>
              <w:t>1,000 stratified resamples; random_state = 0; ICC gate and C fixed</w:t>
            </w:r>
          </w:p>
        </w:tc>
      </w:tr>
    </w:tbl>
    <w:p w14:paraId="36BA8B76">
      <w:pPr>
        <w:pStyle w:val="168"/>
        <w:keepNext/>
        <w:keepLines/>
        <w:spacing w:before="160" w:after="60"/>
      </w:pPr>
      <w:r>
        <w:t>Table S8 (continued). Panel C: Repeated nested performance diagnostics</w:t>
      </w:r>
    </w:p>
    <w:tbl>
      <w:tblPr>
        <w:tblStyle w:val="33"/>
        <w:tblW w:w="0" w:type="auto"/>
        <w:jc w:val="center"/>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071"/>
        <w:gridCol w:w="3071"/>
        <w:gridCol w:w="3071"/>
      </w:tblGrid>
      <w:tr w14:paraId="4C4974B6">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tblHeader w:val="true"/>
          <w:jc w:val="center"/>
        </w:trPr>
        <w:tc>
          <w:tcPr>
            <w:tcW w:w="5328" w:type="dxa"/>
            <w:tcBorders>
              <w:top w:val="single" w:color="000000" w:sz="12" w:space="0"/>
              <w:left w:val="nil"/>
              <w:bottom w:val="single" w:color="000000" w:sz="6" w:space="0"/>
              <w:right w:val="nil"/>
            </w:tcBorders>
            <w:shd w:val="clear" w:color="auto" w:fill="D9EAF3"/>
            <w:tcMar>
              <w:top w:w="50" w:type="dxa"/>
              <w:left w:w="60" w:type="dxa"/>
              <w:bottom w:w="50" w:type="dxa"/>
              <w:right w:w="60" w:type="dxa"/>
            </w:tcMar>
            <w:vAlign w:val="center"/>
          </w:tcPr>
          <w:p w14:paraId="24CC3FB0">
            <w:pPr>
              <w:spacing w:before="0" w:after="0" w:line="240" w:lineRule="auto"/>
              <w:jc w:val="center"/>
            </w:pPr>
            <w:r>
              <w:rPr>
                <w:rFonts w:ascii="Arial" w:hAnsi="Arial" w:eastAsia="Times New Roman"/>
                <w:b/>
                <w:sz w:val="15"/>
              </w:rPr>
              <w:t>Assessment</w:t>
            </w:r>
          </w:p>
        </w:tc>
        <w:tc>
          <w:tcPr>
            <w:tcW w:w="1944" w:type="dxa"/>
            <w:tcBorders>
              <w:top w:val="single" w:color="000000" w:sz="12" w:space="0"/>
              <w:left w:val="nil"/>
              <w:bottom w:val="single" w:color="000000" w:sz="6" w:space="0"/>
              <w:right w:val="nil"/>
            </w:tcBorders>
            <w:shd w:val="clear" w:color="auto" w:fill="D9EAF3"/>
            <w:tcMar>
              <w:top w:w="50" w:type="dxa"/>
              <w:left w:w="60" w:type="dxa"/>
              <w:bottom w:w="50" w:type="dxa"/>
              <w:right w:w="60" w:type="dxa"/>
            </w:tcMar>
            <w:vAlign w:val="center"/>
          </w:tcPr>
          <w:p w14:paraId="4EB0FC26">
            <w:pPr>
              <w:spacing w:before="0" w:after="0" w:line="240" w:lineRule="auto"/>
              <w:jc w:val="center"/>
            </w:pPr>
            <w:r>
              <w:rPr>
                <w:rFonts w:ascii="Arial" w:hAnsi="Arial" w:eastAsia="Times New Roman"/>
                <w:b/>
                <w:sz w:val="15"/>
              </w:rPr>
              <w:t>Mean AUC</w:t>
            </w:r>
          </w:p>
        </w:tc>
        <w:tc>
          <w:tcPr>
            <w:tcW w:w="1944" w:type="dxa"/>
            <w:tcBorders>
              <w:top w:val="single" w:color="000000" w:sz="12" w:space="0"/>
              <w:left w:val="nil"/>
              <w:bottom w:val="single" w:color="000000" w:sz="6" w:space="0"/>
              <w:right w:val="nil"/>
            </w:tcBorders>
            <w:shd w:val="clear" w:color="auto" w:fill="D9EAF3"/>
            <w:tcMar>
              <w:top w:w="50" w:type="dxa"/>
              <w:left w:w="60" w:type="dxa"/>
              <w:bottom w:w="50" w:type="dxa"/>
              <w:right w:w="60" w:type="dxa"/>
            </w:tcMar>
            <w:vAlign w:val="center"/>
          </w:tcPr>
          <w:p w14:paraId="6A0C7ABA">
            <w:pPr>
              <w:spacing w:before="0" w:after="0" w:line="240" w:lineRule="auto"/>
              <w:jc w:val="center"/>
            </w:pPr>
            <w:r>
              <w:rPr>
                <w:rFonts w:ascii="Arial" w:hAnsi="Arial" w:eastAsia="Times New Roman"/>
                <w:b/>
                <w:sz w:val="15"/>
              </w:rPr>
              <w:t>SD</w:t>
            </w:r>
          </w:p>
        </w:tc>
      </w:tr>
      <w:tr w14:paraId="101F49FD">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5328" w:type="dxa"/>
            <w:tcBorders>
              <w:top w:val="nil"/>
              <w:left w:val="nil"/>
              <w:bottom w:val="nil"/>
              <w:right w:val="nil"/>
            </w:tcBorders>
            <w:shd w:val="clear" w:color="auto" w:fill="auto"/>
            <w:tcMar>
              <w:top w:w="50" w:type="dxa"/>
              <w:left w:w="60" w:type="dxa"/>
              <w:bottom w:w="50" w:type="dxa"/>
              <w:right w:w="60" w:type="dxa"/>
            </w:tcMar>
            <w:vAlign w:val="center"/>
          </w:tcPr>
          <w:p w14:paraId="1B08A43A">
            <w:pPr>
              <w:spacing w:before="0" w:after="0" w:line="240" w:lineRule="auto"/>
              <w:jc w:val="left"/>
            </w:pPr>
            <w:r>
              <w:rPr>
                <w:rFonts w:ascii="Arial" w:hAnsi="Arial" w:eastAsia="Times New Roman"/>
                <w:b w:val="0"/>
                <w:sz w:val="15"/>
              </w:rPr>
              <w:t>Selected pipeline across 10 repeats</w:t>
            </w:r>
          </w:p>
        </w:tc>
        <w:tc>
          <w:tcPr>
            <w:tcW w:w="1944" w:type="dxa"/>
            <w:tcBorders>
              <w:top w:val="nil"/>
              <w:left w:val="nil"/>
              <w:bottom w:val="nil"/>
              <w:right w:val="nil"/>
            </w:tcBorders>
            <w:shd w:val="clear" w:color="auto" w:fill="auto"/>
            <w:tcMar>
              <w:top w:w="50" w:type="dxa"/>
              <w:left w:w="60" w:type="dxa"/>
              <w:bottom w:w="50" w:type="dxa"/>
              <w:right w:w="60" w:type="dxa"/>
            </w:tcMar>
            <w:vAlign w:val="center"/>
          </w:tcPr>
          <w:p w14:paraId="79FE10E5">
            <w:pPr>
              <w:spacing w:before="0" w:after="0" w:line="240" w:lineRule="auto"/>
              <w:jc w:val="center"/>
            </w:pPr>
            <w:r>
              <w:rPr>
                <w:rFonts w:ascii="Arial" w:hAnsi="Arial" w:eastAsia="Times New Roman"/>
                <w:b w:val="0"/>
                <w:sz w:val="15"/>
              </w:rPr>
              <w:t>0.737</w:t>
            </w:r>
          </w:p>
        </w:tc>
        <w:tc>
          <w:tcPr>
            <w:tcW w:w="1944" w:type="dxa"/>
            <w:tcBorders>
              <w:top w:val="nil"/>
              <w:left w:val="nil"/>
              <w:bottom w:val="nil"/>
              <w:right w:val="nil"/>
            </w:tcBorders>
            <w:shd w:val="clear" w:color="auto" w:fill="auto"/>
            <w:tcMar>
              <w:top w:w="50" w:type="dxa"/>
              <w:left w:w="60" w:type="dxa"/>
              <w:bottom w:w="50" w:type="dxa"/>
              <w:right w:w="60" w:type="dxa"/>
            </w:tcMar>
            <w:vAlign w:val="center"/>
          </w:tcPr>
          <w:p w14:paraId="65D917EB">
            <w:pPr>
              <w:spacing w:before="0" w:after="0" w:line="240" w:lineRule="auto"/>
              <w:jc w:val="center"/>
            </w:pPr>
            <w:r>
              <w:rPr>
                <w:rFonts w:ascii="Arial" w:hAnsi="Arial" w:eastAsia="Times New Roman"/>
                <w:b w:val="0"/>
                <w:sz w:val="15"/>
              </w:rPr>
              <w:t>0.024</w:t>
            </w:r>
          </w:p>
        </w:tc>
      </w:tr>
      <w:tr w14:paraId="2709E9E3">
        <w:tblPrEx>
          <w:tblCellMar>
            <w:top w:w="0" w:type="dxa"/>
            <w:left w:w="108" w:type="dxa"/>
            <w:bottom w:w="0" w:type="dxa"/>
            <w:right w:w="108" w:type="dxa"/>
          </w:tblCellMar>
        </w:tblPrEx>
        <w:trPr>
          <w:cantSplit/>
          <w:jc w:val="center"/>
        </w:trPr>
        <w:tc>
          <w:tcPr>
            <w:tcW w:w="5328" w:type="dxa"/>
            <w:tcBorders>
              <w:top w:val="nil"/>
              <w:left w:val="nil"/>
              <w:bottom w:val="nil"/>
              <w:right w:val="nil"/>
            </w:tcBorders>
            <w:shd w:val="clear" w:color="auto" w:fill="auto"/>
            <w:tcMar>
              <w:top w:w="50" w:type="dxa"/>
              <w:left w:w="60" w:type="dxa"/>
              <w:bottom w:w="50" w:type="dxa"/>
              <w:right w:w="60" w:type="dxa"/>
            </w:tcMar>
            <w:vAlign w:val="center"/>
          </w:tcPr>
          <w:p w14:paraId="3C37AF4A">
            <w:pPr>
              <w:spacing w:before="0" w:after="0" w:line="240" w:lineRule="auto"/>
              <w:jc w:val="left"/>
            </w:pPr>
            <w:r>
              <w:rPr>
                <w:rFonts w:ascii="Arial" w:hAnsi="Arial" w:eastAsia="Times New Roman"/>
                <w:b w:val="0"/>
                <w:sz w:val="15"/>
              </w:rPr>
              <w:t>LR family diagnostic</w:t>
            </w:r>
          </w:p>
        </w:tc>
        <w:tc>
          <w:tcPr>
            <w:tcW w:w="1944" w:type="dxa"/>
            <w:tcBorders>
              <w:top w:val="nil"/>
              <w:left w:val="nil"/>
              <w:bottom w:val="nil"/>
              <w:right w:val="nil"/>
            </w:tcBorders>
            <w:shd w:val="clear" w:color="auto" w:fill="auto"/>
            <w:tcMar>
              <w:top w:w="50" w:type="dxa"/>
              <w:left w:w="60" w:type="dxa"/>
              <w:bottom w:w="50" w:type="dxa"/>
              <w:right w:w="60" w:type="dxa"/>
            </w:tcMar>
            <w:vAlign w:val="center"/>
          </w:tcPr>
          <w:p w14:paraId="77B767D8">
            <w:pPr>
              <w:spacing w:before="0" w:after="0" w:line="240" w:lineRule="auto"/>
              <w:jc w:val="center"/>
            </w:pPr>
            <w:r>
              <w:rPr>
                <w:rFonts w:ascii="Arial" w:hAnsi="Arial" w:eastAsia="Times New Roman"/>
                <w:b w:val="0"/>
                <w:sz w:val="15"/>
              </w:rPr>
              <w:t>0.770</w:t>
            </w:r>
          </w:p>
        </w:tc>
        <w:tc>
          <w:tcPr>
            <w:tcW w:w="1944" w:type="dxa"/>
            <w:tcBorders>
              <w:top w:val="nil"/>
              <w:left w:val="nil"/>
              <w:bottom w:val="nil"/>
              <w:right w:val="nil"/>
            </w:tcBorders>
            <w:shd w:val="clear" w:color="auto" w:fill="auto"/>
            <w:tcMar>
              <w:top w:w="50" w:type="dxa"/>
              <w:left w:w="60" w:type="dxa"/>
              <w:bottom w:w="50" w:type="dxa"/>
              <w:right w:w="60" w:type="dxa"/>
            </w:tcMar>
            <w:vAlign w:val="center"/>
          </w:tcPr>
          <w:p w14:paraId="02685A9F">
            <w:pPr>
              <w:spacing w:before="0" w:after="0" w:line="240" w:lineRule="auto"/>
              <w:jc w:val="center"/>
            </w:pPr>
            <w:r>
              <w:rPr>
                <w:rFonts w:ascii="Arial" w:hAnsi="Arial" w:eastAsia="Times New Roman"/>
                <w:b w:val="0"/>
                <w:sz w:val="15"/>
              </w:rPr>
              <w:t>0.029</w:t>
            </w:r>
          </w:p>
        </w:tc>
      </w:tr>
      <w:tr w14:paraId="714DBDAC">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5328" w:type="dxa"/>
            <w:tcBorders>
              <w:top w:val="nil"/>
              <w:left w:val="nil"/>
              <w:bottom w:val="nil"/>
              <w:right w:val="nil"/>
            </w:tcBorders>
            <w:shd w:val="clear" w:color="auto" w:fill="auto"/>
            <w:tcMar>
              <w:top w:w="50" w:type="dxa"/>
              <w:left w:w="60" w:type="dxa"/>
              <w:bottom w:w="50" w:type="dxa"/>
              <w:right w:w="60" w:type="dxa"/>
            </w:tcMar>
            <w:vAlign w:val="center"/>
          </w:tcPr>
          <w:p w14:paraId="35E664FC">
            <w:pPr>
              <w:spacing w:before="0" w:after="0" w:line="240" w:lineRule="auto"/>
              <w:jc w:val="left"/>
            </w:pPr>
            <w:r>
              <w:rPr>
                <w:rFonts w:ascii="Arial" w:hAnsi="Arial" w:eastAsia="Times New Roman"/>
                <w:b w:val="0"/>
                <w:sz w:val="15"/>
              </w:rPr>
              <w:t>LDA family diagnostic</w:t>
            </w:r>
          </w:p>
        </w:tc>
        <w:tc>
          <w:tcPr>
            <w:tcW w:w="1944" w:type="dxa"/>
            <w:tcBorders>
              <w:top w:val="nil"/>
              <w:left w:val="nil"/>
              <w:bottom w:val="nil"/>
              <w:right w:val="nil"/>
            </w:tcBorders>
            <w:shd w:val="clear" w:color="auto" w:fill="auto"/>
            <w:tcMar>
              <w:top w:w="50" w:type="dxa"/>
              <w:left w:w="60" w:type="dxa"/>
              <w:bottom w:w="50" w:type="dxa"/>
              <w:right w:w="60" w:type="dxa"/>
            </w:tcMar>
            <w:vAlign w:val="center"/>
          </w:tcPr>
          <w:p w14:paraId="1A753C0F">
            <w:pPr>
              <w:spacing w:before="0" w:after="0" w:line="240" w:lineRule="auto"/>
              <w:jc w:val="center"/>
            </w:pPr>
            <w:r>
              <w:rPr>
                <w:rFonts w:ascii="Arial" w:hAnsi="Arial" w:eastAsia="Times New Roman"/>
                <w:b w:val="0"/>
                <w:sz w:val="15"/>
              </w:rPr>
              <w:t>0.761</w:t>
            </w:r>
          </w:p>
        </w:tc>
        <w:tc>
          <w:tcPr>
            <w:tcW w:w="1944" w:type="dxa"/>
            <w:tcBorders>
              <w:top w:val="nil"/>
              <w:left w:val="nil"/>
              <w:bottom w:val="nil"/>
              <w:right w:val="nil"/>
            </w:tcBorders>
            <w:shd w:val="clear" w:color="auto" w:fill="auto"/>
            <w:tcMar>
              <w:top w:w="50" w:type="dxa"/>
              <w:left w:w="60" w:type="dxa"/>
              <w:bottom w:w="50" w:type="dxa"/>
              <w:right w:w="60" w:type="dxa"/>
            </w:tcMar>
            <w:vAlign w:val="center"/>
          </w:tcPr>
          <w:p w14:paraId="6BC2284C">
            <w:pPr>
              <w:spacing w:before="0" w:after="0" w:line="240" w:lineRule="auto"/>
              <w:jc w:val="center"/>
            </w:pPr>
            <w:r>
              <w:rPr>
                <w:rFonts w:ascii="Arial" w:hAnsi="Arial" w:eastAsia="Times New Roman"/>
                <w:b w:val="0"/>
                <w:sz w:val="15"/>
              </w:rPr>
              <w:t>0.031</w:t>
            </w:r>
          </w:p>
        </w:tc>
      </w:tr>
      <w:tr w14:paraId="6806051D">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5328" w:type="dxa"/>
            <w:tcBorders>
              <w:top w:val="nil"/>
              <w:left w:val="nil"/>
              <w:bottom w:val="nil"/>
              <w:right w:val="nil"/>
            </w:tcBorders>
            <w:shd w:val="clear" w:color="auto" w:fill="auto"/>
            <w:tcMar>
              <w:top w:w="50" w:type="dxa"/>
              <w:left w:w="60" w:type="dxa"/>
              <w:bottom w:w="50" w:type="dxa"/>
              <w:right w:w="60" w:type="dxa"/>
            </w:tcMar>
            <w:vAlign w:val="center"/>
          </w:tcPr>
          <w:p w14:paraId="7C9D7F36">
            <w:pPr>
              <w:spacing w:before="0" w:after="0" w:line="240" w:lineRule="auto"/>
              <w:jc w:val="left"/>
            </w:pPr>
            <w:r>
              <w:rPr>
                <w:rFonts w:ascii="Arial" w:hAnsi="Arial" w:eastAsia="Times New Roman"/>
                <w:b w:val="0"/>
                <w:sz w:val="15"/>
              </w:rPr>
              <w:t>SVM family diagnostic</w:t>
            </w:r>
          </w:p>
        </w:tc>
        <w:tc>
          <w:tcPr>
            <w:tcW w:w="1944" w:type="dxa"/>
            <w:tcBorders>
              <w:top w:val="nil"/>
              <w:left w:val="nil"/>
              <w:bottom w:val="nil"/>
              <w:right w:val="nil"/>
            </w:tcBorders>
            <w:shd w:val="clear" w:color="auto" w:fill="auto"/>
            <w:tcMar>
              <w:top w:w="50" w:type="dxa"/>
              <w:left w:w="60" w:type="dxa"/>
              <w:bottom w:w="50" w:type="dxa"/>
              <w:right w:w="60" w:type="dxa"/>
            </w:tcMar>
            <w:vAlign w:val="center"/>
          </w:tcPr>
          <w:p w14:paraId="1B7B51BD">
            <w:pPr>
              <w:spacing w:before="0" w:after="0" w:line="240" w:lineRule="auto"/>
              <w:jc w:val="center"/>
            </w:pPr>
            <w:r>
              <w:rPr>
                <w:rFonts w:ascii="Arial" w:hAnsi="Arial" w:eastAsia="Times New Roman"/>
                <w:b w:val="0"/>
                <w:sz w:val="15"/>
              </w:rPr>
              <w:t>0.744</w:t>
            </w:r>
          </w:p>
        </w:tc>
        <w:tc>
          <w:tcPr>
            <w:tcW w:w="1944" w:type="dxa"/>
            <w:tcBorders>
              <w:top w:val="nil"/>
              <w:left w:val="nil"/>
              <w:bottom w:val="nil"/>
              <w:right w:val="nil"/>
            </w:tcBorders>
            <w:shd w:val="clear" w:color="auto" w:fill="auto"/>
            <w:tcMar>
              <w:top w:w="50" w:type="dxa"/>
              <w:left w:w="60" w:type="dxa"/>
              <w:bottom w:w="50" w:type="dxa"/>
              <w:right w:w="60" w:type="dxa"/>
            </w:tcMar>
            <w:vAlign w:val="center"/>
          </w:tcPr>
          <w:p w14:paraId="0D5133C1">
            <w:pPr>
              <w:spacing w:before="0" w:after="0" w:line="240" w:lineRule="auto"/>
              <w:jc w:val="center"/>
            </w:pPr>
            <w:r>
              <w:rPr>
                <w:rFonts w:ascii="Arial" w:hAnsi="Arial" w:eastAsia="Times New Roman"/>
                <w:b w:val="0"/>
                <w:sz w:val="15"/>
              </w:rPr>
              <w:t>0.035</w:t>
            </w:r>
          </w:p>
        </w:tc>
      </w:tr>
      <w:tr w14:paraId="0EBB0945">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5328" w:type="dxa"/>
            <w:tcBorders>
              <w:top w:val="nil"/>
              <w:left w:val="nil"/>
              <w:bottom w:val="nil"/>
              <w:right w:val="nil"/>
            </w:tcBorders>
            <w:shd w:val="clear" w:color="auto" w:fill="auto"/>
            <w:tcMar>
              <w:top w:w="50" w:type="dxa"/>
              <w:left w:w="60" w:type="dxa"/>
              <w:bottom w:w="50" w:type="dxa"/>
              <w:right w:w="60" w:type="dxa"/>
            </w:tcMar>
            <w:vAlign w:val="center"/>
          </w:tcPr>
          <w:p w14:paraId="15085F84">
            <w:pPr>
              <w:spacing w:before="0" w:after="0" w:line="240" w:lineRule="auto"/>
              <w:jc w:val="left"/>
            </w:pPr>
            <w:r>
              <w:rPr>
                <w:rFonts w:ascii="Arial" w:hAnsi="Arial" w:eastAsia="Times New Roman"/>
                <w:b w:val="0"/>
                <w:sz w:val="15"/>
              </w:rPr>
              <w:t>GNB family diagnostic</w:t>
            </w:r>
          </w:p>
        </w:tc>
        <w:tc>
          <w:tcPr>
            <w:tcW w:w="1944" w:type="dxa"/>
            <w:tcBorders>
              <w:top w:val="nil"/>
              <w:left w:val="nil"/>
              <w:bottom w:val="nil"/>
              <w:right w:val="nil"/>
            </w:tcBorders>
            <w:shd w:val="clear" w:color="auto" w:fill="auto"/>
            <w:tcMar>
              <w:top w:w="50" w:type="dxa"/>
              <w:left w:w="60" w:type="dxa"/>
              <w:bottom w:w="50" w:type="dxa"/>
              <w:right w:w="60" w:type="dxa"/>
            </w:tcMar>
            <w:vAlign w:val="center"/>
          </w:tcPr>
          <w:p w14:paraId="150FF747">
            <w:pPr>
              <w:spacing w:before="0" w:after="0" w:line="240" w:lineRule="auto"/>
              <w:jc w:val="center"/>
            </w:pPr>
            <w:r>
              <w:rPr>
                <w:rFonts w:ascii="Arial" w:hAnsi="Arial" w:eastAsia="Times New Roman"/>
                <w:b w:val="0"/>
                <w:sz w:val="15"/>
              </w:rPr>
              <w:t>0.740</w:t>
            </w:r>
          </w:p>
        </w:tc>
        <w:tc>
          <w:tcPr>
            <w:tcW w:w="1944" w:type="dxa"/>
            <w:tcBorders>
              <w:top w:val="nil"/>
              <w:left w:val="nil"/>
              <w:bottom w:val="nil"/>
              <w:right w:val="nil"/>
            </w:tcBorders>
            <w:shd w:val="clear" w:color="auto" w:fill="auto"/>
            <w:tcMar>
              <w:top w:w="50" w:type="dxa"/>
              <w:left w:w="60" w:type="dxa"/>
              <w:bottom w:w="50" w:type="dxa"/>
              <w:right w:w="60" w:type="dxa"/>
            </w:tcMar>
            <w:vAlign w:val="center"/>
          </w:tcPr>
          <w:p w14:paraId="07D547D7">
            <w:pPr>
              <w:spacing w:before="0" w:after="0" w:line="240" w:lineRule="auto"/>
              <w:jc w:val="center"/>
            </w:pPr>
            <w:r>
              <w:rPr>
                <w:rFonts w:ascii="Arial" w:hAnsi="Arial" w:eastAsia="Times New Roman"/>
                <w:b w:val="0"/>
                <w:sz w:val="15"/>
              </w:rPr>
              <w:t>0.039</w:t>
            </w:r>
          </w:p>
        </w:tc>
      </w:tr>
      <w:tr w14:paraId="775BCD12">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5328" w:type="dxa"/>
            <w:tcBorders>
              <w:top w:val="nil"/>
              <w:left w:val="nil"/>
              <w:bottom w:val="nil"/>
              <w:right w:val="nil"/>
            </w:tcBorders>
            <w:shd w:val="clear" w:color="auto" w:fill="auto"/>
            <w:tcMar>
              <w:top w:w="50" w:type="dxa"/>
              <w:left w:w="60" w:type="dxa"/>
              <w:bottom w:w="50" w:type="dxa"/>
              <w:right w:w="60" w:type="dxa"/>
            </w:tcMar>
            <w:vAlign w:val="center"/>
          </w:tcPr>
          <w:p w14:paraId="527D9D25">
            <w:pPr>
              <w:spacing w:before="0" w:after="0" w:line="240" w:lineRule="auto"/>
              <w:jc w:val="left"/>
            </w:pPr>
            <w:r>
              <w:rPr>
                <w:rFonts w:ascii="Arial" w:hAnsi="Arial" w:eastAsia="Times New Roman"/>
                <w:b w:val="0"/>
                <w:sz w:val="15"/>
              </w:rPr>
              <w:t>SGD family diagnostic</w:t>
            </w:r>
          </w:p>
        </w:tc>
        <w:tc>
          <w:tcPr>
            <w:tcW w:w="1944" w:type="dxa"/>
            <w:tcBorders>
              <w:top w:val="nil"/>
              <w:left w:val="nil"/>
              <w:bottom w:val="nil"/>
              <w:right w:val="nil"/>
            </w:tcBorders>
            <w:shd w:val="clear" w:color="auto" w:fill="auto"/>
            <w:tcMar>
              <w:top w:w="50" w:type="dxa"/>
              <w:left w:w="60" w:type="dxa"/>
              <w:bottom w:w="50" w:type="dxa"/>
              <w:right w:w="60" w:type="dxa"/>
            </w:tcMar>
            <w:vAlign w:val="center"/>
          </w:tcPr>
          <w:p w14:paraId="437BB589">
            <w:pPr>
              <w:spacing w:before="0" w:after="0" w:line="240" w:lineRule="auto"/>
              <w:jc w:val="center"/>
            </w:pPr>
            <w:r>
              <w:rPr>
                <w:rFonts w:ascii="Arial" w:hAnsi="Arial" w:eastAsia="Times New Roman"/>
                <w:b w:val="0"/>
                <w:sz w:val="15"/>
              </w:rPr>
              <w:t>0.732</w:t>
            </w:r>
          </w:p>
        </w:tc>
        <w:tc>
          <w:tcPr>
            <w:tcW w:w="1944" w:type="dxa"/>
            <w:tcBorders>
              <w:top w:val="nil"/>
              <w:left w:val="nil"/>
              <w:bottom w:val="nil"/>
              <w:right w:val="nil"/>
            </w:tcBorders>
            <w:shd w:val="clear" w:color="auto" w:fill="auto"/>
            <w:tcMar>
              <w:top w:w="50" w:type="dxa"/>
              <w:left w:w="60" w:type="dxa"/>
              <w:bottom w:w="50" w:type="dxa"/>
              <w:right w:w="60" w:type="dxa"/>
            </w:tcMar>
            <w:vAlign w:val="center"/>
          </w:tcPr>
          <w:p w14:paraId="02D8F62B">
            <w:pPr>
              <w:spacing w:before="0" w:after="0" w:line="240" w:lineRule="auto"/>
              <w:jc w:val="center"/>
            </w:pPr>
            <w:r>
              <w:rPr>
                <w:rFonts w:ascii="Arial" w:hAnsi="Arial" w:eastAsia="Times New Roman"/>
                <w:b w:val="0"/>
                <w:sz w:val="15"/>
              </w:rPr>
              <w:t>0.039</w:t>
            </w:r>
          </w:p>
        </w:tc>
      </w:tr>
      <w:tr w14:paraId="3C52B638">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5328" w:type="dxa"/>
            <w:tcBorders>
              <w:top w:val="nil"/>
              <w:left w:val="nil"/>
              <w:bottom w:val="single" w:color="auto" w:sz="4" w:space="0"/>
              <w:right w:val="nil"/>
            </w:tcBorders>
            <w:shd w:val="clear" w:color="auto" w:fill="auto"/>
            <w:tcMar>
              <w:top w:w="50" w:type="dxa"/>
              <w:left w:w="60" w:type="dxa"/>
              <w:bottom w:w="50" w:type="dxa"/>
              <w:right w:w="60" w:type="dxa"/>
            </w:tcMar>
            <w:vAlign w:val="center"/>
          </w:tcPr>
          <w:p w14:paraId="0C823956">
            <w:pPr>
              <w:spacing w:before="0" w:after="0" w:line="240" w:lineRule="auto"/>
              <w:jc w:val="left"/>
            </w:pPr>
            <w:r>
              <w:rPr>
                <w:rFonts w:ascii="Arial" w:hAnsi="Arial" w:eastAsia="Times New Roman"/>
                <w:b w:val="0"/>
                <w:sz w:val="15"/>
              </w:rPr>
              <w:t>Consensus repeated OOF selected-pipeline AUC</w:t>
            </w:r>
          </w:p>
        </w:tc>
        <w:tc>
          <w:tcPr>
            <w:tcW w:w="1944" w:type="dxa"/>
            <w:tcBorders>
              <w:top w:val="nil"/>
              <w:left w:val="nil"/>
              <w:bottom w:val="single" w:color="auto" w:sz="4" w:space="0"/>
              <w:right w:val="nil"/>
            </w:tcBorders>
            <w:shd w:val="clear" w:color="auto" w:fill="auto"/>
            <w:tcMar>
              <w:top w:w="50" w:type="dxa"/>
              <w:left w:w="60" w:type="dxa"/>
              <w:bottom w:w="50" w:type="dxa"/>
              <w:right w:w="60" w:type="dxa"/>
            </w:tcMar>
            <w:vAlign w:val="center"/>
          </w:tcPr>
          <w:p w14:paraId="5A46ED6B">
            <w:pPr>
              <w:spacing w:before="0" w:after="0" w:line="240" w:lineRule="auto"/>
              <w:jc w:val="center"/>
            </w:pPr>
            <w:r>
              <w:rPr>
                <w:rFonts w:ascii="Arial" w:hAnsi="Arial" w:eastAsia="Times New Roman"/>
                <w:b w:val="0"/>
                <w:sz w:val="15"/>
              </w:rPr>
              <w:t>0.778</w:t>
            </w:r>
          </w:p>
        </w:tc>
        <w:tc>
          <w:tcPr>
            <w:tcW w:w="1944" w:type="dxa"/>
            <w:tcBorders>
              <w:top w:val="nil"/>
              <w:left w:val="nil"/>
              <w:bottom w:val="single" w:color="auto" w:sz="4" w:space="0"/>
              <w:right w:val="nil"/>
            </w:tcBorders>
            <w:shd w:val="clear" w:color="auto" w:fill="auto"/>
            <w:tcMar>
              <w:top w:w="50" w:type="dxa"/>
              <w:left w:w="60" w:type="dxa"/>
              <w:bottom w:w="50" w:type="dxa"/>
              <w:right w:w="60" w:type="dxa"/>
            </w:tcMar>
            <w:vAlign w:val="center"/>
          </w:tcPr>
          <w:p w14:paraId="55471156">
            <w:pPr>
              <w:spacing w:before="0" w:after="0" w:line="240" w:lineRule="auto"/>
              <w:jc w:val="center"/>
            </w:pPr>
            <w:r>
              <w:rPr>
                <w:rFonts w:ascii="Arial" w:hAnsi="Arial" w:eastAsia="Times New Roman"/>
                <w:b w:val="0"/>
                <w:sz w:val="15"/>
              </w:rPr>
              <w:t>—</w:t>
            </w:r>
          </w:p>
        </w:tc>
      </w:tr>
    </w:tbl>
    <w:p w14:paraId="76A89FD6">
      <w:pPr>
        <w:pStyle w:val="166"/>
        <w:spacing w:after="80"/>
      </w:pPr>
      <w:r>
        <w:t>Panel C: repeated nested assessment. These values quantify development-cohort procedure performance/stability and are not internal-evaluation estimates.</w:t>
      </w:r>
    </w:p>
    <w:p w14:paraId="3DBD6F9C">
      <w:pPr>
        <w:pStyle w:val="168"/>
        <w:keepNext/>
        <w:keepLines/>
        <w:spacing w:before="160" w:after="60"/>
      </w:pPr>
      <w:r>
        <w:rPr>
          <w:rFonts w:ascii="Times New Roman" w:hAnsi="Times New Roman"/>
          <w:b/>
          <w:sz w:val="20"/>
        </w:rPr>
        <w:t>Table S9. Firth penalized-logistic audit and bootstrap stability of conventional morphologic candidates</w:t>
      </w:r>
    </w:p>
    <w:tbl>
      <w:tblPr>
        <w:tblStyle w:val="33"/>
        <w:tblW w:w="0" w:type="auto"/>
        <w:jc w:val="center"/>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303"/>
        <w:gridCol w:w="2303"/>
        <w:gridCol w:w="2303"/>
        <w:gridCol w:w="2303"/>
      </w:tblGrid>
      <w:tr w14:paraId="4A0656B8">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tblHeader w:val="true"/>
          <w:jc w:val="center"/>
        </w:trPr>
        <w:tc>
          <w:tcPr>
            <w:tcW w:w="3888" w:type="dxa"/>
            <w:tcBorders>
              <w:top w:val="single" w:color="000000" w:sz="12" w:space="0"/>
              <w:left w:val="nil"/>
              <w:bottom w:val="single" w:color="000000" w:sz="6" w:space="0"/>
              <w:right w:val="nil"/>
            </w:tcBorders>
            <w:shd w:val="clear" w:color="auto" w:fill="D9EAF3"/>
            <w:tcMar>
              <w:top w:w="50" w:type="dxa"/>
              <w:left w:w="60" w:type="dxa"/>
              <w:bottom w:w="50" w:type="dxa"/>
              <w:right w:w="60" w:type="dxa"/>
            </w:tcMar>
            <w:vAlign w:val="center"/>
          </w:tcPr>
          <w:p w14:paraId="2A8058E7">
            <w:pPr>
              <w:spacing w:before="0" w:after="0" w:line="240" w:lineRule="auto"/>
              <w:jc w:val="center"/>
            </w:pPr>
            <w:r>
              <w:rPr>
                <w:rFonts w:ascii="Arial" w:hAnsi="Arial" w:eastAsia="Times New Roman"/>
                <w:b/>
                <w:sz w:val="15"/>
              </w:rPr>
              <w:t>Candidate variable</w:t>
            </w:r>
          </w:p>
        </w:tc>
        <w:tc>
          <w:tcPr>
            <w:tcW w:w="2304" w:type="dxa"/>
            <w:tcBorders>
              <w:top w:val="single" w:color="000000" w:sz="12" w:space="0"/>
              <w:left w:val="nil"/>
              <w:bottom w:val="single" w:color="000000" w:sz="6" w:space="0"/>
              <w:right w:val="nil"/>
            </w:tcBorders>
            <w:shd w:val="clear" w:color="auto" w:fill="D9EAF3"/>
            <w:tcMar>
              <w:top w:w="50" w:type="dxa"/>
              <w:left w:w="60" w:type="dxa"/>
              <w:bottom w:w="50" w:type="dxa"/>
              <w:right w:w="60" w:type="dxa"/>
            </w:tcMar>
            <w:vAlign w:val="center"/>
          </w:tcPr>
          <w:p w14:paraId="49D4323C">
            <w:pPr>
              <w:spacing w:before="0" w:after="0" w:line="240" w:lineRule="auto"/>
              <w:jc w:val="center"/>
            </w:pPr>
            <w:r>
              <w:rPr>
                <w:rFonts w:ascii="Arial" w:hAnsi="Arial" w:eastAsia="Times New Roman"/>
                <w:b/>
                <w:sz w:val="15"/>
              </w:rPr>
              <w:t>Firth OR (profile 95% CI)</w:t>
            </w:r>
          </w:p>
        </w:tc>
        <w:tc>
          <w:tcPr>
            <w:tcW w:w="1584" w:type="dxa"/>
            <w:tcBorders>
              <w:top w:val="single" w:color="000000" w:sz="12" w:space="0"/>
              <w:left w:val="nil"/>
              <w:bottom w:val="single" w:color="000000" w:sz="6" w:space="0"/>
              <w:right w:val="nil"/>
            </w:tcBorders>
            <w:shd w:val="clear" w:color="auto" w:fill="D9EAF3"/>
            <w:tcMar>
              <w:top w:w="50" w:type="dxa"/>
              <w:left w:w="60" w:type="dxa"/>
              <w:bottom w:w="50" w:type="dxa"/>
              <w:right w:w="60" w:type="dxa"/>
            </w:tcMar>
            <w:vAlign w:val="center"/>
          </w:tcPr>
          <w:p w14:paraId="2D513E1E">
            <w:pPr>
              <w:spacing w:before="0" w:after="0" w:line="240" w:lineRule="auto"/>
              <w:jc w:val="center"/>
            </w:pPr>
            <w:r>
              <w:rPr>
                <w:rFonts w:ascii="Arial" w:hAnsi="Arial" w:eastAsia="Times New Roman"/>
                <w:b/>
                <w:sz w:val="15"/>
              </w:rPr>
              <w:t>Penalized-likelihood P</w:t>
            </w:r>
          </w:p>
        </w:tc>
        <w:tc>
          <w:tcPr>
            <w:tcW w:w="1440" w:type="dxa"/>
            <w:tcBorders>
              <w:top w:val="single" w:color="000000" w:sz="12" w:space="0"/>
              <w:left w:val="nil"/>
              <w:bottom w:val="single" w:color="000000" w:sz="6" w:space="0"/>
              <w:right w:val="nil"/>
            </w:tcBorders>
            <w:shd w:val="clear" w:color="auto" w:fill="D9EAF3"/>
            <w:tcMar>
              <w:top w:w="50" w:type="dxa"/>
              <w:left w:w="60" w:type="dxa"/>
              <w:bottom w:w="50" w:type="dxa"/>
              <w:right w:w="60" w:type="dxa"/>
            </w:tcMar>
            <w:vAlign w:val="center"/>
          </w:tcPr>
          <w:p w14:paraId="18AE1534">
            <w:pPr>
              <w:spacing w:before="0" w:after="0" w:line="240" w:lineRule="auto"/>
              <w:jc w:val="center"/>
            </w:pPr>
            <w:r>
              <w:rPr>
                <w:rFonts w:ascii="Arial" w:hAnsi="Arial" w:eastAsia="Times New Roman"/>
                <w:b/>
                <w:sz w:val="15"/>
              </w:rPr>
              <w:t>Selected in 1,000 bootstrap resamples, %</w:t>
            </w:r>
          </w:p>
        </w:tc>
      </w:tr>
      <w:tr w14:paraId="1F02A7CA">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3888" w:type="dxa"/>
            <w:tcBorders>
              <w:top w:val="nil"/>
              <w:left w:val="nil"/>
              <w:bottom w:val="nil"/>
              <w:right w:val="nil"/>
            </w:tcBorders>
            <w:shd w:val="clear" w:color="auto" w:fill="auto"/>
            <w:tcMar>
              <w:top w:w="50" w:type="dxa"/>
              <w:left w:w="60" w:type="dxa"/>
              <w:bottom w:w="50" w:type="dxa"/>
              <w:right w:w="60" w:type="dxa"/>
            </w:tcMar>
            <w:vAlign w:val="center"/>
          </w:tcPr>
          <w:p w14:paraId="04B6129B">
            <w:pPr>
              <w:spacing w:before="0" w:after="0" w:line="240" w:lineRule="auto"/>
              <w:jc w:val="left"/>
            </w:pPr>
            <w:r>
              <w:rPr>
                <w:rFonts w:ascii="Arial" w:hAnsi="Arial" w:eastAsia="Times New Roman"/>
                <w:b w:val="0"/>
                <w:sz w:val="15"/>
              </w:rPr>
              <w:t>Maximum diameter</w:t>
            </w:r>
          </w:p>
        </w:tc>
        <w:tc>
          <w:tcPr>
            <w:tcW w:w="2304" w:type="dxa"/>
            <w:tcBorders>
              <w:top w:val="nil"/>
              <w:left w:val="nil"/>
              <w:bottom w:val="nil"/>
              <w:right w:val="nil"/>
            </w:tcBorders>
            <w:shd w:val="clear" w:color="auto" w:fill="auto"/>
            <w:tcMar>
              <w:top w:w="50" w:type="dxa"/>
              <w:left w:w="60" w:type="dxa"/>
              <w:bottom w:w="50" w:type="dxa"/>
              <w:right w:w="60" w:type="dxa"/>
            </w:tcMar>
            <w:vAlign w:val="center"/>
          </w:tcPr>
          <w:p w14:paraId="0365B94B">
            <w:pPr>
              <w:spacing w:before="0" w:after="0" w:line="240" w:lineRule="auto"/>
              <w:jc w:val="center"/>
            </w:pPr>
            <w:r>
              <w:rPr>
                <w:rFonts w:ascii="Arial" w:hAnsi="Arial" w:eastAsia="Times New Roman"/>
                <w:b w:val="0"/>
                <w:sz w:val="15"/>
              </w:rPr>
              <w:t>1.058 (0.932-1.213)</w:t>
            </w:r>
          </w:p>
        </w:tc>
        <w:tc>
          <w:tcPr>
            <w:tcW w:w="1584" w:type="dxa"/>
            <w:tcBorders>
              <w:top w:val="nil"/>
              <w:left w:val="nil"/>
              <w:bottom w:val="nil"/>
              <w:right w:val="nil"/>
            </w:tcBorders>
            <w:shd w:val="clear" w:color="auto" w:fill="auto"/>
            <w:tcMar>
              <w:top w:w="50" w:type="dxa"/>
              <w:left w:w="60" w:type="dxa"/>
              <w:bottom w:w="50" w:type="dxa"/>
              <w:right w:w="60" w:type="dxa"/>
            </w:tcMar>
            <w:vAlign w:val="center"/>
          </w:tcPr>
          <w:p w14:paraId="6533476B">
            <w:pPr>
              <w:spacing w:before="0" w:after="0" w:line="240" w:lineRule="auto"/>
              <w:jc w:val="center"/>
            </w:pPr>
            <w:r>
              <w:rPr>
                <w:rFonts w:ascii="Arial" w:hAnsi="Arial" w:eastAsia="Times New Roman"/>
                <w:b w:val="0"/>
                <w:sz w:val="15"/>
              </w:rPr>
              <w:t>0.386</w:t>
            </w:r>
          </w:p>
        </w:tc>
        <w:tc>
          <w:tcPr>
            <w:tcW w:w="1440" w:type="dxa"/>
            <w:tcBorders>
              <w:top w:val="nil"/>
              <w:left w:val="nil"/>
              <w:bottom w:val="nil"/>
              <w:right w:val="nil"/>
            </w:tcBorders>
            <w:shd w:val="clear" w:color="auto" w:fill="auto"/>
            <w:tcMar>
              <w:top w:w="50" w:type="dxa"/>
              <w:left w:w="60" w:type="dxa"/>
              <w:bottom w:w="50" w:type="dxa"/>
              <w:right w:w="60" w:type="dxa"/>
            </w:tcMar>
            <w:vAlign w:val="center"/>
          </w:tcPr>
          <w:p w14:paraId="2078FEC4">
            <w:pPr>
              <w:spacing w:before="0" w:after="0" w:line="240" w:lineRule="auto"/>
              <w:jc w:val="center"/>
            </w:pPr>
            <w:r>
              <w:rPr>
                <w:rFonts w:ascii="Arial" w:hAnsi="Arial" w:eastAsia="Times New Roman"/>
                <w:b w:val="0"/>
                <w:sz w:val="15"/>
              </w:rPr>
              <w:t>14.0</w:t>
            </w:r>
          </w:p>
        </w:tc>
      </w:tr>
      <w:tr w14:paraId="30D8DFB6">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3888" w:type="dxa"/>
            <w:tcBorders>
              <w:top w:val="nil"/>
              <w:left w:val="nil"/>
              <w:bottom w:val="nil"/>
              <w:right w:val="nil"/>
            </w:tcBorders>
            <w:shd w:val="clear" w:color="auto" w:fill="auto"/>
            <w:tcMar>
              <w:top w:w="50" w:type="dxa"/>
              <w:left w:w="60" w:type="dxa"/>
              <w:bottom w:w="50" w:type="dxa"/>
              <w:right w:w="60" w:type="dxa"/>
            </w:tcMar>
            <w:vAlign w:val="center"/>
          </w:tcPr>
          <w:p w14:paraId="7CC41C57">
            <w:pPr>
              <w:spacing w:before="0" w:after="0" w:line="240" w:lineRule="auto"/>
              <w:jc w:val="left"/>
            </w:pPr>
            <w:r>
              <w:rPr>
                <w:rFonts w:ascii="Arial" w:hAnsi="Arial" w:eastAsia="Times New Roman"/>
                <w:b w:val="0"/>
                <w:sz w:val="15"/>
              </w:rPr>
              <w:t>Smooth margin</w:t>
            </w:r>
          </w:p>
        </w:tc>
        <w:tc>
          <w:tcPr>
            <w:tcW w:w="2304" w:type="dxa"/>
            <w:tcBorders>
              <w:top w:val="nil"/>
              <w:left w:val="nil"/>
              <w:bottom w:val="nil"/>
              <w:right w:val="nil"/>
            </w:tcBorders>
            <w:shd w:val="clear" w:color="auto" w:fill="auto"/>
            <w:tcMar>
              <w:top w:w="50" w:type="dxa"/>
              <w:left w:w="60" w:type="dxa"/>
              <w:bottom w:w="50" w:type="dxa"/>
              <w:right w:w="60" w:type="dxa"/>
            </w:tcMar>
            <w:vAlign w:val="center"/>
          </w:tcPr>
          <w:p w14:paraId="77D54CAE">
            <w:pPr>
              <w:spacing w:before="0" w:after="0" w:line="240" w:lineRule="auto"/>
              <w:jc w:val="center"/>
            </w:pPr>
            <w:r>
              <w:rPr>
                <w:rFonts w:ascii="Arial" w:hAnsi="Arial" w:eastAsia="Times New Roman"/>
                <w:b w:val="0"/>
                <w:sz w:val="15"/>
              </w:rPr>
              <w:t>0.462 (0.026-8.236)</w:t>
            </w:r>
          </w:p>
        </w:tc>
        <w:tc>
          <w:tcPr>
            <w:tcW w:w="1584" w:type="dxa"/>
            <w:tcBorders>
              <w:top w:val="nil"/>
              <w:left w:val="nil"/>
              <w:bottom w:val="nil"/>
              <w:right w:val="nil"/>
            </w:tcBorders>
            <w:shd w:val="clear" w:color="auto" w:fill="auto"/>
            <w:tcMar>
              <w:top w:w="50" w:type="dxa"/>
              <w:left w:w="60" w:type="dxa"/>
              <w:bottom w:w="50" w:type="dxa"/>
              <w:right w:w="60" w:type="dxa"/>
            </w:tcMar>
            <w:vAlign w:val="center"/>
          </w:tcPr>
          <w:p w14:paraId="5DE10EBD">
            <w:pPr>
              <w:spacing w:before="0" w:after="0" w:line="240" w:lineRule="auto"/>
              <w:jc w:val="center"/>
            </w:pPr>
            <w:r>
              <w:rPr>
                <w:rFonts w:ascii="Arial" w:hAnsi="Arial" w:eastAsia="Times New Roman"/>
                <w:b w:val="0"/>
                <w:sz w:val="15"/>
              </w:rPr>
              <w:t>0.598</w:t>
            </w:r>
          </w:p>
        </w:tc>
        <w:tc>
          <w:tcPr>
            <w:tcW w:w="1440" w:type="dxa"/>
            <w:tcBorders>
              <w:top w:val="nil"/>
              <w:left w:val="nil"/>
              <w:bottom w:val="nil"/>
              <w:right w:val="nil"/>
            </w:tcBorders>
            <w:shd w:val="clear" w:color="auto" w:fill="auto"/>
            <w:tcMar>
              <w:top w:w="50" w:type="dxa"/>
              <w:left w:w="60" w:type="dxa"/>
              <w:bottom w:w="50" w:type="dxa"/>
              <w:right w:w="60" w:type="dxa"/>
            </w:tcMar>
            <w:vAlign w:val="center"/>
          </w:tcPr>
          <w:p w14:paraId="75B6BD2B">
            <w:pPr>
              <w:spacing w:before="0" w:after="0" w:line="240" w:lineRule="auto"/>
              <w:jc w:val="center"/>
            </w:pPr>
            <w:r>
              <w:rPr>
                <w:rFonts w:ascii="Arial" w:hAnsi="Arial" w:eastAsia="Times New Roman"/>
                <w:b w:val="0"/>
                <w:sz w:val="15"/>
              </w:rPr>
              <w:t>1.9</w:t>
            </w:r>
          </w:p>
        </w:tc>
      </w:tr>
      <w:tr w14:paraId="6B09CD1F">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3888" w:type="dxa"/>
            <w:tcBorders>
              <w:top w:val="nil"/>
              <w:left w:val="nil"/>
              <w:bottom w:val="nil"/>
              <w:right w:val="nil"/>
            </w:tcBorders>
            <w:shd w:val="clear" w:color="auto" w:fill="auto"/>
            <w:tcMar>
              <w:top w:w="50" w:type="dxa"/>
              <w:left w:w="60" w:type="dxa"/>
              <w:bottom w:w="50" w:type="dxa"/>
              <w:right w:w="60" w:type="dxa"/>
            </w:tcMar>
            <w:vAlign w:val="center"/>
          </w:tcPr>
          <w:p w14:paraId="216FC724">
            <w:pPr>
              <w:spacing w:before="0" w:after="0" w:line="240" w:lineRule="auto"/>
              <w:jc w:val="left"/>
            </w:pPr>
            <w:r>
              <w:rPr>
                <w:rFonts w:ascii="Arial" w:hAnsi="Arial" w:eastAsia="Times New Roman"/>
                <w:b w:val="0"/>
                <w:sz w:val="15"/>
              </w:rPr>
              <w:t>Spiculation</w:t>
            </w:r>
          </w:p>
        </w:tc>
        <w:tc>
          <w:tcPr>
            <w:tcW w:w="2304" w:type="dxa"/>
            <w:tcBorders>
              <w:top w:val="nil"/>
              <w:left w:val="nil"/>
              <w:bottom w:val="nil"/>
              <w:right w:val="nil"/>
            </w:tcBorders>
            <w:shd w:val="clear" w:color="auto" w:fill="auto"/>
            <w:tcMar>
              <w:top w:w="50" w:type="dxa"/>
              <w:left w:w="60" w:type="dxa"/>
              <w:bottom w:w="50" w:type="dxa"/>
              <w:right w:w="60" w:type="dxa"/>
            </w:tcMar>
            <w:vAlign w:val="center"/>
          </w:tcPr>
          <w:p w14:paraId="6B735E79">
            <w:pPr>
              <w:spacing w:before="0" w:after="0" w:line="240" w:lineRule="auto"/>
              <w:jc w:val="center"/>
            </w:pPr>
            <w:r>
              <w:rPr>
                <w:rFonts w:ascii="Arial" w:hAnsi="Arial" w:eastAsia="Times New Roman"/>
                <w:b w:val="0"/>
                <w:sz w:val="15"/>
              </w:rPr>
              <w:t>0.692 (0.032-10.032)</w:t>
            </w:r>
          </w:p>
        </w:tc>
        <w:tc>
          <w:tcPr>
            <w:tcW w:w="1584" w:type="dxa"/>
            <w:tcBorders>
              <w:top w:val="nil"/>
              <w:left w:val="nil"/>
              <w:bottom w:val="nil"/>
              <w:right w:val="nil"/>
            </w:tcBorders>
            <w:shd w:val="clear" w:color="auto" w:fill="auto"/>
            <w:tcMar>
              <w:top w:w="50" w:type="dxa"/>
              <w:left w:w="60" w:type="dxa"/>
              <w:bottom w:w="50" w:type="dxa"/>
              <w:right w:w="60" w:type="dxa"/>
            </w:tcMar>
            <w:vAlign w:val="center"/>
          </w:tcPr>
          <w:p w14:paraId="4D610528">
            <w:pPr>
              <w:spacing w:before="0" w:after="0" w:line="240" w:lineRule="auto"/>
              <w:jc w:val="center"/>
            </w:pPr>
            <w:r>
              <w:rPr>
                <w:rFonts w:ascii="Arial" w:hAnsi="Arial" w:eastAsia="Times New Roman"/>
                <w:b w:val="0"/>
                <w:sz w:val="15"/>
              </w:rPr>
              <w:t>0.799</w:t>
            </w:r>
          </w:p>
        </w:tc>
        <w:tc>
          <w:tcPr>
            <w:tcW w:w="1440" w:type="dxa"/>
            <w:tcBorders>
              <w:top w:val="nil"/>
              <w:left w:val="nil"/>
              <w:bottom w:val="nil"/>
              <w:right w:val="nil"/>
            </w:tcBorders>
            <w:shd w:val="clear" w:color="auto" w:fill="auto"/>
            <w:tcMar>
              <w:top w:w="50" w:type="dxa"/>
              <w:left w:w="60" w:type="dxa"/>
              <w:bottom w:w="50" w:type="dxa"/>
              <w:right w:w="60" w:type="dxa"/>
            </w:tcMar>
            <w:vAlign w:val="center"/>
          </w:tcPr>
          <w:p w14:paraId="5EE57F1E">
            <w:pPr>
              <w:spacing w:before="0" w:after="0" w:line="240" w:lineRule="auto"/>
              <w:jc w:val="center"/>
            </w:pPr>
            <w:r>
              <w:rPr>
                <w:rFonts w:ascii="Arial" w:hAnsi="Arial" w:eastAsia="Times New Roman"/>
                <w:b w:val="0"/>
                <w:sz w:val="15"/>
              </w:rPr>
              <w:t>0.7</w:t>
            </w:r>
          </w:p>
        </w:tc>
      </w:tr>
      <w:tr w14:paraId="7A5041D1">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3888" w:type="dxa"/>
            <w:tcBorders>
              <w:top w:val="nil"/>
              <w:left w:val="nil"/>
              <w:bottom w:val="nil"/>
              <w:right w:val="nil"/>
            </w:tcBorders>
            <w:shd w:val="clear" w:color="auto" w:fill="auto"/>
            <w:tcMar>
              <w:top w:w="50" w:type="dxa"/>
              <w:left w:w="60" w:type="dxa"/>
              <w:bottom w:w="50" w:type="dxa"/>
              <w:right w:w="60" w:type="dxa"/>
            </w:tcMar>
            <w:vAlign w:val="center"/>
          </w:tcPr>
          <w:p w14:paraId="4E53E089">
            <w:pPr>
              <w:spacing w:before="0" w:after="0" w:line="240" w:lineRule="auto"/>
              <w:jc w:val="left"/>
            </w:pPr>
            <w:r>
              <w:rPr>
                <w:rFonts w:ascii="Arial" w:hAnsi="Arial" w:eastAsia="Times New Roman"/>
                <w:b w:val="0"/>
                <w:sz w:val="15"/>
              </w:rPr>
              <w:t>Pleural indentation</w:t>
            </w:r>
          </w:p>
        </w:tc>
        <w:tc>
          <w:tcPr>
            <w:tcW w:w="2304" w:type="dxa"/>
            <w:tcBorders>
              <w:top w:val="nil"/>
              <w:left w:val="nil"/>
              <w:bottom w:val="nil"/>
              <w:right w:val="nil"/>
            </w:tcBorders>
            <w:shd w:val="clear" w:color="auto" w:fill="auto"/>
            <w:tcMar>
              <w:top w:w="50" w:type="dxa"/>
              <w:left w:w="60" w:type="dxa"/>
              <w:bottom w:w="50" w:type="dxa"/>
              <w:right w:w="60" w:type="dxa"/>
            </w:tcMar>
            <w:vAlign w:val="center"/>
          </w:tcPr>
          <w:p w14:paraId="7A2DFCD7">
            <w:pPr>
              <w:spacing w:before="0" w:after="0" w:line="240" w:lineRule="auto"/>
              <w:jc w:val="center"/>
            </w:pPr>
            <w:r>
              <w:rPr>
                <w:rFonts w:ascii="Arial" w:hAnsi="Arial" w:eastAsia="Times New Roman"/>
                <w:b w:val="0"/>
                <w:sz w:val="15"/>
              </w:rPr>
              <w:t>4.128 (1.192-15.013)</w:t>
            </w:r>
          </w:p>
        </w:tc>
        <w:tc>
          <w:tcPr>
            <w:tcW w:w="1584" w:type="dxa"/>
            <w:tcBorders>
              <w:top w:val="nil"/>
              <w:left w:val="nil"/>
              <w:bottom w:val="nil"/>
              <w:right w:val="nil"/>
            </w:tcBorders>
            <w:shd w:val="clear" w:color="auto" w:fill="auto"/>
            <w:tcMar>
              <w:top w:w="50" w:type="dxa"/>
              <w:left w:w="60" w:type="dxa"/>
              <w:bottom w:w="50" w:type="dxa"/>
              <w:right w:w="60" w:type="dxa"/>
            </w:tcMar>
            <w:vAlign w:val="center"/>
          </w:tcPr>
          <w:p w14:paraId="47F90DD9">
            <w:pPr>
              <w:spacing w:before="0" w:after="0" w:line="240" w:lineRule="auto"/>
              <w:jc w:val="center"/>
            </w:pPr>
            <w:r>
              <w:rPr>
                <w:rFonts w:ascii="Arial" w:hAnsi="Arial" w:eastAsia="Times New Roman"/>
                <w:b w:val="0"/>
                <w:sz w:val="15"/>
              </w:rPr>
              <w:t>0.025</w:t>
            </w:r>
          </w:p>
        </w:tc>
        <w:tc>
          <w:tcPr>
            <w:tcW w:w="1440" w:type="dxa"/>
            <w:tcBorders>
              <w:top w:val="nil"/>
              <w:left w:val="nil"/>
              <w:bottom w:val="nil"/>
              <w:right w:val="nil"/>
            </w:tcBorders>
            <w:shd w:val="clear" w:color="auto" w:fill="auto"/>
            <w:tcMar>
              <w:top w:w="50" w:type="dxa"/>
              <w:left w:w="60" w:type="dxa"/>
              <w:bottom w:w="50" w:type="dxa"/>
              <w:right w:w="60" w:type="dxa"/>
            </w:tcMar>
            <w:vAlign w:val="center"/>
          </w:tcPr>
          <w:p w14:paraId="3F522399">
            <w:pPr>
              <w:spacing w:before="0" w:after="0" w:line="240" w:lineRule="auto"/>
              <w:jc w:val="center"/>
            </w:pPr>
            <w:r>
              <w:rPr>
                <w:rFonts w:ascii="Arial" w:hAnsi="Arial" w:eastAsia="Times New Roman"/>
                <w:b w:val="0"/>
                <w:sz w:val="15"/>
              </w:rPr>
              <w:t>65.1</w:t>
            </w:r>
          </w:p>
        </w:tc>
      </w:tr>
      <w:tr w14:paraId="586BB438">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3888" w:type="dxa"/>
            <w:tcBorders>
              <w:top w:val="nil"/>
              <w:left w:val="nil"/>
              <w:bottom w:val="nil"/>
              <w:right w:val="nil"/>
            </w:tcBorders>
            <w:shd w:val="clear" w:color="auto" w:fill="auto"/>
            <w:tcMar>
              <w:top w:w="50" w:type="dxa"/>
              <w:left w:w="60" w:type="dxa"/>
              <w:bottom w:w="50" w:type="dxa"/>
              <w:right w:w="60" w:type="dxa"/>
            </w:tcMar>
            <w:vAlign w:val="center"/>
          </w:tcPr>
          <w:p w14:paraId="1B485E28">
            <w:pPr>
              <w:spacing w:before="0" w:after="0" w:line="240" w:lineRule="auto"/>
              <w:jc w:val="left"/>
            </w:pPr>
            <w:r>
              <w:rPr>
                <w:rFonts w:ascii="Arial" w:hAnsi="Arial" w:eastAsia="Times New Roman"/>
                <w:b w:val="0"/>
                <w:sz w:val="15"/>
              </w:rPr>
              <w:t>Vascular convergence</w:t>
            </w:r>
          </w:p>
        </w:tc>
        <w:tc>
          <w:tcPr>
            <w:tcW w:w="2304" w:type="dxa"/>
            <w:tcBorders>
              <w:top w:val="nil"/>
              <w:left w:val="nil"/>
              <w:bottom w:val="nil"/>
              <w:right w:val="nil"/>
            </w:tcBorders>
            <w:shd w:val="clear" w:color="auto" w:fill="auto"/>
            <w:tcMar>
              <w:top w:w="50" w:type="dxa"/>
              <w:left w:w="60" w:type="dxa"/>
              <w:bottom w:w="50" w:type="dxa"/>
              <w:right w:w="60" w:type="dxa"/>
            </w:tcMar>
            <w:vAlign w:val="center"/>
          </w:tcPr>
          <w:p w14:paraId="54A20994">
            <w:pPr>
              <w:spacing w:before="0" w:after="0" w:line="240" w:lineRule="auto"/>
              <w:jc w:val="center"/>
            </w:pPr>
            <w:r>
              <w:rPr>
                <w:rFonts w:ascii="Arial" w:hAnsi="Arial" w:eastAsia="Times New Roman"/>
                <w:b w:val="0"/>
                <w:sz w:val="15"/>
              </w:rPr>
              <w:t>1.745 (0.352-8.578)</w:t>
            </w:r>
          </w:p>
        </w:tc>
        <w:tc>
          <w:tcPr>
            <w:tcW w:w="1584" w:type="dxa"/>
            <w:tcBorders>
              <w:top w:val="nil"/>
              <w:left w:val="nil"/>
              <w:bottom w:val="nil"/>
              <w:right w:val="nil"/>
            </w:tcBorders>
            <w:shd w:val="clear" w:color="auto" w:fill="auto"/>
            <w:tcMar>
              <w:top w:w="50" w:type="dxa"/>
              <w:left w:w="60" w:type="dxa"/>
              <w:bottom w:w="50" w:type="dxa"/>
              <w:right w:w="60" w:type="dxa"/>
            </w:tcMar>
            <w:vAlign w:val="center"/>
          </w:tcPr>
          <w:p w14:paraId="050C0771">
            <w:pPr>
              <w:spacing w:before="0" w:after="0" w:line="240" w:lineRule="auto"/>
              <w:jc w:val="center"/>
            </w:pPr>
            <w:r>
              <w:rPr>
                <w:rFonts w:ascii="Arial" w:hAnsi="Arial" w:eastAsia="Times New Roman"/>
                <w:b w:val="0"/>
                <w:sz w:val="15"/>
              </w:rPr>
              <w:t>0.488</w:t>
            </w:r>
          </w:p>
        </w:tc>
        <w:tc>
          <w:tcPr>
            <w:tcW w:w="1440" w:type="dxa"/>
            <w:tcBorders>
              <w:top w:val="nil"/>
              <w:left w:val="nil"/>
              <w:bottom w:val="nil"/>
              <w:right w:val="nil"/>
            </w:tcBorders>
            <w:shd w:val="clear" w:color="auto" w:fill="auto"/>
            <w:tcMar>
              <w:top w:w="50" w:type="dxa"/>
              <w:left w:w="60" w:type="dxa"/>
              <w:bottom w:w="50" w:type="dxa"/>
              <w:right w:w="60" w:type="dxa"/>
            </w:tcMar>
            <w:vAlign w:val="center"/>
          </w:tcPr>
          <w:p w14:paraId="09DA6007">
            <w:pPr>
              <w:spacing w:before="0" w:after="0" w:line="240" w:lineRule="auto"/>
              <w:jc w:val="center"/>
            </w:pPr>
            <w:r>
              <w:rPr>
                <w:rFonts w:ascii="Arial" w:hAnsi="Arial" w:eastAsia="Times New Roman"/>
                <w:b w:val="0"/>
                <w:sz w:val="15"/>
              </w:rPr>
              <w:t>10.8</w:t>
            </w:r>
          </w:p>
        </w:tc>
      </w:tr>
      <w:tr w14:paraId="11F2F214">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3888" w:type="dxa"/>
            <w:tcBorders>
              <w:top w:val="nil"/>
              <w:left w:val="nil"/>
              <w:bottom w:val="nil"/>
              <w:right w:val="nil"/>
            </w:tcBorders>
            <w:shd w:val="clear" w:color="auto" w:fill="auto"/>
            <w:tcMar>
              <w:top w:w="50" w:type="dxa"/>
              <w:left w:w="60" w:type="dxa"/>
              <w:bottom w:w="50" w:type="dxa"/>
              <w:right w:w="60" w:type="dxa"/>
            </w:tcMar>
            <w:vAlign w:val="center"/>
          </w:tcPr>
          <w:p w14:paraId="09B64816">
            <w:pPr>
              <w:spacing w:before="0" w:after="0" w:line="240" w:lineRule="auto"/>
            </w:pPr>
            <w:r>
              <w:rPr>
                <w:rFonts w:ascii="Arial" w:hAnsi="Arial"/>
                <w:b w:val="0"/>
                <w:sz w:val="15"/>
              </w:rPr>
              <w:t>Heterogeneous internal attenuation</w:t>
            </w:r>
          </w:p>
        </w:tc>
        <w:tc>
          <w:tcPr>
            <w:tcW w:w="2304" w:type="dxa"/>
            <w:tcBorders>
              <w:top w:val="nil"/>
              <w:left w:val="nil"/>
              <w:bottom w:val="nil"/>
              <w:right w:val="nil"/>
            </w:tcBorders>
            <w:shd w:val="clear" w:color="auto" w:fill="auto"/>
            <w:tcMar>
              <w:top w:w="50" w:type="dxa"/>
              <w:left w:w="60" w:type="dxa"/>
              <w:bottom w:w="50" w:type="dxa"/>
              <w:right w:w="60" w:type="dxa"/>
            </w:tcMar>
            <w:vAlign w:val="center"/>
          </w:tcPr>
          <w:p w14:paraId="0C5798A3">
            <w:pPr>
              <w:spacing w:before="0" w:after="0" w:line="240" w:lineRule="auto"/>
              <w:jc w:val="center"/>
            </w:pPr>
            <w:r>
              <w:rPr>
                <w:rFonts w:ascii="Arial" w:hAnsi="Arial" w:eastAsia="Times New Roman"/>
                <w:b w:val="0"/>
                <w:sz w:val="15"/>
              </w:rPr>
              <w:t>0.250 (0.022-1.596)</w:t>
            </w:r>
          </w:p>
        </w:tc>
        <w:tc>
          <w:tcPr>
            <w:tcW w:w="1584" w:type="dxa"/>
            <w:tcBorders>
              <w:top w:val="nil"/>
              <w:left w:val="nil"/>
              <w:bottom w:val="nil"/>
              <w:right w:val="nil"/>
            </w:tcBorders>
            <w:shd w:val="clear" w:color="auto" w:fill="auto"/>
            <w:tcMar>
              <w:top w:w="50" w:type="dxa"/>
              <w:left w:w="60" w:type="dxa"/>
              <w:bottom w:w="50" w:type="dxa"/>
              <w:right w:w="60" w:type="dxa"/>
            </w:tcMar>
            <w:vAlign w:val="center"/>
          </w:tcPr>
          <w:p w14:paraId="1FBB1364">
            <w:pPr>
              <w:spacing w:before="0" w:after="0" w:line="240" w:lineRule="auto"/>
              <w:jc w:val="center"/>
            </w:pPr>
            <w:r>
              <w:rPr>
                <w:rFonts w:ascii="Arial" w:hAnsi="Arial" w:eastAsia="Times New Roman"/>
                <w:b w:val="0"/>
                <w:sz w:val="15"/>
              </w:rPr>
              <w:t>0.148</w:t>
            </w:r>
          </w:p>
        </w:tc>
        <w:tc>
          <w:tcPr>
            <w:tcW w:w="1440" w:type="dxa"/>
            <w:tcBorders>
              <w:top w:val="nil"/>
              <w:left w:val="nil"/>
              <w:bottom w:val="nil"/>
              <w:right w:val="nil"/>
            </w:tcBorders>
            <w:shd w:val="clear" w:color="auto" w:fill="auto"/>
            <w:tcMar>
              <w:top w:w="50" w:type="dxa"/>
              <w:left w:w="60" w:type="dxa"/>
              <w:bottom w:w="50" w:type="dxa"/>
              <w:right w:w="60" w:type="dxa"/>
            </w:tcMar>
            <w:vAlign w:val="center"/>
          </w:tcPr>
          <w:p w14:paraId="212AEF3B">
            <w:pPr>
              <w:spacing w:before="0" w:after="0" w:line="240" w:lineRule="auto"/>
              <w:jc w:val="center"/>
            </w:pPr>
            <w:r>
              <w:rPr>
                <w:rFonts w:ascii="Arial" w:hAnsi="Arial" w:eastAsia="Times New Roman"/>
                <w:b w:val="0"/>
                <w:sz w:val="15"/>
              </w:rPr>
              <w:t>33.3</w:t>
            </w:r>
          </w:p>
        </w:tc>
      </w:tr>
      <w:tr w14:paraId="6249B804">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3888" w:type="dxa"/>
            <w:tcBorders>
              <w:top w:val="nil"/>
              <w:left w:val="nil"/>
              <w:bottom w:val="single" w:color="auto" w:sz="4" w:space="0"/>
              <w:right w:val="nil"/>
            </w:tcBorders>
            <w:shd w:val="clear" w:color="auto" w:fill="auto"/>
            <w:tcMar>
              <w:top w:w="50" w:type="dxa"/>
              <w:left w:w="60" w:type="dxa"/>
              <w:bottom w:w="50" w:type="dxa"/>
              <w:right w:w="60" w:type="dxa"/>
            </w:tcMar>
            <w:vAlign w:val="center"/>
          </w:tcPr>
          <w:p w14:paraId="160508C1">
            <w:pPr>
              <w:spacing w:before="0" w:after="0" w:line="240" w:lineRule="auto"/>
              <w:jc w:val="left"/>
            </w:pPr>
            <w:r>
              <w:rPr>
                <w:rFonts w:ascii="Arial" w:hAnsi="Arial" w:eastAsia="Times New Roman"/>
                <w:b w:val="0"/>
                <w:sz w:val="15"/>
              </w:rPr>
              <w:t>Air bronchogram</w:t>
            </w:r>
          </w:p>
        </w:tc>
        <w:tc>
          <w:tcPr>
            <w:tcW w:w="2304" w:type="dxa"/>
            <w:tcBorders>
              <w:top w:val="nil"/>
              <w:left w:val="nil"/>
              <w:bottom w:val="single" w:color="auto" w:sz="4" w:space="0"/>
              <w:right w:val="nil"/>
            </w:tcBorders>
            <w:shd w:val="clear" w:color="auto" w:fill="auto"/>
            <w:tcMar>
              <w:top w:w="50" w:type="dxa"/>
              <w:left w:w="60" w:type="dxa"/>
              <w:bottom w:w="50" w:type="dxa"/>
              <w:right w:w="60" w:type="dxa"/>
            </w:tcMar>
            <w:vAlign w:val="center"/>
          </w:tcPr>
          <w:p w14:paraId="6577A0FF">
            <w:pPr>
              <w:spacing w:before="0" w:after="0" w:line="240" w:lineRule="auto"/>
              <w:jc w:val="center"/>
            </w:pPr>
            <w:r>
              <w:rPr>
                <w:rFonts w:ascii="Arial" w:hAnsi="Arial" w:eastAsia="Times New Roman"/>
                <w:b w:val="0"/>
                <w:sz w:val="15"/>
              </w:rPr>
              <w:t>3.302 (0.787-16.101)</w:t>
            </w:r>
          </w:p>
        </w:tc>
        <w:tc>
          <w:tcPr>
            <w:tcW w:w="1584" w:type="dxa"/>
            <w:tcBorders>
              <w:top w:val="nil"/>
              <w:left w:val="nil"/>
              <w:bottom w:val="single" w:color="auto" w:sz="4" w:space="0"/>
              <w:right w:val="nil"/>
            </w:tcBorders>
            <w:shd w:val="clear" w:color="auto" w:fill="auto"/>
            <w:tcMar>
              <w:top w:w="50" w:type="dxa"/>
              <w:left w:w="60" w:type="dxa"/>
              <w:bottom w:w="50" w:type="dxa"/>
              <w:right w:w="60" w:type="dxa"/>
            </w:tcMar>
            <w:vAlign w:val="center"/>
          </w:tcPr>
          <w:p w14:paraId="3D36516D">
            <w:pPr>
              <w:spacing w:before="0" w:after="0" w:line="240" w:lineRule="auto"/>
              <w:jc w:val="center"/>
            </w:pPr>
            <w:r>
              <w:rPr>
                <w:rFonts w:ascii="Arial" w:hAnsi="Arial" w:eastAsia="Times New Roman"/>
                <w:b w:val="0"/>
                <w:sz w:val="15"/>
              </w:rPr>
              <w:t>0.103</w:t>
            </w:r>
          </w:p>
        </w:tc>
        <w:tc>
          <w:tcPr>
            <w:tcW w:w="1440" w:type="dxa"/>
            <w:tcBorders>
              <w:top w:val="nil"/>
              <w:left w:val="nil"/>
              <w:bottom w:val="single" w:color="auto" w:sz="4" w:space="0"/>
              <w:right w:val="nil"/>
            </w:tcBorders>
            <w:shd w:val="clear" w:color="auto" w:fill="auto"/>
            <w:tcMar>
              <w:top w:w="50" w:type="dxa"/>
              <w:left w:w="60" w:type="dxa"/>
              <w:bottom w:w="50" w:type="dxa"/>
              <w:right w:w="60" w:type="dxa"/>
            </w:tcMar>
            <w:vAlign w:val="center"/>
          </w:tcPr>
          <w:p w14:paraId="0F5CC2CE">
            <w:pPr>
              <w:spacing w:before="0" w:after="0" w:line="240" w:lineRule="auto"/>
              <w:jc w:val="center"/>
            </w:pPr>
            <w:r>
              <w:rPr>
                <w:rFonts w:ascii="Arial" w:hAnsi="Arial" w:eastAsia="Times New Roman"/>
                <w:b w:val="0"/>
                <w:sz w:val="15"/>
              </w:rPr>
              <w:t>33.5</w:t>
            </w:r>
          </w:p>
        </w:tc>
      </w:tr>
    </w:tbl>
    <w:p w14:paraId="67C2DF5A">
      <w:pPr>
        <w:pStyle w:val="166"/>
        <w:spacing w:after="80"/>
      </w:pPr>
      <w:r>
        <w:t>The Firth analysis is a stability audit of the seven conventional variables meeting the univariable screening criterion. The label “heterogeneous internal attenuation” uses the same coding and direction as Table 2. Bootstrap percentages are descriptive.</w:t>
      </w:r>
    </w:p>
    <w:p w14:paraId="431AA238">
      <w:pPr>
        <w:pStyle w:val="168"/>
        <w:keepNext/>
        <w:keepLines/>
        <w:spacing w:before="160" w:after="60"/>
      </w:pPr>
      <w:r>
        <w:t>Table S10. Second-look internal-evaluation confusion matrices at frozen development-derived cutoffs</w:t>
      </w:r>
    </w:p>
    <w:tbl>
      <w:tblPr>
        <w:tblStyle w:val="33"/>
        <w:tblW w:w="0" w:type="auto"/>
        <w:jc w:val="center"/>
        <w:tblBorders>
          <w:top w:val="single" w:color="000000" w:sz="12"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728"/>
        <w:gridCol w:w="835"/>
        <w:gridCol w:w="835"/>
        <w:gridCol w:w="835"/>
        <w:gridCol w:w="835"/>
        <w:gridCol w:w="936"/>
        <w:gridCol w:w="936"/>
        <w:gridCol w:w="1224"/>
      </w:tblGrid>
      <w:tr w14:paraId="2C09DF35">
        <w:tblPrEx>
          <w:tblBorders>
            <w:top w:val="single" w:color="000000" w:sz="12"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cantSplit/>
          <w:tblHeader w:val="true"/>
          <w:jc w:val="center"/>
        </w:trPr>
        <w:tc>
          <w:tcPr>
            <w:tcW w:w="1655" w:type="dxa"/>
            <w:tcBorders>
              <w:top w:val="single" w:color="000000" w:sz="12" w:space="0"/>
              <w:left w:val="nil"/>
              <w:bottom w:val="single" w:color="000000" w:sz="6" w:space="0"/>
              <w:right w:val="nil"/>
            </w:tcBorders>
            <w:shd w:val="clear" w:color="auto" w:fill="D9EAF3"/>
            <w:tcMar>
              <w:top w:w="50" w:type="dxa"/>
              <w:left w:w="60" w:type="dxa"/>
              <w:bottom w:w="50" w:type="dxa"/>
              <w:right w:w="60" w:type="dxa"/>
            </w:tcMar>
            <w:vAlign w:val="center"/>
          </w:tcPr>
          <w:p w14:paraId="344B2AD0">
            <w:pPr>
              <w:spacing w:before="0" w:after="0" w:line="240" w:lineRule="auto"/>
              <w:jc w:val="center"/>
            </w:pPr>
            <w:r>
              <w:rPr>
                <w:rFonts w:ascii="Arial" w:hAnsi="Arial" w:eastAsia="Times New Roman"/>
                <w:b/>
                <w:sz w:val="15"/>
              </w:rPr>
              <w:t>Model</w:t>
            </w:r>
          </w:p>
        </w:tc>
        <w:tc>
          <w:tcPr>
            <w:tcW w:w="792" w:type="dxa"/>
            <w:tcBorders>
              <w:top w:val="single" w:color="000000" w:sz="12" w:space="0"/>
              <w:left w:val="nil"/>
              <w:bottom w:val="single" w:color="000000" w:sz="6" w:space="0"/>
              <w:right w:val="nil"/>
            </w:tcBorders>
            <w:shd w:val="clear" w:color="auto" w:fill="D9EAF3"/>
            <w:tcMar>
              <w:top w:w="50" w:type="dxa"/>
              <w:left w:w="60" w:type="dxa"/>
              <w:bottom w:w="50" w:type="dxa"/>
              <w:right w:w="60" w:type="dxa"/>
            </w:tcMar>
            <w:vAlign w:val="center"/>
          </w:tcPr>
          <w:p w14:paraId="22E151ED">
            <w:pPr>
              <w:spacing w:before="0" w:after="0" w:line="240" w:lineRule="auto"/>
              <w:jc w:val="center"/>
            </w:pPr>
            <w:r>
              <w:rPr>
                <w:rFonts w:ascii="Arial" w:hAnsi="Arial" w:eastAsia="Times New Roman"/>
                <w:b/>
                <w:sz w:val="15"/>
              </w:rPr>
              <w:t>TP</w:t>
            </w:r>
          </w:p>
        </w:tc>
        <w:tc>
          <w:tcPr>
            <w:tcW w:w="792" w:type="dxa"/>
            <w:tcBorders>
              <w:top w:val="single" w:color="000000" w:sz="12" w:space="0"/>
              <w:left w:val="nil"/>
              <w:bottom w:val="single" w:color="000000" w:sz="6" w:space="0"/>
              <w:right w:val="nil"/>
            </w:tcBorders>
            <w:shd w:val="clear" w:color="auto" w:fill="D9EAF3"/>
            <w:tcMar>
              <w:top w:w="50" w:type="dxa"/>
              <w:left w:w="60" w:type="dxa"/>
              <w:bottom w:w="50" w:type="dxa"/>
              <w:right w:w="60" w:type="dxa"/>
            </w:tcMar>
            <w:vAlign w:val="center"/>
          </w:tcPr>
          <w:p w14:paraId="0134AA1F">
            <w:pPr>
              <w:spacing w:before="0" w:after="0" w:line="240" w:lineRule="auto"/>
              <w:jc w:val="center"/>
            </w:pPr>
            <w:r>
              <w:rPr>
                <w:rFonts w:ascii="Arial" w:hAnsi="Arial" w:eastAsia="Times New Roman"/>
                <w:b/>
                <w:sz w:val="15"/>
              </w:rPr>
              <w:t>FN</w:t>
            </w:r>
          </w:p>
        </w:tc>
        <w:tc>
          <w:tcPr>
            <w:tcW w:w="792" w:type="dxa"/>
            <w:tcBorders>
              <w:top w:val="single" w:color="000000" w:sz="12" w:space="0"/>
              <w:left w:val="nil"/>
              <w:bottom w:val="single" w:color="000000" w:sz="6" w:space="0"/>
              <w:right w:val="nil"/>
            </w:tcBorders>
            <w:shd w:val="clear" w:color="auto" w:fill="D9EAF3"/>
            <w:tcMar>
              <w:top w:w="50" w:type="dxa"/>
              <w:left w:w="60" w:type="dxa"/>
              <w:bottom w:w="50" w:type="dxa"/>
              <w:right w:w="60" w:type="dxa"/>
            </w:tcMar>
            <w:vAlign w:val="center"/>
          </w:tcPr>
          <w:p w14:paraId="754DEBFF">
            <w:pPr>
              <w:spacing w:before="0" w:after="0" w:line="240" w:lineRule="auto"/>
              <w:jc w:val="center"/>
            </w:pPr>
            <w:r>
              <w:rPr>
                <w:rFonts w:ascii="Arial" w:hAnsi="Arial" w:eastAsia="Times New Roman"/>
                <w:b/>
                <w:sz w:val="15"/>
              </w:rPr>
              <w:t>TN</w:t>
            </w:r>
          </w:p>
        </w:tc>
        <w:tc>
          <w:tcPr>
            <w:tcW w:w="792" w:type="dxa"/>
            <w:tcBorders>
              <w:top w:val="single" w:color="000000" w:sz="12" w:space="0"/>
              <w:left w:val="nil"/>
              <w:bottom w:val="single" w:color="000000" w:sz="6" w:space="0"/>
              <w:right w:val="nil"/>
            </w:tcBorders>
            <w:shd w:val="clear" w:color="auto" w:fill="D9EAF3"/>
            <w:tcMar>
              <w:top w:w="50" w:type="dxa"/>
              <w:left w:w="60" w:type="dxa"/>
              <w:bottom w:w="50" w:type="dxa"/>
              <w:right w:w="60" w:type="dxa"/>
            </w:tcMar>
            <w:vAlign w:val="center"/>
          </w:tcPr>
          <w:p w14:paraId="21D6932F">
            <w:pPr>
              <w:spacing w:before="0" w:after="0" w:line="240" w:lineRule="auto"/>
              <w:jc w:val="center"/>
            </w:pPr>
            <w:r>
              <w:rPr>
                <w:rFonts w:ascii="Arial" w:hAnsi="Arial" w:eastAsia="Times New Roman"/>
                <w:b/>
                <w:sz w:val="15"/>
              </w:rPr>
              <w:t>FP</w:t>
            </w:r>
          </w:p>
        </w:tc>
        <w:tc>
          <w:tcPr>
            <w:tcW w:w="1440" w:type="dxa"/>
            <w:tcBorders>
              <w:top w:val="single" w:color="000000" w:sz="12" w:space="0"/>
              <w:left w:val="nil"/>
              <w:bottom w:val="single" w:color="000000" w:sz="6" w:space="0"/>
              <w:right w:val="nil"/>
            </w:tcBorders>
            <w:shd w:val="clear" w:color="auto" w:fill="D9EAF3"/>
            <w:tcMar>
              <w:top w:w="50" w:type="dxa"/>
              <w:left w:w="60" w:type="dxa"/>
              <w:bottom w:w="50" w:type="dxa"/>
              <w:right w:w="60" w:type="dxa"/>
            </w:tcMar>
            <w:vAlign w:val="center"/>
          </w:tcPr>
          <w:p w14:paraId="6537BC23">
            <w:pPr>
              <w:spacing w:before="0" w:after="0" w:line="240" w:lineRule="auto"/>
              <w:jc w:val="center"/>
            </w:pPr>
            <w:r>
              <w:rPr>
                <w:rFonts w:ascii="Arial" w:hAnsi="Arial" w:eastAsia="Times New Roman"/>
                <w:b/>
                <w:sz w:val="15"/>
              </w:rPr>
              <w:t>Sens.</w:t>
            </w:r>
          </w:p>
        </w:tc>
        <w:tc>
          <w:tcPr>
            <w:tcW w:w="1440" w:type="dxa"/>
            <w:tcBorders>
              <w:top w:val="single" w:color="000000" w:sz="12" w:space="0"/>
              <w:left w:val="nil"/>
              <w:bottom w:val="single" w:color="000000" w:sz="6" w:space="0"/>
              <w:right w:val="nil"/>
            </w:tcBorders>
            <w:shd w:val="clear" w:color="auto" w:fill="D9EAF3"/>
            <w:tcMar>
              <w:top w:w="50" w:type="dxa"/>
              <w:left w:w="60" w:type="dxa"/>
              <w:bottom w:w="50" w:type="dxa"/>
              <w:right w:w="60" w:type="dxa"/>
            </w:tcMar>
            <w:vAlign w:val="center"/>
          </w:tcPr>
          <w:p w14:paraId="737C82AD">
            <w:pPr>
              <w:spacing w:before="0" w:after="0" w:line="240" w:lineRule="auto"/>
              <w:jc w:val="center"/>
            </w:pPr>
            <w:r>
              <w:rPr>
                <w:rFonts w:ascii="Arial" w:hAnsi="Arial" w:eastAsia="Times New Roman"/>
                <w:b/>
                <w:sz w:val="15"/>
              </w:rPr>
              <w:t>Spec.</w:t>
            </w:r>
          </w:p>
        </w:tc>
        <w:tc>
          <w:tcPr>
            <w:tcW w:w="1512" w:type="dxa"/>
            <w:tcBorders>
              <w:top w:val="single" w:color="000000" w:sz="12" w:space="0"/>
              <w:left w:val="nil"/>
              <w:bottom w:val="single" w:color="000000" w:sz="6" w:space="0"/>
              <w:right w:val="nil"/>
            </w:tcBorders>
            <w:shd w:val="clear" w:color="auto" w:fill="D9EAF3"/>
            <w:tcMar>
              <w:top w:w="50" w:type="dxa"/>
              <w:left w:w="60" w:type="dxa"/>
              <w:bottom w:w="50" w:type="dxa"/>
              <w:right w:w="60" w:type="dxa"/>
            </w:tcMar>
            <w:vAlign w:val="center"/>
          </w:tcPr>
          <w:p w14:paraId="3AFCAFAA">
            <w:pPr>
              <w:spacing w:before="0" w:after="0" w:line="240" w:lineRule="auto"/>
              <w:jc w:val="center"/>
            </w:pPr>
            <w:r>
              <w:rPr>
                <w:rFonts w:ascii="Arial" w:hAnsi="Arial" w:eastAsia="Times New Roman"/>
                <w:b/>
                <w:sz w:val="15"/>
              </w:rPr>
              <w:t>Acc.</w:t>
            </w:r>
          </w:p>
        </w:tc>
      </w:tr>
      <w:tr w14:paraId="28B065C2">
        <w:tblPrEx>
          <w:tblBorders>
            <w:top w:val="single" w:color="000000" w:sz="12"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655" w:type="dxa"/>
            <w:tcBorders>
              <w:top w:val="nil"/>
              <w:left w:val="nil"/>
              <w:bottom w:val="nil"/>
              <w:right w:val="nil"/>
            </w:tcBorders>
            <w:shd w:val="clear" w:color="auto" w:fill="auto"/>
            <w:tcMar>
              <w:top w:w="50" w:type="dxa"/>
              <w:left w:w="60" w:type="dxa"/>
              <w:bottom w:w="50" w:type="dxa"/>
              <w:right w:w="60" w:type="dxa"/>
            </w:tcMar>
            <w:vAlign w:val="center"/>
          </w:tcPr>
          <w:p w14:paraId="1ABF05CD">
            <w:pPr>
              <w:spacing w:before="0" w:after="0" w:line="240" w:lineRule="auto"/>
              <w:jc w:val="left"/>
            </w:pPr>
            <w:r>
              <w:rPr>
                <w:rFonts w:ascii="Arial" w:hAnsi="Arial" w:eastAsia="Times New Roman"/>
                <w:sz w:val="15"/>
              </w:rPr>
              <w:t>Morphologic</w:t>
            </w:r>
          </w:p>
        </w:tc>
        <w:tc>
          <w:tcPr>
            <w:tcW w:w="792" w:type="dxa"/>
            <w:tcBorders>
              <w:top w:val="nil"/>
              <w:left w:val="nil"/>
              <w:bottom w:val="nil"/>
              <w:right w:val="nil"/>
            </w:tcBorders>
            <w:shd w:val="clear" w:color="auto" w:fill="auto"/>
            <w:tcMar>
              <w:top w:w="50" w:type="dxa"/>
              <w:left w:w="60" w:type="dxa"/>
              <w:bottom w:w="50" w:type="dxa"/>
              <w:right w:w="60" w:type="dxa"/>
            </w:tcMar>
            <w:vAlign w:val="center"/>
          </w:tcPr>
          <w:p w14:paraId="5B94940C">
            <w:pPr>
              <w:spacing w:before="0" w:after="0" w:line="240" w:lineRule="auto"/>
              <w:jc w:val="center"/>
            </w:pPr>
            <w:r>
              <w:rPr>
                <w:rFonts w:ascii="Arial" w:hAnsi="Arial" w:eastAsia="Times New Roman"/>
                <w:sz w:val="15"/>
              </w:rPr>
              <w:t>10</w:t>
            </w:r>
          </w:p>
        </w:tc>
        <w:tc>
          <w:tcPr>
            <w:tcW w:w="792" w:type="dxa"/>
            <w:tcBorders>
              <w:top w:val="nil"/>
              <w:left w:val="nil"/>
              <w:bottom w:val="nil"/>
              <w:right w:val="nil"/>
            </w:tcBorders>
            <w:shd w:val="clear" w:color="auto" w:fill="auto"/>
            <w:tcMar>
              <w:top w:w="50" w:type="dxa"/>
              <w:left w:w="60" w:type="dxa"/>
              <w:bottom w:w="50" w:type="dxa"/>
              <w:right w:w="60" w:type="dxa"/>
            </w:tcMar>
            <w:vAlign w:val="center"/>
          </w:tcPr>
          <w:p w14:paraId="73B95305">
            <w:pPr>
              <w:spacing w:before="0" w:after="0" w:line="240" w:lineRule="auto"/>
              <w:jc w:val="center"/>
            </w:pPr>
            <w:r>
              <w:rPr>
                <w:rFonts w:ascii="Arial" w:hAnsi="Arial" w:eastAsia="Times New Roman"/>
                <w:sz w:val="15"/>
              </w:rPr>
              <w:t>6</w:t>
            </w:r>
          </w:p>
        </w:tc>
        <w:tc>
          <w:tcPr>
            <w:tcW w:w="792" w:type="dxa"/>
            <w:tcBorders>
              <w:top w:val="nil"/>
              <w:left w:val="nil"/>
              <w:bottom w:val="nil"/>
              <w:right w:val="nil"/>
            </w:tcBorders>
            <w:shd w:val="clear" w:color="auto" w:fill="auto"/>
            <w:tcMar>
              <w:top w:w="50" w:type="dxa"/>
              <w:left w:w="60" w:type="dxa"/>
              <w:bottom w:w="50" w:type="dxa"/>
              <w:right w:w="60" w:type="dxa"/>
            </w:tcMar>
            <w:vAlign w:val="center"/>
          </w:tcPr>
          <w:p w14:paraId="5A880AB1">
            <w:pPr>
              <w:spacing w:before="0" w:after="0" w:line="240" w:lineRule="auto"/>
              <w:jc w:val="center"/>
            </w:pPr>
            <w:r>
              <w:rPr>
                <w:rFonts w:ascii="Arial" w:hAnsi="Arial" w:eastAsia="Times New Roman"/>
                <w:sz w:val="15"/>
              </w:rPr>
              <w:t>10</w:t>
            </w:r>
          </w:p>
        </w:tc>
        <w:tc>
          <w:tcPr>
            <w:tcW w:w="792" w:type="dxa"/>
            <w:tcBorders>
              <w:top w:val="nil"/>
              <w:left w:val="nil"/>
              <w:bottom w:val="nil"/>
              <w:right w:val="nil"/>
            </w:tcBorders>
            <w:shd w:val="clear" w:color="auto" w:fill="auto"/>
            <w:tcMar>
              <w:top w:w="50" w:type="dxa"/>
              <w:left w:w="60" w:type="dxa"/>
              <w:bottom w:w="50" w:type="dxa"/>
              <w:right w:w="60" w:type="dxa"/>
            </w:tcMar>
            <w:vAlign w:val="center"/>
          </w:tcPr>
          <w:p w14:paraId="3F9715DA">
            <w:pPr>
              <w:spacing w:before="0" w:after="0" w:line="240" w:lineRule="auto"/>
              <w:jc w:val="center"/>
            </w:pPr>
            <w:r>
              <w:rPr>
                <w:rFonts w:ascii="Arial" w:hAnsi="Arial" w:eastAsia="Times New Roman"/>
                <w:sz w:val="15"/>
              </w:rPr>
              <w:t>3</w:t>
            </w:r>
          </w:p>
        </w:tc>
        <w:tc>
          <w:tcPr>
            <w:tcW w:w="1440" w:type="dxa"/>
            <w:tcBorders>
              <w:top w:val="nil"/>
              <w:left w:val="nil"/>
              <w:bottom w:val="nil"/>
              <w:right w:val="nil"/>
            </w:tcBorders>
            <w:shd w:val="clear" w:color="auto" w:fill="auto"/>
            <w:tcMar>
              <w:top w:w="50" w:type="dxa"/>
              <w:left w:w="60" w:type="dxa"/>
              <w:bottom w:w="50" w:type="dxa"/>
              <w:right w:w="60" w:type="dxa"/>
            </w:tcMar>
            <w:vAlign w:val="center"/>
          </w:tcPr>
          <w:p w14:paraId="10502B80">
            <w:pPr>
              <w:spacing w:before="0" w:after="0" w:line="240" w:lineRule="auto"/>
              <w:jc w:val="center"/>
            </w:pPr>
            <w:r>
              <w:rPr>
                <w:rFonts w:ascii="Arial" w:hAnsi="Arial" w:eastAsia="Times New Roman"/>
                <w:sz w:val="15"/>
              </w:rPr>
              <w:t>62.5</w:t>
            </w:r>
          </w:p>
        </w:tc>
        <w:tc>
          <w:tcPr>
            <w:tcW w:w="1440" w:type="dxa"/>
            <w:tcBorders>
              <w:top w:val="nil"/>
              <w:left w:val="nil"/>
              <w:bottom w:val="nil"/>
              <w:right w:val="nil"/>
            </w:tcBorders>
            <w:shd w:val="clear" w:color="auto" w:fill="auto"/>
            <w:tcMar>
              <w:top w:w="50" w:type="dxa"/>
              <w:left w:w="60" w:type="dxa"/>
              <w:bottom w:w="50" w:type="dxa"/>
              <w:right w:w="60" w:type="dxa"/>
            </w:tcMar>
            <w:vAlign w:val="center"/>
          </w:tcPr>
          <w:p w14:paraId="345F63E5">
            <w:pPr>
              <w:spacing w:before="0" w:after="0" w:line="240" w:lineRule="auto"/>
              <w:jc w:val="center"/>
            </w:pPr>
            <w:r>
              <w:rPr>
                <w:rFonts w:ascii="Arial" w:hAnsi="Arial" w:eastAsia="Times New Roman"/>
                <w:sz w:val="15"/>
              </w:rPr>
              <w:t>76.9</w:t>
            </w:r>
          </w:p>
        </w:tc>
        <w:tc>
          <w:tcPr>
            <w:tcW w:w="1512" w:type="dxa"/>
            <w:tcBorders>
              <w:top w:val="nil"/>
              <w:left w:val="nil"/>
              <w:bottom w:val="nil"/>
              <w:right w:val="nil"/>
            </w:tcBorders>
            <w:shd w:val="clear" w:color="auto" w:fill="auto"/>
            <w:tcMar>
              <w:top w:w="50" w:type="dxa"/>
              <w:left w:w="60" w:type="dxa"/>
              <w:bottom w:w="50" w:type="dxa"/>
              <w:right w:w="60" w:type="dxa"/>
            </w:tcMar>
            <w:vAlign w:val="center"/>
          </w:tcPr>
          <w:p w14:paraId="45853E3A">
            <w:pPr>
              <w:spacing w:before="0" w:after="0" w:line="240" w:lineRule="auto"/>
              <w:jc w:val="center"/>
            </w:pPr>
            <w:r>
              <w:rPr>
                <w:rFonts w:ascii="Arial" w:hAnsi="Arial" w:eastAsia="Times New Roman"/>
                <w:sz w:val="15"/>
              </w:rPr>
              <w:t>69.0</w:t>
            </w:r>
          </w:p>
        </w:tc>
      </w:tr>
      <w:tr w14:paraId="6F108420">
        <w:tblPrEx>
          <w:tblBorders>
            <w:top w:val="single" w:color="000000" w:sz="12"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655" w:type="dxa"/>
            <w:tcBorders>
              <w:top w:val="nil"/>
              <w:left w:val="nil"/>
              <w:bottom w:val="nil"/>
              <w:right w:val="nil"/>
            </w:tcBorders>
            <w:shd w:val="clear" w:color="auto" w:fill="auto"/>
            <w:tcMar>
              <w:top w:w="50" w:type="dxa"/>
              <w:left w:w="60" w:type="dxa"/>
              <w:bottom w:w="50" w:type="dxa"/>
              <w:right w:w="60" w:type="dxa"/>
            </w:tcMar>
            <w:vAlign w:val="center"/>
          </w:tcPr>
          <w:p w14:paraId="0E501D62">
            <w:pPr>
              <w:spacing w:before="0" w:after="0" w:line="240" w:lineRule="auto"/>
              <w:jc w:val="left"/>
            </w:pPr>
            <w:r>
              <w:rPr>
                <w:rFonts w:ascii="Arial" w:hAnsi="Arial" w:eastAsia="Times New Roman"/>
                <w:sz w:val="15"/>
              </w:rPr>
              <w:t>Radiomics LR</w:t>
            </w:r>
          </w:p>
        </w:tc>
        <w:tc>
          <w:tcPr>
            <w:tcW w:w="792" w:type="dxa"/>
            <w:tcBorders>
              <w:top w:val="nil"/>
              <w:left w:val="nil"/>
              <w:bottom w:val="nil"/>
              <w:right w:val="nil"/>
            </w:tcBorders>
            <w:shd w:val="clear" w:color="auto" w:fill="auto"/>
            <w:tcMar>
              <w:top w:w="50" w:type="dxa"/>
              <w:left w:w="60" w:type="dxa"/>
              <w:bottom w:w="50" w:type="dxa"/>
              <w:right w:w="60" w:type="dxa"/>
            </w:tcMar>
            <w:vAlign w:val="center"/>
          </w:tcPr>
          <w:p w14:paraId="1BB830CF">
            <w:pPr>
              <w:spacing w:before="0" w:after="0" w:line="240" w:lineRule="auto"/>
              <w:jc w:val="center"/>
            </w:pPr>
            <w:r>
              <w:rPr>
                <w:rFonts w:ascii="Arial" w:hAnsi="Arial" w:eastAsia="Times New Roman"/>
                <w:sz w:val="15"/>
              </w:rPr>
              <w:t>11</w:t>
            </w:r>
          </w:p>
        </w:tc>
        <w:tc>
          <w:tcPr>
            <w:tcW w:w="792" w:type="dxa"/>
            <w:tcBorders>
              <w:top w:val="nil"/>
              <w:left w:val="nil"/>
              <w:bottom w:val="nil"/>
              <w:right w:val="nil"/>
            </w:tcBorders>
            <w:shd w:val="clear" w:color="auto" w:fill="auto"/>
            <w:tcMar>
              <w:top w:w="50" w:type="dxa"/>
              <w:left w:w="60" w:type="dxa"/>
              <w:bottom w:w="50" w:type="dxa"/>
              <w:right w:w="60" w:type="dxa"/>
            </w:tcMar>
            <w:vAlign w:val="center"/>
          </w:tcPr>
          <w:p w14:paraId="3ED80DC0">
            <w:pPr>
              <w:spacing w:before="0" w:after="0" w:line="240" w:lineRule="auto"/>
              <w:jc w:val="center"/>
            </w:pPr>
            <w:r>
              <w:rPr>
                <w:rFonts w:ascii="Arial" w:hAnsi="Arial" w:eastAsia="Times New Roman"/>
                <w:sz w:val="15"/>
              </w:rPr>
              <w:t>5</w:t>
            </w:r>
          </w:p>
        </w:tc>
        <w:tc>
          <w:tcPr>
            <w:tcW w:w="792" w:type="dxa"/>
            <w:tcBorders>
              <w:top w:val="nil"/>
              <w:left w:val="nil"/>
              <w:bottom w:val="nil"/>
              <w:right w:val="nil"/>
            </w:tcBorders>
            <w:shd w:val="clear" w:color="auto" w:fill="auto"/>
            <w:tcMar>
              <w:top w:w="50" w:type="dxa"/>
              <w:left w:w="60" w:type="dxa"/>
              <w:bottom w:w="50" w:type="dxa"/>
              <w:right w:w="60" w:type="dxa"/>
            </w:tcMar>
            <w:vAlign w:val="center"/>
          </w:tcPr>
          <w:p w14:paraId="3DCB9D5C">
            <w:pPr>
              <w:spacing w:before="0" w:after="0" w:line="240" w:lineRule="auto"/>
              <w:jc w:val="center"/>
            </w:pPr>
            <w:r>
              <w:rPr>
                <w:rFonts w:ascii="Arial" w:hAnsi="Arial" w:eastAsia="Times New Roman"/>
                <w:sz w:val="15"/>
              </w:rPr>
              <w:t>11</w:t>
            </w:r>
          </w:p>
        </w:tc>
        <w:tc>
          <w:tcPr>
            <w:tcW w:w="792" w:type="dxa"/>
            <w:tcBorders>
              <w:top w:val="nil"/>
              <w:left w:val="nil"/>
              <w:bottom w:val="nil"/>
              <w:right w:val="nil"/>
            </w:tcBorders>
            <w:shd w:val="clear" w:color="auto" w:fill="auto"/>
            <w:tcMar>
              <w:top w:w="50" w:type="dxa"/>
              <w:left w:w="60" w:type="dxa"/>
              <w:bottom w:w="50" w:type="dxa"/>
              <w:right w:w="60" w:type="dxa"/>
            </w:tcMar>
            <w:vAlign w:val="center"/>
          </w:tcPr>
          <w:p w14:paraId="2456FA58">
            <w:pPr>
              <w:spacing w:before="0" w:after="0" w:line="240" w:lineRule="auto"/>
              <w:jc w:val="center"/>
            </w:pPr>
            <w:r>
              <w:rPr>
                <w:rFonts w:ascii="Arial" w:hAnsi="Arial" w:eastAsia="Times New Roman"/>
                <w:sz w:val="15"/>
              </w:rPr>
              <w:t>2</w:t>
            </w:r>
          </w:p>
        </w:tc>
        <w:tc>
          <w:tcPr>
            <w:tcW w:w="1440" w:type="dxa"/>
            <w:tcBorders>
              <w:top w:val="nil"/>
              <w:left w:val="nil"/>
              <w:bottom w:val="nil"/>
              <w:right w:val="nil"/>
            </w:tcBorders>
            <w:shd w:val="clear" w:color="auto" w:fill="auto"/>
            <w:tcMar>
              <w:top w:w="50" w:type="dxa"/>
              <w:left w:w="60" w:type="dxa"/>
              <w:bottom w:w="50" w:type="dxa"/>
              <w:right w:w="60" w:type="dxa"/>
            </w:tcMar>
            <w:vAlign w:val="center"/>
          </w:tcPr>
          <w:p w14:paraId="2EA53A8E">
            <w:pPr>
              <w:spacing w:before="0" w:after="0" w:line="240" w:lineRule="auto"/>
              <w:jc w:val="center"/>
            </w:pPr>
            <w:r>
              <w:rPr>
                <w:rFonts w:ascii="Arial" w:hAnsi="Arial" w:eastAsia="Times New Roman"/>
                <w:sz w:val="15"/>
              </w:rPr>
              <w:t>68.8</w:t>
            </w:r>
          </w:p>
        </w:tc>
        <w:tc>
          <w:tcPr>
            <w:tcW w:w="1440" w:type="dxa"/>
            <w:tcBorders>
              <w:top w:val="nil"/>
              <w:left w:val="nil"/>
              <w:bottom w:val="nil"/>
              <w:right w:val="nil"/>
            </w:tcBorders>
            <w:shd w:val="clear" w:color="auto" w:fill="auto"/>
            <w:tcMar>
              <w:top w:w="50" w:type="dxa"/>
              <w:left w:w="60" w:type="dxa"/>
              <w:bottom w:w="50" w:type="dxa"/>
              <w:right w:w="60" w:type="dxa"/>
            </w:tcMar>
            <w:vAlign w:val="center"/>
          </w:tcPr>
          <w:p w14:paraId="5743B65E">
            <w:pPr>
              <w:spacing w:before="0" w:after="0" w:line="240" w:lineRule="auto"/>
              <w:jc w:val="center"/>
            </w:pPr>
            <w:r>
              <w:rPr>
                <w:rFonts w:ascii="Arial" w:hAnsi="Arial" w:eastAsia="Times New Roman"/>
                <w:sz w:val="15"/>
              </w:rPr>
              <w:t>84.6</w:t>
            </w:r>
          </w:p>
        </w:tc>
        <w:tc>
          <w:tcPr>
            <w:tcW w:w="1512" w:type="dxa"/>
            <w:tcBorders>
              <w:top w:val="nil"/>
              <w:left w:val="nil"/>
              <w:bottom w:val="nil"/>
              <w:right w:val="nil"/>
            </w:tcBorders>
            <w:shd w:val="clear" w:color="auto" w:fill="auto"/>
            <w:tcMar>
              <w:top w:w="50" w:type="dxa"/>
              <w:left w:w="60" w:type="dxa"/>
              <w:bottom w:w="50" w:type="dxa"/>
              <w:right w:w="60" w:type="dxa"/>
            </w:tcMar>
            <w:vAlign w:val="center"/>
          </w:tcPr>
          <w:p w14:paraId="1321A691">
            <w:pPr>
              <w:spacing w:before="0" w:after="0" w:line="240" w:lineRule="auto"/>
              <w:jc w:val="center"/>
            </w:pPr>
            <w:r>
              <w:rPr>
                <w:rFonts w:ascii="Arial" w:hAnsi="Arial" w:eastAsia="Times New Roman"/>
                <w:sz w:val="15"/>
              </w:rPr>
              <w:t>75.9</w:t>
            </w:r>
          </w:p>
        </w:tc>
      </w:tr>
      <w:tr w14:paraId="60447AE2">
        <w:tblPrEx>
          <w:tblBorders>
            <w:top w:val="single" w:color="000000" w:sz="12"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655" w:type="dxa"/>
            <w:tcBorders>
              <w:top w:val="nil"/>
              <w:left w:val="nil"/>
              <w:right w:val="nil"/>
            </w:tcBorders>
            <w:shd w:val="clear" w:color="auto" w:fill="auto"/>
            <w:tcMar>
              <w:top w:w="50" w:type="dxa"/>
              <w:left w:w="60" w:type="dxa"/>
              <w:bottom w:w="50" w:type="dxa"/>
              <w:right w:w="60" w:type="dxa"/>
            </w:tcMar>
            <w:vAlign w:val="center"/>
          </w:tcPr>
          <w:p w14:paraId="50D3D73A">
            <w:pPr>
              <w:spacing w:before="0" w:after="0" w:line="240" w:lineRule="auto"/>
              <w:jc w:val="left"/>
            </w:pPr>
            <w:r>
              <w:rPr>
                <w:rFonts w:ascii="Arial" w:hAnsi="Arial" w:eastAsia="Times New Roman"/>
                <w:sz w:val="15"/>
              </w:rPr>
              <w:t>Combined</w:t>
            </w:r>
          </w:p>
        </w:tc>
        <w:tc>
          <w:tcPr>
            <w:tcW w:w="792" w:type="dxa"/>
            <w:tcBorders>
              <w:top w:val="nil"/>
              <w:left w:val="nil"/>
              <w:right w:val="nil"/>
            </w:tcBorders>
            <w:shd w:val="clear" w:color="auto" w:fill="auto"/>
            <w:tcMar>
              <w:top w:w="50" w:type="dxa"/>
              <w:left w:w="60" w:type="dxa"/>
              <w:bottom w:w="50" w:type="dxa"/>
              <w:right w:w="60" w:type="dxa"/>
            </w:tcMar>
            <w:vAlign w:val="center"/>
          </w:tcPr>
          <w:p w14:paraId="26804E2E">
            <w:pPr>
              <w:spacing w:before="0" w:after="0" w:line="240" w:lineRule="auto"/>
              <w:jc w:val="center"/>
            </w:pPr>
            <w:r>
              <w:rPr>
                <w:rFonts w:ascii="Arial" w:hAnsi="Arial" w:eastAsia="Times New Roman"/>
                <w:sz w:val="15"/>
              </w:rPr>
              <w:t>14</w:t>
            </w:r>
          </w:p>
        </w:tc>
        <w:tc>
          <w:tcPr>
            <w:tcW w:w="792" w:type="dxa"/>
            <w:tcBorders>
              <w:top w:val="nil"/>
              <w:left w:val="nil"/>
              <w:right w:val="nil"/>
            </w:tcBorders>
            <w:shd w:val="clear" w:color="auto" w:fill="auto"/>
            <w:tcMar>
              <w:top w:w="50" w:type="dxa"/>
              <w:left w:w="60" w:type="dxa"/>
              <w:bottom w:w="50" w:type="dxa"/>
              <w:right w:w="60" w:type="dxa"/>
            </w:tcMar>
            <w:vAlign w:val="center"/>
          </w:tcPr>
          <w:p w14:paraId="5F45EADB">
            <w:pPr>
              <w:spacing w:before="0" w:after="0" w:line="240" w:lineRule="auto"/>
              <w:jc w:val="center"/>
            </w:pPr>
            <w:r>
              <w:rPr>
                <w:rFonts w:ascii="Arial" w:hAnsi="Arial" w:eastAsia="Times New Roman"/>
                <w:sz w:val="15"/>
              </w:rPr>
              <w:t>2</w:t>
            </w:r>
          </w:p>
        </w:tc>
        <w:tc>
          <w:tcPr>
            <w:tcW w:w="792" w:type="dxa"/>
            <w:tcBorders>
              <w:top w:val="nil"/>
              <w:left w:val="nil"/>
              <w:right w:val="nil"/>
            </w:tcBorders>
            <w:shd w:val="clear" w:color="auto" w:fill="auto"/>
            <w:tcMar>
              <w:top w:w="50" w:type="dxa"/>
              <w:left w:w="60" w:type="dxa"/>
              <w:bottom w:w="50" w:type="dxa"/>
              <w:right w:w="60" w:type="dxa"/>
            </w:tcMar>
            <w:vAlign w:val="center"/>
          </w:tcPr>
          <w:p w14:paraId="490B47E5">
            <w:pPr>
              <w:spacing w:before="0" w:after="0" w:line="240" w:lineRule="auto"/>
              <w:jc w:val="center"/>
            </w:pPr>
            <w:r>
              <w:rPr>
                <w:rFonts w:ascii="Arial" w:hAnsi="Arial" w:eastAsia="Times New Roman"/>
                <w:sz w:val="15"/>
              </w:rPr>
              <w:t>9</w:t>
            </w:r>
          </w:p>
        </w:tc>
        <w:tc>
          <w:tcPr>
            <w:tcW w:w="792" w:type="dxa"/>
            <w:tcBorders>
              <w:top w:val="nil"/>
              <w:left w:val="nil"/>
              <w:right w:val="nil"/>
            </w:tcBorders>
            <w:shd w:val="clear" w:color="auto" w:fill="auto"/>
            <w:tcMar>
              <w:top w:w="50" w:type="dxa"/>
              <w:left w:w="60" w:type="dxa"/>
              <w:bottom w:w="50" w:type="dxa"/>
              <w:right w:w="60" w:type="dxa"/>
            </w:tcMar>
            <w:vAlign w:val="center"/>
          </w:tcPr>
          <w:p w14:paraId="3D8DED48">
            <w:pPr>
              <w:spacing w:before="0" w:after="0" w:line="240" w:lineRule="auto"/>
              <w:jc w:val="center"/>
            </w:pPr>
            <w:r>
              <w:rPr>
                <w:rFonts w:ascii="Arial" w:hAnsi="Arial" w:eastAsia="Times New Roman"/>
                <w:sz w:val="15"/>
              </w:rPr>
              <w:t>4</w:t>
            </w:r>
          </w:p>
        </w:tc>
        <w:tc>
          <w:tcPr>
            <w:tcW w:w="1440" w:type="dxa"/>
            <w:tcBorders>
              <w:top w:val="nil"/>
              <w:left w:val="nil"/>
              <w:right w:val="nil"/>
            </w:tcBorders>
            <w:shd w:val="clear" w:color="auto" w:fill="auto"/>
            <w:tcMar>
              <w:top w:w="50" w:type="dxa"/>
              <w:left w:w="60" w:type="dxa"/>
              <w:bottom w:w="50" w:type="dxa"/>
              <w:right w:w="60" w:type="dxa"/>
            </w:tcMar>
            <w:vAlign w:val="center"/>
          </w:tcPr>
          <w:p w14:paraId="21E69D05">
            <w:pPr>
              <w:spacing w:before="0" w:after="0" w:line="240" w:lineRule="auto"/>
              <w:jc w:val="center"/>
            </w:pPr>
            <w:r>
              <w:rPr>
                <w:rFonts w:ascii="Arial" w:hAnsi="Arial" w:eastAsia="Times New Roman"/>
                <w:sz w:val="15"/>
              </w:rPr>
              <w:t>87.5</w:t>
            </w:r>
          </w:p>
        </w:tc>
        <w:tc>
          <w:tcPr>
            <w:tcW w:w="1440" w:type="dxa"/>
            <w:tcBorders>
              <w:top w:val="nil"/>
              <w:left w:val="nil"/>
              <w:right w:val="nil"/>
            </w:tcBorders>
            <w:shd w:val="clear" w:color="auto" w:fill="auto"/>
            <w:tcMar>
              <w:top w:w="50" w:type="dxa"/>
              <w:left w:w="60" w:type="dxa"/>
              <w:bottom w:w="50" w:type="dxa"/>
              <w:right w:w="60" w:type="dxa"/>
            </w:tcMar>
            <w:vAlign w:val="center"/>
          </w:tcPr>
          <w:p w14:paraId="62A27F96">
            <w:pPr>
              <w:spacing w:before="0" w:after="0" w:line="240" w:lineRule="auto"/>
              <w:jc w:val="center"/>
            </w:pPr>
            <w:r>
              <w:rPr>
                <w:rFonts w:ascii="Arial" w:hAnsi="Arial" w:eastAsia="Times New Roman"/>
                <w:sz w:val="15"/>
              </w:rPr>
              <w:t>69.2</w:t>
            </w:r>
          </w:p>
        </w:tc>
        <w:tc>
          <w:tcPr>
            <w:tcW w:w="1512" w:type="dxa"/>
            <w:tcBorders>
              <w:top w:val="nil"/>
              <w:left w:val="nil"/>
              <w:right w:val="nil"/>
            </w:tcBorders>
            <w:shd w:val="clear" w:color="auto" w:fill="auto"/>
            <w:tcMar>
              <w:top w:w="50" w:type="dxa"/>
              <w:left w:w="60" w:type="dxa"/>
              <w:bottom w:w="50" w:type="dxa"/>
              <w:right w:w="60" w:type="dxa"/>
            </w:tcMar>
            <w:vAlign w:val="center"/>
          </w:tcPr>
          <w:p w14:paraId="5F4BA8B0">
            <w:pPr>
              <w:spacing w:before="0" w:after="0" w:line="240" w:lineRule="auto"/>
              <w:jc w:val="center"/>
            </w:pPr>
            <w:r>
              <w:rPr>
                <w:rFonts w:ascii="Arial" w:hAnsi="Arial" w:eastAsia="Times New Roman"/>
                <w:sz w:val="15"/>
              </w:rPr>
              <w:t>79.3</w:t>
            </w:r>
          </w:p>
        </w:tc>
      </w:tr>
    </w:tbl>
    <w:p w14:paraId="3C865B7A">
      <w:pPr>
        <w:pStyle w:val="166"/>
        <w:spacing w:after="80"/>
      </w:pPr>
      <w:r>
        <w:t>The evaluation cohort contained 16 IACs and 13 eNCPHs. Percentages are calculated directly from the displayed integer counts; no recalibration or cutoff modification was performed after evaluation.</w:t>
      </w:r>
    </w:p>
    <w:p w14:paraId="19DABA69">
      <w:pPr>
        <w:pStyle w:val="168"/>
        <w:keepNext/>
        <w:keepLines/>
        <w:spacing w:before="160" w:after="60"/>
      </w:pPr>
      <w:r>
        <w:t>Table S11. Post hoc acquisition sensitivity analysis using frozen evaluation predictions</w:t>
      </w:r>
    </w:p>
    <w:tbl>
      <w:tblPr>
        <w:tblStyle w:val="33"/>
        <w:tblW w:w="0" w:type="auto"/>
        <w:jc w:val="center"/>
        <w:tblBorders>
          <w:top w:val="single" w:color="000000" w:sz="12"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951"/>
        <w:gridCol w:w="1296"/>
        <w:gridCol w:w="1728"/>
        <w:gridCol w:w="2736"/>
      </w:tblGrid>
      <w:tr w14:paraId="41E1D4AF">
        <w:tblPrEx>
          <w:tblBorders>
            <w:top w:val="single" w:color="000000" w:sz="12"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cantSplit/>
          <w:tblHeader w:val="true"/>
          <w:jc w:val="center"/>
        </w:trPr>
        <w:tc>
          <w:tcPr>
            <w:tcW w:w="3888" w:type="dxa"/>
            <w:tcBorders>
              <w:top w:val="single" w:color="000000" w:sz="12" w:space="0"/>
              <w:left w:val="nil"/>
              <w:bottom w:val="single" w:color="000000" w:sz="6" w:space="0"/>
              <w:right w:val="nil"/>
            </w:tcBorders>
            <w:shd w:val="clear" w:color="auto" w:fill="D9EAF3"/>
            <w:tcMar>
              <w:top w:w="50" w:type="dxa"/>
              <w:left w:w="60" w:type="dxa"/>
              <w:bottom w:w="50" w:type="dxa"/>
              <w:right w:w="60" w:type="dxa"/>
            </w:tcMar>
            <w:vAlign w:val="center"/>
          </w:tcPr>
          <w:p w14:paraId="73EFC162">
            <w:pPr>
              <w:spacing w:before="0" w:after="0" w:line="240" w:lineRule="auto"/>
              <w:jc w:val="center"/>
            </w:pPr>
            <w:r>
              <w:rPr>
                <w:rFonts w:ascii="Arial" w:hAnsi="Arial" w:eastAsia="Times New Roman"/>
                <w:b/>
                <w:sz w:val="15"/>
              </w:rPr>
              <w:t>Analysis set</w:t>
            </w:r>
          </w:p>
        </w:tc>
        <w:tc>
          <w:tcPr>
            <w:tcW w:w="1152" w:type="dxa"/>
            <w:tcBorders>
              <w:top w:val="single" w:color="000000" w:sz="12" w:space="0"/>
              <w:left w:val="nil"/>
              <w:bottom w:val="single" w:color="000000" w:sz="6" w:space="0"/>
              <w:right w:val="nil"/>
            </w:tcBorders>
            <w:shd w:val="clear" w:color="auto" w:fill="D9EAF3"/>
            <w:tcMar>
              <w:top w:w="50" w:type="dxa"/>
              <w:left w:w="60" w:type="dxa"/>
              <w:bottom w:w="50" w:type="dxa"/>
              <w:right w:w="60" w:type="dxa"/>
            </w:tcMar>
            <w:vAlign w:val="center"/>
          </w:tcPr>
          <w:p w14:paraId="5FC5A7CC">
            <w:pPr>
              <w:spacing w:before="0" w:after="0" w:line="240" w:lineRule="auto"/>
              <w:jc w:val="center"/>
            </w:pPr>
            <w:r>
              <w:rPr>
                <w:rFonts w:ascii="Arial" w:hAnsi="Arial" w:eastAsia="Times New Roman"/>
                <w:b/>
                <w:sz w:val="15"/>
              </w:rPr>
              <w:t>n (e/I)</w:t>
            </w:r>
          </w:p>
        </w:tc>
        <w:tc>
          <w:tcPr>
            <w:tcW w:w="1872" w:type="dxa"/>
            <w:tcBorders>
              <w:top w:val="single" w:color="000000" w:sz="12" w:space="0"/>
              <w:left w:val="nil"/>
              <w:bottom w:val="single" w:color="000000" w:sz="6" w:space="0"/>
              <w:right w:val="nil"/>
            </w:tcBorders>
            <w:shd w:val="clear" w:color="auto" w:fill="D9EAF3"/>
            <w:tcMar>
              <w:top w:w="50" w:type="dxa"/>
              <w:left w:w="60" w:type="dxa"/>
              <w:bottom w:w="50" w:type="dxa"/>
              <w:right w:w="60" w:type="dxa"/>
            </w:tcMar>
            <w:vAlign w:val="center"/>
          </w:tcPr>
          <w:p w14:paraId="245E3806">
            <w:pPr>
              <w:spacing w:before="0" w:after="0" w:line="240" w:lineRule="auto"/>
              <w:jc w:val="center"/>
            </w:pPr>
            <w:r>
              <w:rPr>
                <w:rFonts w:ascii="Arial" w:hAnsi="Arial" w:eastAsia="Times New Roman"/>
                <w:b/>
                <w:sz w:val="15"/>
              </w:rPr>
              <w:t>Model</w:t>
            </w:r>
          </w:p>
        </w:tc>
        <w:tc>
          <w:tcPr>
            <w:tcW w:w="2304" w:type="dxa"/>
            <w:tcBorders>
              <w:top w:val="single" w:color="000000" w:sz="12" w:space="0"/>
              <w:left w:val="nil"/>
              <w:bottom w:val="single" w:color="000000" w:sz="6" w:space="0"/>
              <w:right w:val="nil"/>
            </w:tcBorders>
            <w:shd w:val="clear" w:color="auto" w:fill="D9EAF3"/>
            <w:tcMar>
              <w:top w:w="50" w:type="dxa"/>
              <w:left w:w="60" w:type="dxa"/>
              <w:bottom w:w="50" w:type="dxa"/>
              <w:right w:w="60" w:type="dxa"/>
            </w:tcMar>
            <w:vAlign w:val="center"/>
          </w:tcPr>
          <w:p w14:paraId="21AE3C77">
            <w:pPr>
              <w:spacing w:before="0" w:after="0" w:line="240" w:lineRule="auto"/>
              <w:jc w:val="center"/>
            </w:pPr>
            <w:r>
              <w:rPr>
                <w:rFonts w:ascii="Arial" w:hAnsi="Arial" w:eastAsia="Times New Roman"/>
                <w:b/>
                <w:sz w:val="15"/>
              </w:rPr>
              <w:t>AUC (95% CI)</w:t>
            </w:r>
          </w:p>
        </w:tc>
      </w:tr>
      <w:tr w14:paraId="30D5FD67">
        <w:tblPrEx>
          <w:tblBorders>
            <w:top w:val="single" w:color="000000" w:sz="12"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3888" w:type="dxa"/>
            <w:tcBorders>
              <w:top w:val="nil"/>
              <w:left w:val="nil"/>
              <w:bottom w:val="nil"/>
              <w:right w:val="nil"/>
            </w:tcBorders>
            <w:tcMar>
              <w:top w:w="50" w:type="dxa"/>
              <w:left w:w="60" w:type="dxa"/>
              <w:bottom w:w="50" w:type="dxa"/>
              <w:right w:w="60" w:type="dxa"/>
            </w:tcMar>
            <w:vAlign w:val="center"/>
          </w:tcPr>
          <w:p w14:paraId="2871F951">
            <w:pPr>
              <w:spacing w:before="0" w:after="0" w:line="240" w:lineRule="auto"/>
              <w:jc w:val="left"/>
            </w:pPr>
            <w:r>
              <w:rPr>
                <w:rFonts w:ascii="Times New Roman" w:hAnsi="Times New Roman" w:eastAsia="Times New Roman"/>
                <w:b w:val="0"/>
                <w:sz w:val="15"/>
              </w:rPr>
              <w:t>Full evaluation</w:t>
            </w:r>
          </w:p>
        </w:tc>
        <w:tc>
          <w:tcPr>
            <w:tcW w:w="1152" w:type="dxa"/>
            <w:tcBorders>
              <w:top w:val="nil"/>
              <w:left w:val="nil"/>
              <w:bottom w:val="nil"/>
              <w:right w:val="nil"/>
            </w:tcBorders>
            <w:tcMar>
              <w:top w:w="50" w:type="dxa"/>
              <w:left w:w="60" w:type="dxa"/>
              <w:bottom w:w="50" w:type="dxa"/>
              <w:right w:w="60" w:type="dxa"/>
            </w:tcMar>
            <w:vAlign w:val="center"/>
          </w:tcPr>
          <w:p w14:paraId="18876474">
            <w:pPr>
              <w:spacing w:before="0" w:after="0" w:line="240" w:lineRule="auto"/>
              <w:jc w:val="center"/>
            </w:pPr>
            <w:r>
              <w:rPr>
                <w:rFonts w:ascii="Arial" w:hAnsi="Arial" w:eastAsia="Times New Roman"/>
                <w:sz w:val="15"/>
              </w:rPr>
              <w:t>29 (13/16)</w:t>
            </w:r>
          </w:p>
        </w:tc>
        <w:tc>
          <w:tcPr>
            <w:tcW w:w="1872" w:type="dxa"/>
            <w:tcBorders>
              <w:top w:val="nil"/>
              <w:left w:val="nil"/>
              <w:bottom w:val="nil"/>
              <w:right w:val="nil"/>
            </w:tcBorders>
            <w:tcMar>
              <w:top w:w="50" w:type="dxa"/>
              <w:left w:w="60" w:type="dxa"/>
              <w:bottom w:w="50" w:type="dxa"/>
              <w:right w:w="60" w:type="dxa"/>
            </w:tcMar>
            <w:vAlign w:val="center"/>
          </w:tcPr>
          <w:p w14:paraId="7835EC8B">
            <w:pPr>
              <w:spacing w:before="0" w:after="0" w:line="240" w:lineRule="auto"/>
              <w:jc w:val="center"/>
            </w:pPr>
            <w:r>
              <w:rPr>
                <w:rFonts w:ascii="Arial" w:hAnsi="Arial" w:eastAsia="Times New Roman"/>
                <w:sz w:val="15"/>
              </w:rPr>
              <w:t>Morphologic</w:t>
            </w:r>
          </w:p>
        </w:tc>
        <w:tc>
          <w:tcPr>
            <w:tcW w:w="2304" w:type="dxa"/>
            <w:tcBorders>
              <w:top w:val="nil"/>
              <w:left w:val="nil"/>
              <w:bottom w:val="nil"/>
              <w:right w:val="nil"/>
            </w:tcBorders>
            <w:tcMar>
              <w:top w:w="50" w:type="dxa"/>
              <w:left w:w="60" w:type="dxa"/>
              <w:bottom w:w="50" w:type="dxa"/>
              <w:right w:w="60" w:type="dxa"/>
            </w:tcMar>
            <w:vAlign w:val="center"/>
          </w:tcPr>
          <w:p w14:paraId="43EAC116">
            <w:pPr>
              <w:spacing w:before="0" w:after="0" w:line="240" w:lineRule="auto"/>
              <w:jc w:val="center"/>
            </w:pPr>
            <w:r>
              <w:rPr>
                <w:rFonts w:ascii="Arial" w:hAnsi="Arial" w:eastAsia="Times New Roman"/>
                <w:sz w:val="15"/>
              </w:rPr>
              <w:t>0.697 (0.526–0.868)</w:t>
            </w:r>
          </w:p>
        </w:tc>
      </w:tr>
      <w:tr w14:paraId="75FD8B30">
        <w:tblPrEx>
          <w:tblBorders>
            <w:top w:val="single" w:color="000000" w:sz="12"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3888" w:type="dxa"/>
            <w:tcBorders>
              <w:top w:val="nil"/>
              <w:left w:val="nil"/>
              <w:bottom w:val="nil"/>
              <w:right w:val="nil"/>
            </w:tcBorders>
            <w:tcMar>
              <w:top w:w="50" w:type="dxa"/>
              <w:left w:w="60" w:type="dxa"/>
              <w:bottom w:w="50" w:type="dxa"/>
              <w:right w:w="60" w:type="dxa"/>
            </w:tcMar>
            <w:vAlign w:val="center"/>
          </w:tcPr>
          <w:p w14:paraId="4C33823E">
            <w:pPr>
              <w:spacing w:before="0" w:after="0" w:line="240" w:lineRule="auto"/>
              <w:jc w:val="left"/>
            </w:pPr>
            <w:r>
              <w:rPr>
                <w:rFonts w:ascii="Times New Roman" w:hAnsi="Times New Roman" w:eastAsia="Times New Roman"/>
                <w:b w:val="0"/>
                <w:sz w:val="15"/>
              </w:rPr>
              <w:t>Full evaluation</w:t>
            </w:r>
          </w:p>
        </w:tc>
        <w:tc>
          <w:tcPr>
            <w:tcW w:w="1152" w:type="dxa"/>
            <w:tcBorders>
              <w:top w:val="nil"/>
              <w:left w:val="nil"/>
              <w:bottom w:val="nil"/>
              <w:right w:val="nil"/>
            </w:tcBorders>
            <w:tcMar>
              <w:top w:w="50" w:type="dxa"/>
              <w:left w:w="60" w:type="dxa"/>
              <w:bottom w:w="50" w:type="dxa"/>
              <w:right w:w="60" w:type="dxa"/>
            </w:tcMar>
            <w:vAlign w:val="center"/>
          </w:tcPr>
          <w:p w14:paraId="7E091E76">
            <w:pPr>
              <w:spacing w:before="0" w:after="0" w:line="240" w:lineRule="auto"/>
              <w:jc w:val="center"/>
            </w:pPr>
            <w:r>
              <w:rPr>
                <w:rFonts w:ascii="Arial" w:hAnsi="Arial" w:eastAsia="Times New Roman"/>
                <w:sz w:val="15"/>
              </w:rPr>
              <w:t>29 (13/16)</w:t>
            </w:r>
          </w:p>
        </w:tc>
        <w:tc>
          <w:tcPr>
            <w:tcW w:w="1872" w:type="dxa"/>
            <w:tcBorders>
              <w:top w:val="nil"/>
              <w:left w:val="nil"/>
              <w:bottom w:val="nil"/>
              <w:right w:val="nil"/>
            </w:tcBorders>
            <w:tcMar>
              <w:top w:w="50" w:type="dxa"/>
              <w:left w:w="60" w:type="dxa"/>
              <w:bottom w:w="50" w:type="dxa"/>
              <w:right w:w="60" w:type="dxa"/>
            </w:tcMar>
            <w:vAlign w:val="center"/>
          </w:tcPr>
          <w:p w14:paraId="4E7BE020">
            <w:pPr>
              <w:spacing w:before="0" w:after="0" w:line="240" w:lineRule="auto"/>
              <w:jc w:val="center"/>
            </w:pPr>
            <w:r>
              <w:rPr>
                <w:rFonts w:ascii="Arial" w:hAnsi="Arial" w:eastAsia="Times New Roman"/>
                <w:sz w:val="15"/>
              </w:rPr>
              <w:t>Radiomics LR</w:t>
            </w:r>
          </w:p>
        </w:tc>
        <w:tc>
          <w:tcPr>
            <w:tcW w:w="2304" w:type="dxa"/>
            <w:tcBorders>
              <w:top w:val="nil"/>
              <w:left w:val="nil"/>
              <w:bottom w:val="nil"/>
              <w:right w:val="nil"/>
            </w:tcBorders>
            <w:tcMar>
              <w:top w:w="50" w:type="dxa"/>
              <w:left w:w="60" w:type="dxa"/>
              <w:bottom w:w="50" w:type="dxa"/>
              <w:right w:w="60" w:type="dxa"/>
            </w:tcMar>
            <w:vAlign w:val="center"/>
          </w:tcPr>
          <w:p w14:paraId="0E620D49">
            <w:pPr>
              <w:spacing w:before="0" w:after="0" w:line="240" w:lineRule="auto"/>
              <w:jc w:val="center"/>
            </w:pPr>
            <w:r>
              <w:rPr>
                <w:rFonts w:ascii="Arial" w:hAnsi="Arial" w:eastAsia="Times New Roman"/>
                <w:sz w:val="15"/>
              </w:rPr>
              <w:t>0.769 (0.583–0.955)</w:t>
            </w:r>
          </w:p>
        </w:tc>
      </w:tr>
      <w:tr w14:paraId="2BEE9382">
        <w:tblPrEx>
          <w:tblBorders>
            <w:top w:val="single" w:color="000000" w:sz="12"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3888" w:type="dxa"/>
            <w:tcBorders>
              <w:top w:val="nil"/>
              <w:left w:val="nil"/>
              <w:bottom w:val="nil"/>
              <w:right w:val="nil"/>
            </w:tcBorders>
            <w:tcMar>
              <w:top w:w="50" w:type="dxa"/>
              <w:left w:w="60" w:type="dxa"/>
              <w:bottom w:w="50" w:type="dxa"/>
              <w:right w:w="60" w:type="dxa"/>
            </w:tcMar>
            <w:vAlign w:val="center"/>
          </w:tcPr>
          <w:p w14:paraId="38B92C8C">
            <w:pPr>
              <w:spacing w:before="0" w:after="0" w:line="240" w:lineRule="auto"/>
              <w:jc w:val="left"/>
            </w:pPr>
            <w:r>
              <w:rPr>
                <w:rFonts w:ascii="Times New Roman" w:hAnsi="Times New Roman" w:eastAsia="Times New Roman"/>
                <w:b w:val="0"/>
                <w:sz w:val="15"/>
              </w:rPr>
              <w:t>Full evaluation</w:t>
            </w:r>
          </w:p>
        </w:tc>
        <w:tc>
          <w:tcPr>
            <w:tcW w:w="1152" w:type="dxa"/>
            <w:tcBorders>
              <w:top w:val="nil"/>
              <w:left w:val="nil"/>
              <w:bottom w:val="nil"/>
              <w:right w:val="nil"/>
            </w:tcBorders>
            <w:tcMar>
              <w:top w:w="50" w:type="dxa"/>
              <w:left w:w="60" w:type="dxa"/>
              <w:bottom w:w="50" w:type="dxa"/>
              <w:right w:w="60" w:type="dxa"/>
            </w:tcMar>
            <w:vAlign w:val="center"/>
          </w:tcPr>
          <w:p w14:paraId="031D836D">
            <w:pPr>
              <w:spacing w:before="0" w:after="0" w:line="240" w:lineRule="auto"/>
              <w:jc w:val="center"/>
            </w:pPr>
            <w:r>
              <w:rPr>
                <w:rFonts w:ascii="Arial" w:hAnsi="Arial" w:eastAsia="Times New Roman"/>
                <w:sz w:val="15"/>
              </w:rPr>
              <w:t>29 (13/16)</w:t>
            </w:r>
          </w:p>
        </w:tc>
        <w:tc>
          <w:tcPr>
            <w:tcW w:w="1872" w:type="dxa"/>
            <w:tcBorders>
              <w:top w:val="nil"/>
              <w:left w:val="nil"/>
              <w:bottom w:val="nil"/>
              <w:right w:val="nil"/>
            </w:tcBorders>
            <w:tcMar>
              <w:top w:w="50" w:type="dxa"/>
              <w:left w:w="60" w:type="dxa"/>
              <w:bottom w:w="50" w:type="dxa"/>
              <w:right w:w="60" w:type="dxa"/>
            </w:tcMar>
            <w:vAlign w:val="center"/>
          </w:tcPr>
          <w:p w14:paraId="0B704AF4">
            <w:pPr>
              <w:spacing w:before="0" w:after="0" w:line="240" w:lineRule="auto"/>
              <w:jc w:val="center"/>
            </w:pPr>
            <w:r>
              <w:rPr>
                <w:rFonts w:ascii="Arial" w:hAnsi="Arial" w:eastAsia="Times New Roman"/>
                <w:sz w:val="15"/>
              </w:rPr>
              <w:t>Combined</w:t>
            </w:r>
          </w:p>
        </w:tc>
        <w:tc>
          <w:tcPr>
            <w:tcW w:w="2304" w:type="dxa"/>
            <w:tcBorders>
              <w:top w:val="nil"/>
              <w:left w:val="nil"/>
              <w:bottom w:val="nil"/>
              <w:right w:val="nil"/>
            </w:tcBorders>
            <w:tcMar>
              <w:top w:w="50" w:type="dxa"/>
              <w:left w:w="60" w:type="dxa"/>
              <w:bottom w:w="50" w:type="dxa"/>
              <w:right w:w="60" w:type="dxa"/>
            </w:tcMar>
            <w:vAlign w:val="center"/>
          </w:tcPr>
          <w:p w14:paraId="0BB0159E">
            <w:pPr>
              <w:spacing w:before="0" w:after="0" w:line="240" w:lineRule="auto"/>
              <w:jc w:val="center"/>
            </w:pPr>
            <w:r>
              <w:rPr>
                <w:rFonts w:ascii="Arial" w:hAnsi="Arial" w:eastAsia="Times New Roman"/>
                <w:sz w:val="15"/>
              </w:rPr>
              <w:t>0.827 (0.665–0.989)</w:t>
            </w:r>
          </w:p>
        </w:tc>
      </w:tr>
      <w:tr w14:paraId="35C3AF30">
        <w:tblPrEx>
          <w:tblBorders>
            <w:top w:val="single" w:color="000000" w:sz="12"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3888" w:type="dxa"/>
            <w:tcBorders>
              <w:top w:val="nil"/>
              <w:left w:val="nil"/>
              <w:bottom w:val="nil"/>
              <w:right w:val="nil"/>
            </w:tcBorders>
            <w:tcMar>
              <w:top w:w="50" w:type="dxa"/>
              <w:left w:w="60" w:type="dxa"/>
              <w:bottom w:w="50" w:type="dxa"/>
              <w:right w:w="60" w:type="dxa"/>
            </w:tcMar>
            <w:vAlign w:val="center"/>
          </w:tcPr>
          <w:p w14:paraId="50277328">
            <w:pPr>
              <w:spacing w:before="0" w:after="0" w:line="240" w:lineRule="auto"/>
              <w:jc w:val="left"/>
            </w:pPr>
            <w:r>
              <w:rPr>
                <w:rFonts w:ascii="Arial" w:hAnsi="Arial" w:eastAsia="Times New Roman"/>
                <w:sz w:val="15"/>
              </w:rPr>
              <w:t>Excl. Revolution CT/1.25 mm</w:t>
            </w:r>
          </w:p>
        </w:tc>
        <w:tc>
          <w:tcPr>
            <w:tcW w:w="1152" w:type="dxa"/>
            <w:tcBorders>
              <w:top w:val="nil"/>
              <w:left w:val="nil"/>
              <w:bottom w:val="nil"/>
              <w:right w:val="nil"/>
            </w:tcBorders>
            <w:tcMar>
              <w:top w:w="50" w:type="dxa"/>
              <w:left w:w="60" w:type="dxa"/>
              <w:bottom w:w="50" w:type="dxa"/>
              <w:right w:w="60" w:type="dxa"/>
            </w:tcMar>
            <w:vAlign w:val="center"/>
          </w:tcPr>
          <w:p w14:paraId="65D08A26">
            <w:pPr>
              <w:spacing w:before="0" w:after="0" w:line="240" w:lineRule="auto"/>
              <w:jc w:val="center"/>
            </w:pPr>
            <w:r>
              <w:rPr>
                <w:rFonts w:ascii="Arial" w:hAnsi="Arial" w:eastAsia="Times New Roman"/>
                <w:sz w:val="15"/>
              </w:rPr>
              <w:t>18 (9/9)</w:t>
            </w:r>
          </w:p>
        </w:tc>
        <w:tc>
          <w:tcPr>
            <w:tcW w:w="1872" w:type="dxa"/>
            <w:tcBorders>
              <w:top w:val="nil"/>
              <w:left w:val="nil"/>
              <w:bottom w:val="nil"/>
              <w:right w:val="nil"/>
            </w:tcBorders>
            <w:tcMar>
              <w:top w:w="50" w:type="dxa"/>
              <w:left w:w="60" w:type="dxa"/>
              <w:bottom w:w="50" w:type="dxa"/>
              <w:right w:w="60" w:type="dxa"/>
            </w:tcMar>
            <w:vAlign w:val="center"/>
          </w:tcPr>
          <w:p w14:paraId="4627DEE7">
            <w:pPr>
              <w:spacing w:before="0" w:after="0" w:line="240" w:lineRule="auto"/>
              <w:jc w:val="center"/>
            </w:pPr>
            <w:r>
              <w:rPr>
                <w:rFonts w:ascii="Arial" w:hAnsi="Arial" w:eastAsia="Times New Roman"/>
                <w:sz w:val="15"/>
              </w:rPr>
              <w:t>Morphologic</w:t>
            </w:r>
          </w:p>
        </w:tc>
        <w:tc>
          <w:tcPr>
            <w:tcW w:w="2304" w:type="dxa"/>
            <w:tcBorders>
              <w:top w:val="nil"/>
              <w:left w:val="nil"/>
              <w:bottom w:val="nil"/>
              <w:right w:val="nil"/>
            </w:tcBorders>
            <w:tcMar>
              <w:top w:w="50" w:type="dxa"/>
              <w:left w:w="60" w:type="dxa"/>
              <w:bottom w:w="50" w:type="dxa"/>
              <w:right w:w="60" w:type="dxa"/>
            </w:tcMar>
            <w:vAlign w:val="center"/>
          </w:tcPr>
          <w:p w14:paraId="41861235">
            <w:pPr>
              <w:spacing w:before="0" w:after="0" w:line="240" w:lineRule="auto"/>
              <w:jc w:val="center"/>
            </w:pPr>
            <w:r>
              <w:rPr>
                <w:rFonts w:ascii="Arial" w:hAnsi="Arial" w:eastAsia="Times New Roman"/>
                <w:sz w:val="15"/>
              </w:rPr>
              <w:t>0.778 (0.574–0.981)</w:t>
            </w:r>
          </w:p>
        </w:tc>
      </w:tr>
      <w:tr w14:paraId="77A826A2">
        <w:tblPrEx>
          <w:tblBorders>
            <w:top w:val="single" w:color="000000" w:sz="12"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3888" w:type="dxa"/>
            <w:tcBorders>
              <w:top w:val="nil"/>
              <w:left w:val="nil"/>
              <w:bottom w:val="nil"/>
              <w:right w:val="nil"/>
            </w:tcBorders>
            <w:tcMar>
              <w:top w:w="50" w:type="dxa"/>
              <w:left w:w="60" w:type="dxa"/>
              <w:bottom w:w="50" w:type="dxa"/>
              <w:right w:w="60" w:type="dxa"/>
            </w:tcMar>
            <w:vAlign w:val="center"/>
          </w:tcPr>
          <w:p w14:paraId="60EA959D">
            <w:pPr>
              <w:spacing w:before="0" w:after="0" w:line="240" w:lineRule="auto"/>
              <w:jc w:val="left"/>
            </w:pPr>
            <w:r>
              <w:rPr>
                <w:rFonts w:ascii="Arial" w:hAnsi="Arial" w:eastAsia="Times New Roman"/>
                <w:sz w:val="15"/>
              </w:rPr>
              <w:t>Excl. Revolution CT/1.25 mm</w:t>
            </w:r>
          </w:p>
        </w:tc>
        <w:tc>
          <w:tcPr>
            <w:tcW w:w="1152" w:type="dxa"/>
            <w:tcBorders>
              <w:top w:val="nil"/>
              <w:left w:val="nil"/>
              <w:bottom w:val="nil"/>
              <w:right w:val="nil"/>
            </w:tcBorders>
            <w:tcMar>
              <w:top w:w="50" w:type="dxa"/>
              <w:left w:w="60" w:type="dxa"/>
              <w:bottom w:w="50" w:type="dxa"/>
              <w:right w:w="60" w:type="dxa"/>
            </w:tcMar>
            <w:vAlign w:val="center"/>
          </w:tcPr>
          <w:p w14:paraId="06DAF783">
            <w:pPr>
              <w:spacing w:before="0" w:after="0" w:line="240" w:lineRule="auto"/>
              <w:jc w:val="center"/>
            </w:pPr>
            <w:r>
              <w:rPr>
                <w:rFonts w:ascii="Arial" w:hAnsi="Arial" w:eastAsia="Times New Roman"/>
                <w:sz w:val="15"/>
              </w:rPr>
              <w:t>18 (9/9)</w:t>
            </w:r>
          </w:p>
        </w:tc>
        <w:tc>
          <w:tcPr>
            <w:tcW w:w="1872" w:type="dxa"/>
            <w:tcBorders>
              <w:top w:val="nil"/>
              <w:left w:val="nil"/>
              <w:bottom w:val="nil"/>
              <w:right w:val="nil"/>
            </w:tcBorders>
            <w:tcMar>
              <w:top w:w="50" w:type="dxa"/>
              <w:left w:w="60" w:type="dxa"/>
              <w:bottom w:w="50" w:type="dxa"/>
              <w:right w:w="60" w:type="dxa"/>
            </w:tcMar>
            <w:vAlign w:val="center"/>
          </w:tcPr>
          <w:p w14:paraId="4CD8A509">
            <w:pPr>
              <w:spacing w:before="0" w:after="0" w:line="240" w:lineRule="auto"/>
              <w:jc w:val="center"/>
            </w:pPr>
            <w:r>
              <w:rPr>
                <w:rFonts w:ascii="Arial" w:hAnsi="Arial" w:eastAsia="Times New Roman"/>
                <w:sz w:val="15"/>
              </w:rPr>
              <w:t>Radiomics LR</w:t>
            </w:r>
          </w:p>
        </w:tc>
        <w:tc>
          <w:tcPr>
            <w:tcW w:w="2304" w:type="dxa"/>
            <w:tcBorders>
              <w:top w:val="nil"/>
              <w:left w:val="nil"/>
              <w:bottom w:val="nil"/>
              <w:right w:val="nil"/>
            </w:tcBorders>
            <w:tcMar>
              <w:top w:w="50" w:type="dxa"/>
              <w:left w:w="60" w:type="dxa"/>
              <w:bottom w:w="50" w:type="dxa"/>
              <w:right w:w="60" w:type="dxa"/>
            </w:tcMar>
            <w:vAlign w:val="center"/>
          </w:tcPr>
          <w:p w14:paraId="624C5468">
            <w:pPr>
              <w:spacing w:before="0" w:after="0" w:line="240" w:lineRule="auto"/>
              <w:jc w:val="center"/>
            </w:pPr>
            <w:r>
              <w:rPr>
                <w:rFonts w:ascii="Arial" w:hAnsi="Arial" w:eastAsia="Times New Roman"/>
                <w:sz w:val="15"/>
              </w:rPr>
              <w:t>0.778 (0.526–1.000)</w:t>
            </w:r>
          </w:p>
        </w:tc>
      </w:tr>
      <w:tr w14:paraId="3D223852">
        <w:tblPrEx>
          <w:tblBorders>
            <w:top w:val="single" w:color="000000" w:sz="12"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3888" w:type="dxa"/>
            <w:tcBorders>
              <w:top w:val="nil"/>
              <w:left w:val="nil"/>
              <w:bottom w:val="nil"/>
              <w:right w:val="nil"/>
            </w:tcBorders>
            <w:tcMar>
              <w:top w:w="50" w:type="dxa"/>
              <w:left w:w="60" w:type="dxa"/>
              <w:bottom w:w="50" w:type="dxa"/>
              <w:right w:w="60" w:type="dxa"/>
            </w:tcMar>
            <w:vAlign w:val="center"/>
          </w:tcPr>
          <w:p w14:paraId="16563085">
            <w:pPr>
              <w:spacing w:before="0" w:after="0" w:line="240" w:lineRule="auto"/>
              <w:jc w:val="left"/>
            </w:pPr>
            <w:r>
              <w:rPr>
                <w:rFonts w:ascii="Arial" w:hAnsi="Arial" w:eastAsia="Times New Roman"/>
                <w:sz w:val="15"/>
              </w:rPr>
              <w:t>Excl. Revolution CT/1.25 mm</w:t>
            </w:r>
          </w:p>
        </w:tc>
        <w:tc>
          <w:tcPr>
            <w:tcW w:w="1152" w:type="dxa"/>
            <w:tcBorders>
              <w:top w:val="nil"/>
              <w:left w:val="nil"/>
              <w:bottom w:val="nil"/>
              <w:right w:val="nil"/>
            </w:tcBorders>
            <w:tcMar>
              <w:top w:w="50" w:type="dxa"/>
              <w:left w:w="60" w:type="dxa"/>
              <w:bottom w:w="50" w:type="dxa"/>
              <w:right w:w="60" w:type="dxa"/>
            </w:tcMar>
            <w:vAlign w:val="center"/>
          </w:tcPr>
          <w:p w14:paraId="0E9A8111">
            <w:pPr>
              <w:spacing w:before="0" w:after="0" w:line="240" w:lineRule="auto"/>
              <w:jc w:val="center"/>
            </w:pPr>
            <w:r>
              <w:rPr>
                <w:rFonts w:ascii="Arial" w:hAnsi="Arial" w:eastAsia="Times New Roman"/>
                <w:sz w:val="15"/>
              </w:rPr>
              <w:t>18 (9/9)</w:t>
            </w:r>
          </w:p>
        </w:tc>
        <w:tc>
          <w:tcPr>
            <w:tcW w:w="1872" w:type="dxa"/>
            <w:tcBorders>
              <w:top w:val="nil"/>
              <w:left w:val="nil"/>
              <w:bottom w:val="nil"/>
              <w:right w:val="nil"/>
            </w:tcBorders>
            <w:tcMar>
              <w:top w:w="50" w:type="dxa"/>
              <w:left w:w="60" w:type="dxa"/>
              <w:bottom w:w="50" w:type="dxa"/>
              <w:right w:w="60" w:type="dxa"/>
            </w:tcMar>
            <w:vAlign w:val="center"/>
          </w:tcPr>
          <w:p w14:paraId="1295D34E">
            <w:pPr>
              <w:spacing w:before="0" w:after="0" w:line="240" w:lineRule="auto"/>
              <w:jc w:val="center"/>
            </w:pPr>
            <w:r>
              <w:rPr>
                <w:rFonts w:ascii="Arial" w:hAnsi="Arial" w:eastAsia="Times New Roman"/>
                <w:sz w:val="15"/>
              </w:rPr>
              <w:t>Combined</w:t>
            </w:r>
          </w:p>
        </w:tc>
        <w:tc>
          <w:tcPr>
            <w:tcW w:w="2304" w:type="dxa"/>
            <w:tcBorders>
              <w:top w:val="nil"/>
              <w:left w:val="nil"/>
              <w:bottom w:val="nil"/>
              <w:right w:val="nil"/>
            </w:tcBorders>
            <w:tcMar>
              <w:top w:w="50" w:type="dxa"/>
              <w:left w:w="60" w:type="dxa"/>
              <w:bottom w:w="50" w:type="dxa"/>
              <w:right w:w="60" w:type="dxa"/>
            </w:tcMar>
            <w:vAlign w:val="center"/>
          </w:tcPr>
          <w:p w14:paraId="6615BA2B">
            <w:pPr>
              <w:spacing w:before="0" w:after="0" w:line="240" w:lineRule="auto"/>
              <w:jc w:val="center"/>
            </w:pPr>
            <w:r>
              <w:rPr>
                <w:rFonts w:ascii="Arial" w:hAnsi="Arial" w:eastAsia="Times New Roman"/>
                <w:sz w:val="15"/>
              </w:rPr>
              <w:t>0.815 (0.582–1.000)</w:t>
            </w:r>
          </w:p>
        </w:tc>
      </w:tr>
      <w:tr w14:paraId="14A89C79">
        <w:tblPrEx>
          <w:tblBorders>
            <w:top w:val="single" w:color="000000" w:sz="12"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3888" w:type="dxa"/>
            <w:tcBorders>
              <w:top w:val="nil"/>
              <w:left w:val="nil"/>
              <w:bottom w:val="nil"/>
              <w:right w:val="nil"/>
            </w:tcBorders>
            <w:tcMar>
              <w:top w:w="50" w:type="dxa"/>
              <w:left w:w="60" w:type="dxa"/>
              <w:bottom w:w="50" w:type="dxa"/>
              <w:right w:w="60" w:type="dxa"/>
            </w:tcMar>
            <w:vAlign w:val="center"/>
          </w:tcPr>
          <w:p w14:paraId="19B2D7C4">
            <w:pPr>
              <w:spacing w:before="0" w:after="0" w:line="240" w:lineRule="auto"/>
              <w:jc w:val="left"/>
            </w:pPr>
            <w:r>
              <w:rPr>
                <w:rFonts w:ascii="Arial" w:hAnsi="Arial" w:eastAsia="Times New Roman"/>
                <w:sz w:val="15"/>
              </w:rPr>
              <w:t>Revolution CT/1.25-mm subgroup</w:t>
            </w:r>
          </w:p>
        </w:tc>
        <w:tc>
          <w:tcPr>
            <w:tcW w:w="1152" w:type="dxa"/>
            <w:tcBorders>
              <w:top w:val="nil"/>
              <w:left w:val="nil"/>
              <w:bottom w:val="nil"/>
              <w:right w:val="nil"/>
            </w:tcBorders>
            <w:tcMar>
              <w:top w:w="50" w:type="dxa"/>
              <w:left w:w="60" w:type="dxa"/>
              <w:bottom w:w="50" w:type="dxa"/>
              <w:right w:w="60" w:type="dxa"/>
            </w:tcMar>
            <w:vAlign w:val="center"/>
          </w:tcPr>
          <w:p w14:paraId="145A343C">
            <w:pPr>
              <w:spacing w:before="0" w:after="0" w:line="240" w:lineRule="auto"/>
              <w:jc w:val="center"/>
            </w:pPr>
            <w:r>
              <w:rPr>
                <w:rFonts w:ascii="Arial" w:hAnsi="Arial" w:eastAsia="Times New Roman"/>
                <w:sz w:val="15"/>
              </w:rPr>
              <w:t>11 (4/7)</w:t>
            </w:r>
          </w:p>
        </w:tc>
        <w:tc>
          <w:tcPr>
            <w:tcW w:w="1872" w:type="dxa"/>
            <w:tcBorders>
              <w:top w:val="nil"/>
              <w:left w:val="nil"/>
              <w:bottom w:val="nil"/>
              <w:right w:val="nil"/>
            </w:tcBorders>
            <w:tcMar>
              <w:top w:w="50" w:type="dxa"/>
              <w:left w:w="60" w:type="dxa"/>
              <w:bottom w:w="50" w:type="dxa"/>
              <w:right w:w="60" w:type="dxa"/>
            </w:tcMar>
            <w:vAlign w:val="center"/>
          </w:tcPr>
          <w:p w14:paraId="7DE685B8">
            <w:pPr>
              <w:spacing w:before="0" w:after="0" w:line="240" w:lineRule="auto"/>
              <w:jc w:val="center"/>
            </w:pPr>
            <w:r>
              <w:rPr>
                <w:rFonts w:ascii="Arial" w:hAnsi="Arial" w:eastAsia="Times New Roman"/>
                <w:sz w:val="15"/>
              </w:rPr>
              <w:t>Morphologic</w:t>
            </w:r>
          </w:p>
        </w:tc>
        <w:tc>
          <w:tcPr>
            <w:tcW w:w="2304" w:type="dxa"/>
            <w:tcBorders>
              <w:top w:val="nil"/>
              <w:left w:val="nil"/>
              <w:bottom w:val="nil"/>
              <w:right w:val="nil"/>
            </w:tcBorders>
            <w:tcMar>
              <w:top w:w="50" w:type="dxa"/>
              <w:left w:w="60" w:type="dxa"/>
              <w:bottom w:w="50" w:type="dxa"/>
              <w:right w:w="60" w:type="dxa"/>
            </w:tcMar>
            <w:vAlign w:val="center"/>
          </w:tcPr>
          <w:p w14:paraId="6319EC7F">
            <w:pPr>
              <w:spacing w:before="0" w:after="0" w:line="240" w:lineRule="auto"/>
              <w:jc w:val="center"/>
            </w:pPr>
            <w:r>
              <w:rPr>
                <w:rFonts w:ascii="Arial" w:hAnsi="Arial" w:eastAsia="Times New Roman"/>
                <w:sz w:val="15"/>
              </w:rPr>
              <w:t>0.589 (0.274–0.904)</w:t>
            </w:r>
          </w:p>
        </w:tc>
      </w:tr>
      <w:tr w14:paraId="0AA8D0A9">
        <w:tblPrEx>
          <w:tblBorders>
            <w:top w:val="single" w:color="000000" w:sz="12"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3888" w:type="dxa"/>
            <w:tcBorders>
              <w:top w:val="nil"/>
              <w:left w:val="nil"/>
              <w:bottom w:val="nil"/>
              <w:right w:val="nil"/>
            </w:tcBorders>
            <w:tcMar>
              <w:top w:w="50" w:type="dxa"/>
              <w:left w:w="60" w:type="dxa"/>
              <w:bottom w:w="50" w:type="dxa"/>
              <w:right w:w="60" w:type="dxa"/>
            </w:tcMar>
            <w:vAlign w:val="center"/>
          </w:tcPr>
          <w:p w14:paraId="067FCF18">
            <w:pPr>
              <w:spacing w:before="0" w:after="0" w:line="240" w:lineRule="auto"/>
              <w:jc w:val="left"/>
            </w:pPr>
            <w:r>
              <w:rPr>
                <w:rFonts w:ascii="Arial" w:hAnsi="Arial" w:eastAsia="Times New Roman"/>
                <w:sz w:val="15"/>
              </w:rPr>
              <w:t>Revolution CT/1.25-mm subgroup</w:t>
            </w:r>
          </w:p>
        </w:tc>
        <w:tc>
          <w:tcPr>
            <w:tcW w:w="1152" w:type="dxa"/>
            <w:tcBorders>
              <w:top w:val="nil"/>
              <w:left w:val="nil"/>
              <w:bottom w:val="nil"/>
              <w:right w:val="nil"/>
            </w:tcBorders>
            <w:tcMar>
              <w:top w:w="50" w:type="dxa"/>
              <w:left w:w="60" w:type="dxa"/>
              <w:bottom w:w="50" w:type="dxa"/>
              <w:right w:w="60" w:type="dxa"/>
            </w:tcMar>
            <w:vAlign w:val="center"/>
          </w:tcPr>
          <w:p w14:paraId="2A4DEC3E">
            <w:pPr>
              <w:spacing w:before="0" w:after="0" w:line="240" w:lineRule="auto"/>
              <w:jc w:val="center"/>
            </w:pPr>
            <w:r>
              <w:rPr>
                <w:rFonts w:ascii="Arial" w:hAnsi="Arial" w:eastAsia="Times New Roman"/>
                <w:sz w:val="15"/>
              </w:rPr>
              <w:t>11 (4/7)</w:t>
            </w:r>
          </w:p>
        </w:tc>
        <w:tc>
          <w:tcPr>
            <w:tcW w:w="1872" w:type="dxa"/>
            <w:tcBorders>
              <w:top w:val="nil"/>
              <w:left w:val="nil"/>
              <w:bottom w:val="nil"/>
              <w:right w:val="nil"/>
            </w:tcBorders>
            <w:tcMar>
              <w:top w:w="50" w:type="dxa"/>
              <w:left w:w="60" w:type="dxa"/>
              <w:bottom w:w="50" w:type="dxa"/>
              <w:right w:w="60" w:type="dxa"/>
            </w:tcMar>
            <w:vAlign w:val="center"/>
          </w:tcPr>
          <w:p w14:paraId="50580D78">
            <w:pPr>
              <w:spacing w:before="0" w:after="0" w:line="240" w:lineRule="auto"/>
              <w:jc w:val="center"/>
            </w:pPr>
            <w:r>
              <w:rPr>
                <w:rFonts w:ascii="Arial" w:hAnsi="Arial" w:eastAsia="Times New Roman"/>
                <w:sz w:val="15"/>
              </w:rPr>
              <w:t>Radiomics LR</w:t>
            </w:r>
          </w:p>
        </w:tc>
        <w:tc>
          <w:tcPr>
            <w:tcW w:w="2304" w:type="dxa"/>
            <w:tcBorders>
              <w:top w:val="nil"/>
              <w:left w:val="nil"/>
              <w:bottom w:val="nil"/>
              <w:right w:val="nil"/>
            </w:tcBorders>
            <w:tcMar>
              <w:top w:w="50" w:type="dxa"/>
              <w:left w:w="60" w:type="dxa"/>
              <w:bottom w:w="50" w:type="dxa"/>
              <w:right w:w="60" w:type="dxa"/>
            </w:tcMar>
            <w:vAlign w:val="center"/>
          </w:tcPr>
          <w:p w14:paraId="440C3279">
            <w:pPr>
              <w:spacing w:before="0" w:after="0" w:line="240" w:lineRule="auto"/>
              <w:jc w:val="center"/>
            </w:pPr>
            <w:r>
              <w:rPr>
                <w:rFonts w:ascii="Arial" w:hAnsi="Arial" w:eastAsia="Times New Roman"/>
                <w:sz w:val="15"/>
              </w:rPr>
              <w:t>0.714 (0.340–1.000)</w:t>
            </w:r>
          </w:p>
        </w:tc>
      </w:tr>
      <w:tr w14:paraId="71A8E0FF">
        <w:tblPrEx>
          <w:tblBorders>
            <w:top w:val="single" w:color="000000" w:sz="12"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3888" w:type="dxa"/>
            <w:tcBorders>
              <w:top w:val="nil"/>
              <w:left w:val="nil"/>
              <w:right w:val="nil"/>
            </w:tcBorders>
            <w:tcMar>
              <w:top w:w="50" w:type="dxa"/>
              <w:left w:w="60" w:type="dxa"/>
              <w:bottom w:w="50" w:type="dxa"/>
              <w:right w:w="60" w:type="dxa"/>
            </w:tcMar>
            <w:vAlign w:val="center"/>
          </w:tcPr>
          <w:p w14:paraId="751384D8">
            <w:pPr>
              <w:spacing w:before="0" w:after="0" w:line="240" w:lineRule="auto"/>
              <w:jc w:val="left"/>
            </w:pPr>
            <w:r>
              <w:rPr>
                <w:rFonts w:ascii="Arial" w:hAnsi="Arial" w:eastAsia="Times New Roman"/>
                <w:sz w:val="15"/>
              </w:rPr>
              <w:t>Revolution CT/1.25-mm subgroup</w:t>
            </w:r>
          </w:p>
        </w:tc>
        <w:tc>
          <w:tcPr>
            <w:tcW w:w="1152" w:type="dxa"/>
            <w:tcBorders>
              <w:top w:val="nil"/>
              <w:left w:val="nil"/>
              <w:right w:val="nil"/>
            </w:tcBorders>
            <w:tcMar>
              <w:top w:w="50" w:type="dxa"/>
              <w:left w:w="60" w:type="dxa"/>
              <w:bottom w:w="50" w:type="dxa"/>
              <w:right w:w="60" w:type="dxa"/>
            </w:tcMar>
            <w:vAlign w:val="center"/>
          </w:tcPr>
          <w:p w14:paraId="74C37433">
            <w:pPr>
              <w:spacing w:before="0" w:after="0" w:line="240" w:lineRule="auto"/>
              <w:jc w:val="center"/>
            </w:pPr>
            <w:r>
              <w:rPr>
                <w:rFonts w:ascii="Arial" w:hAnsi="Arial" w:eastAsia="Times New Roman"/>
                <w:sz w:val="15"/>
              </w:rPr>
              <w:t>11 (4/7)</w:t>
            </w:r>
          </w:p>
        </w:tc>
        <w:tc>
          <w:tcPr>
            <w:tcW w:w="1872" w:type="dxa"/>
            <w:tcBorders>
              <w:top w:val="nil"/>
              <w:left w:val="nil"/>
              <w:right w:val="nil"/>
            </w:tcBorders>
            <w:tcMar>
              <w:top w:w="50" w:type="dxa"/>
              <w:left w:w="60" w:type="dxa"/>
              <w:bottom w:w="50" w:type="dxa"/>
              <w:right w:w="60" w:type="dxa"/>
            </w:tcMar>
            <w:vAlign w:val="center"/>
          </w:tcPr>
          <w:p w14:paraId="2A4369F8">
            <w:pPr>
              <w:spacing w:before="0" w:after="0" w:line="240" w:lineRule="auto"/>
              <w:jc w:val="center"/>
            </w:pPr>
            <w:r>
              <w:rPr>
                <w:rFonts w:ascii="Arial" w:hAnsi="Arial" w:eastAsia="Times New Roman"/>
                <w:sz w:val="15"/>
              </w:rPr>
              <w:t>Combined</w:t>
            </w:r>
          </w:p>
        </w:tc>
        <w:tc>
          <w:tcPr>
            <w:tcW w:w="2304" w:type="dxa"/>
            <w:tcBorders>
              <w:top w:val="nil"/>
              <w:left w:val="nil"/>
              <w:right w:val="nil"/>
            </w:tcBorders>
            <w:tcMar>
              <w:top w:w="50" w:type="dxa"/>
              <w:left w:w="60" w:type="dxa"/>
              <w:bottom w:w="50" w:type="dxa"/>
              <w:right w:w="60" w:type="dxa"/>
            </w:tcMar>
            <w:vAlign w:val="center"/>
          </w:tcPr>
          <w:p w14:paraId="68128EE6">
            <w:pPr>
              <w:spacing w:before="0" w:after="0" w:line="240" w:lineRule="auto"/>
              <w:jc w:val="center"/>
            </w:pPr>
            <w:r>
              <w:rPr>
                <w:rFonts w:ascii="Arial" w:hAnsi="Arial" w:eastAsia="Times New Roman"/>
                <w:sz w:val="15"/>
              </w:rPr>
              <w:t>0.821 (0.522–1.000)</w:t>
            </w:r>
          </w:p>
        </w:tc>
      </w:tr>
    </w:tbl>
    <w:p w14:paraId="60B2638C">
      <w:pPr>
        <w:pStyle w:val="168"/>
        <w:keepNext/>
        <w:keepLines/>
        <w:spacing w:before="160" w:after="60"/>
      </w:pPr>
      <w:r>
        <w:rPr>
          <w:rFonts w:ascii="Times New Roman" w:hAnsi="Times New Roman"/>
          <w:b/>
          <w:sz w:val="20"/>
        </w:rPr>
        <w:t>Table S11 (continued). Operating characteristics at the unchanged frozen cutoffs</w:t>
      </w:r>
    </w:p>
    <w:tbl>
      <w:tblPr>
        <w:tblStyle w:val="33"/>
        <w:tblW w:w="0" w:type="auto"/>
        <w:jc w:val="center"/>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951"/>
        <w:gridCol w:w="1728"/>
        <w:gridCol w:w="1339"/>
        <w:gridCol w:w="1339"/>
        <w:gridCol w:w="1353"/>
      </w:tblGrid>
      <w:tr w14:paraId="7470352A">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tblHeader w:val="true"/>
          <w:jc w:val="center"/>
        </w:trPr>
        <w:tc>
          <w:tcPr>
            <w:tcW w:w="2304" w:type="dxa"/>
            <w:tcBorders>
              <w:top w:val="single" w:color="000000" w:sz="12" w:space="0"/>
              <w:left w:val="nil"/>
              <w:bottom w:val="single" w:color="000000" w:sz="6" w:space="0"/>
              <w:right w:val="nil"/>
            </w:tcBorders>
            <w:shd w:val="clear" w:color="auto" w:fill="D9EAF3"/>
            <w:tcMar>
              <w:top w:w="50" w:type="dxa"/>
              <w:left w:w="60" w:type="dxa"/>
              <w:bottom w:w="50" w:type="dxa"/>
              <w:right w:w="60" w:type="dxa"/>
            </w:tcMar>
            <w:vAlign w:val="center"/>
          </w:tcPr>
          <w:p w14:paraId="4435677B">
            <w:pPr>
              <w:spacing w:before="0" w:after="0" w:line="240" w:lineRule="auto"/>
              <w:jc w:val="center"/>
            </w:pPr>
            <w:r>
              <w:rPr>
                <w:rFonts w:ascii="Arial" w:hAnsi="Arial" w:eastAsia="Times New Roman"/>
                <w:b/>
                <w:sz w:val="15"/>
              </w:rPr>
              <w:t>Analysis set</w:t>
            </w:r>
          </w:p>
        </w:tc>
        <w:tc>
          <w:tcPr>
            <w:tcW w:w="3168" w:type="dxa"/>
            <w:tcBorders>
              <w:top w:val="single" w:color="000000" w:sz="12" w:space="0"/>
              <w:left w:val="nil"/>
              <w:bottom w:val="single" w:color="000000" w:sz="6" w:space="0"/>
              <w:right w:val="nil"/>
            </w:tcBorders>
            <w:shd w:val="clear" w:color="auto" w:fill="D9EAF3"/>
            <w:tcMar>
              <w:top w:w="50" w:type="dxa"/>
              <w:left w:w="60" w:type="dxa"/>
              <w:bottom w:w="50" w:type="dxa"/>
              <w:right w:w="60" w:type="dxa"/>
            </w:tcMar>
            <w:vAlign w:val="center"/>
          </w:tcPr>
          <w:p w14:paraId="14095258">
            <w:pPr>
              <w:spacing w:before="0" w:after="0" w:line="240" w:lineRule="auto"/>
              <w:jc w:val="center"/>
            </w:pPr>
            <w:r>
              <w:rPr>
                <w:rFonts w:ascii="Arial" w:hAnsi="Arial" w:eastAsia="Times New Roman"/>
                <w:b/>
                <w:sz w:val="15"/>
              </w:rPr>
              <w:t>Model</w:t>
            </w:r>
          </w:p>
        </w:tc>
        <w:tc>
          <w:tcPr>
            <w:tcW w:w="1252" w:type="dxa"/>
            <w:tcBorders>
              <w:top w:val="single" w:color="000000" w:sz="12" w:space="0"/>
              <w:left w:val="nil"/>
              <w:bottom w:val="single" w:color="000000" w:sz="6" w:space="0"/>
              <w:right w:val="nil"/>
            </w:tcBorders>
            <w:shd w:val="clear" w:color="auto" w:fill="D9EAF3"/>
            <w:tcMar>
              <w:top w:w="50" w:type="dxa"/>
              <w:left w:w="60" w:type="dxa"/>
              <w:bottom w:w="50" w:type="dxa"/>
              <w:right w:w="60" w:type="dxa"/>
            </w:tcMar>
            <w:vAlign w:val="center"/>
          </w:tcPr>
          <w:p w14:paraId="7E4FB396">
            <w:pPr>
              <w:spacing w:before="0" w:after="0" w:line="240" w:lineRule="auto"/>
              <w:jc w:val="center"/>
            </w:pPr>
            <w:r>
              <w:rPr>
                <w:rFonts w:ascii="Arial" w:hAnsi="Arial" w:eastAsia="Times New Roman"/>
                <w:b/>
                <w:sz w:val="15"/>
              </w:rPr>
              <w:t>Sens., %</w:t>
            </w:r>
          </w:p>
        </w:tc>
        <w:tc>
          <w:tcPr>
            <w:tcW w:w="1252" w:type="dxa"/>
            <w:tcBorders>
              <w:top w:val="single" w:color="000000" w:sz="12" w:space="0"/>
              <w:left w:val="nil"/>
              <w:bottom w:val="single" w:color="000000" w:sz="6" w:space="0"/>
              <w:right w:val="nil"/>
            </w:tcBorders>
            <w:shd w:val="clear" w:color="auto" w:fill="D9EAF3"/>
            <w:tcMar>
              <w:top w:w="50" w:type="dxa"/>
              <w:left w:w="60" w:type="dxa"/>
              <w:bottom w:w="50" w:type="dxa"/>
              <w:right w:w="60" w:type="dxa"/>
            </w:tcMar>
            <w:vAlign w:val="center"/>
          </w:tcPr>
          <w:p w14:paraId="64230804">
            <w:pPr>
              <w:spacing w:before="0" w:after="0" w:line="240" w:lineRule="auto"/>
              <w:jc w:val="center"/>
            </w:pPr>
            <w:r>
              <w:rPr>
                <w:rFonts w:ascii="Arial" w:hAnsi="Arial" w:eastAsia="Times New Roman"/>
                <w:b/>
                <w:sz w:val="15"/>
              </w:rPr>
              <w:t>Spec., %</w:t>
            </w:r>
          </w:p>
        </w:tc>
        <w:tc>
          <w:tcPr>
            <w:tcW w:w="1238" w:type="dxa"/>
            <w:tcBorders>
              <w:top w:val="single" w:color="000000" w:sz="12" w:space="0"/>
              <w:left w:val="nil"/>
              <w:bottom w:val="single" w:color="000000" w:sz="6" w:space="0"/>
              <w:right w:val="nil"/>
            </w:tcBorders>
            <w:shd w:val="clear" w:color="auto" w:fill="D9EAF3"/>
            <w:tcMar>
              <w:top w:w="50" w:type="dxa"/>
              <w:left w:w="60" w:type="dxa"/>
              <w:bottom w:w="50" w:type="dxa"/>
              <w:right w:w="60" w:type="dxa"/>
            </w:tcMar>
            <w:vAlign w:val="center"/>
          </w:tcPr>
          <w:p w14:paraId="2F4D026D">
            <w:pPr>
              <w:spacing w:before="0" w:after="0" w:line="240" w:lineRule="auto"/>
              <w:jc w:val="center"/>
            </w:pPr>
            <w:r>
              <w:rPr>
                <w:rFonts w:ascii="Arial" w:hAnsi="Arial" w:eastAsia="Times New Roman"/>
                <w:b/>
                <w:sz w:val="15"/>
              </w:rPr>
              <w:t>Acc., %</w:t>
            </w:r>
          </w:p>
        </w:tc>
      </w:tr>
      <w:tr w14:paraId="2624F7B4">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2304" w:type="dxa"/>
            <w:tcBorders>
              <w:top w:val="nil"/>
              <w:left w:val="nil"/>
              <w:bottom w:val="nil"/>
              <w:right w:val="nil"/>
            </w:tcBorders>
            <w:tcMar>
              <w:top w:w="50" w:type="dxa"/>
              <w:left w:w="60" w:type="dxa"/>
              <w:bottom w:w="50" w:type="dxa"/>
              <w:right w:w="60" w:type="dxa"/>
            </w:tcMar>
            <w:vAlign w:val="center"/>
          </w:tcPr>
          <w:p w14:paraId="639D6C4C">
            <w:pPr>
              <w:spacing w:before="0" w:after="0" w:line="240" w:lineRule="auto"/>
              <w:jc w:val="left"/>
            </w:pPr>
            <w:r>
              <w:rPr>
                <w:rFonts w:ascii="Times New Roman" w:hAnsi="Times New Roman" w:eastAsia="Times New Roman"/>
                <w:b w:val="0"/>
                <w:sz w:val="15"/>
              </w:rPr>
              <w:t>Full evaluation</w:t>
            </w:r>
          </w:p>
        </w:tc>
        <w:tc>
          <w:tcPr>
            <w:tcW w:w="3168" w:type="dxa"/>
            <w:tcBorders>
              <w:top w:val="nil"/>
              <w:left w:val="nil"/>
              <w:bottom w:val="nil"/>
              <w:right w:val="nil"/>
            </w:tcBorders>
            <w:tcMar>
              <w:top w:w="50" w:type="dxa"/>
              <w:left w:w="60" w:type="dxa"/>
              <w:bottom w:w="50" w:type="dxa"/>
              <w:right w:w="60" w:type="dxa"/>
            </w:tcMar>
            <w:vAlign w:val="center"/>
          </w:tcPr>
          <w:p w14:paraId="7F63025A">
            <w:pPr>
              <w:spacing w:before="0" w:after="0" w:line="240" w:lineRule="auto"/>
              <w:jc w:val="center"/>
            </w:pPr>
            <w:r>
              <w:rPr>
                <w:rFonts w:ascii="Arial" w:hAnsi="Arial" w:eastAsia="Times New Roman"/>
                <w:sz w:val="15"/>
              </w:rPr>
              <w:t>Morphologic</w:t>
            </w:r>
          </w:p>
        </w:tc>
        <w:tc>
          <w:tcPr>
            <w:tcW w:w="1252" w:type="dxa"/>
            <w:tcBorders>
              <w:top w:val="nil"/>
              <w:left w:val="nil"/>
              <w:bottom w:val="nil"/>
              <w:right w:val="nil"/>
            </w:tcBorders>
            <w:tcMar>
              <w:top w:w="50" w:type="dxa"/>
              <w:left w:w="60" w:type="dxa"/>
              <w:bottom w:w="50" w:type="dxa"/>
              <w:right w:w="60" w:type="dxa"/>
            </w:tcMar>
            <w:vAlign w:val="center"/>
          </w:tcPr>
          <w:p w14:paraId="5EF1A6F0">
            <w:pPr>
              <w:spacing w:before="0" w:after="0" w:line="240" w:lineRule="auto"/>
              <w:jc w:val="center"/>
            </w:pPr>
            <w:r>
              <w:rPr>
                <w:rFonts w:ascii="Arial" w:hAnsi="Arial" w:eastAsia="Times New Roman"/>
                <w:sz w:val="15"/>
              </w:rPr>
              <w:t>62.5</w:t>
            </w:r>
          </w:p>
        </w:tc>
        <w:tc>
          <w:tcPr>
            <w:tcW w:w="1252" w:type="dxa"/>
            <w:tcBorders>
              <w:top w:val="nil"/>
              <w:left w:val="nil"/>
              <w:bottom w:val="nil"/>
              <w:right w:val="nil"/>
            </w:tcBorders>
            <w:tcMar>
              <w:top w:w="50" w:type="dxa"/>
              <w:left w:w="60" w:type="dxa"/>
              <w:bottom w:w="50" w:type="dxa"/>
              <w:right w:w="60" w:type="dxa"/>
            </w:tcMar>
            <w:vAlign w:val="center"/>
          </w:tcPr>
          <w:p w14:paraId="5A5309E4">
            <w:pPr>
              <w:spacing w:before="0" w:after="0" w:line="240" w:lineRule="auto"/>
              <w:jc w:val="center"/>
            </w:pPr>
            <w:r>
              <w:rPr>
                <w:rFonts w:ascii="Arial" w:hAnsi="Arial" w:eastAsia="Times New Roman"/>
                <w:sz w:val="15"/>
              </w:rPr>
              <w:t>76.9</w:t>
            </w:r>
          </w:p>
        </w:tc>
        <w:tc>
          <w:tcPr>
            <w:tcW w:w="1238" w:type="dxa"/>
            <w:tcBorders>
              <w:top w:val="nil"/>
              <w:left w:val="nil"/>
              <w:bottom w:val="nil"/>
              <w:right w:val="nil"/>
            </w:tcBorders>
            <w:tcMar>
              <w:top w:w="50" w:type="dxa"/>
              <w:left w:w="60" w:type="dxa"/>
              <w:bottom w:w="50" w:type="dxa"/>
              <w:right w:w="60" w:type="dxa"/>
            </w:tcMar>
            <w:vAlign w:val="center"/>
          </w:tcPr>
          <w:p w14:paraId="7C4A4DF5">
            <w:pPr>
              <w:spacing w:before="0" w:after="0" w:line="240" w:lineRule="auto"/>
              <w:jc w:val="center"/>
            </w:pPr>
            <w:r>
              <w:rPr>
                <w:rFonts w:ascii="Arial" w:hAnsi="Arial" w:eastAsia="Times New Roman"/>
                <w:sz w:val="15"/>
              </w:rPr>
              <w:t>69.0</w:t>
            </w:r>
          </w:p>
        </w:tc>
      </w:tr>
      <w:tr w14:paraId="5C8C0C63">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2304" w:type="dxa"/>
            <w:tcBorders>
              <w:top w:val="nil"/>
              <w:left w:val="nil"/>
              <w:bottom w:val="nil"/>
              <w:right w:val="nil"/>
            </w:tcBorders>
            <w:tcMar>
              <w:top w:w="50" w:type="dxa"/>
              <w:left w:w="60" w:type="dxa"/>
              <w:bottom w:w="50" w:type="dxa"/>
              <w:right w:w="60" w:type="dxa"/>
            </w:tcMar>
            <w:vAlign w:val="center"/>
          </w:tcPr>
          <w:p w14:paraId="7E7FCA4C">
            <w:pPr>
              <w:spacing w:before="0" w:after="0" w:line="240" w:lineRule="auto"/>
              <w:jc w:val="left"/>
            </w:pPr>
            <w:r>
              <w:rPr>
                <w:rFonts w:ascii="Times New Roman" w:hAnsi="Times New Roman" w:eastAsia="Times New Roman"/>
                <w:b w:val="0"/>
                <w:sz w:val="15"/>
              </w:rPr>
              <w:t>Full evaluation</w:t>
            </w:r>
          </w:p>
        </w:tc>
        <w:tc>
          <w:tcPr>
            <w:tcW w:w="3168" w:type="dxa"/>
            <w:tcBorders>
              <w:top w:val="nil"/>
              <w:left w:val="nil"/>
              <w:bottom w:val="nil"/>
              <w:right w:val="nil"/>
            </w:tcBorders>
            <w:tcMar>
              <w:top w:w="50" w:type="dxa"/>
              <w:left w:w="60" w:type="dxa"/>
              <w:bottom w:w="50" w:type="dxa"/>
              <w:right w:w="60" w:type="dxa"/>
            </w:tcMar>
            <w:vAlign w:val="center"/>
          </w:tcPr>
          <w:p w14:paraId="3327010D">
            <w:pPr>
              <w:spacing w:before="0" w:after="0" w:line="240" w:lineRule="auto"/>
              <w:jc w:val="center"/>
            </w:pPr>
            <w:r>
              <w:rPr>
                <w:rFonts w:ascii="Arial" w:hAnsi="Arial" w:eastAsia="Times New Roman"/>
                <w:sz w:val="15"/>
              </w:rPr>
              <w:t>Radiomics LR</w:t>
            </w:r>
          </w:p>
        </w:tc>
        <w:tc>
          <w:tcPr>
            <w:tcW w:w="1252" w:type="dxa"/>
            <w:tcBorders>
              <w:top w:val="nil"/>
              <w:left w:val="nil"/>
              <w:bottom w:val="nil"/>
              <w:right w:val="nil"/>
            </w:tcBorders>
            <w:tcMar>
              <w:top w:w="50" w:type="dxa"/>
              <w:left w:w="60" w:type="dxa"/>
              <w:bottom w:w="50" w:type="dxa"/>
              <w:right w:w="60" w:type="dxa"/>
            </w:tcMar>
            <w:vAlign w:val="center"/>
          </w:tcPr>
          <w:p w14:paraId="3DC26184">
            <w:pPr>
              <w:spacing w:before="0" w:after="0" w:line="240" w:lineRule="auto"/>
              <w:jc w:val="center"/>
            </w:pPr>
            <w:r>
              <w:rPr>
                <w:rFonts w:ascii="Arial" w:hAnsi="Arial" w:eastAsia="Times New Roman"/>
                <w:sz w:val="15"/>
              </w:rPr>
              <w:t>68.8</w:t>
            </w:r>
          </w:p>
        </w:tc>
        <w:tc>
          <w:tcPr>
            <w:tcW w:w="1252" w:type="dxa"/>
            <w:tcBorders>
              <w:top w:val="nil"/>
              <w:left w:val="nil"/>
              <w:bottom w:val="nil"/>
              <w:right w:val="nil"/>
            </w:tcBorders>
            <w:tcMar>
              <w:top w:w="50" w:type="dxa"/>
              <w:left w:w="60" w:type="dxa"/>
              <w:bottom w:w="50" w:type="dxa"/>
              <w:right w:w="60" w:type="dxa"/>
            </w:tcMar>
            <w:vAlign w:val="center"/>
          </w:tcPr>
          <w:p w14:paraId="646D2A51">
            <w:pPr>
              <w:spacing w:before="0" w:after="0" w:line="240" w:lineRule="auto"/>
              <w:jc w:val="center"/>
            </w:pPr>
            <w:r>
              <w:rPr>
                <w:rFonts w:ascii="Arial" w:hAnsi="Arial" w:eastAsia="Times New Roman"/>
                <w:sz w:val="15"/>
              </w:rPr>
              <w:t>84.6</w:t>
            </w:r>
          </w:p>
        </w:tc>
        <w:tc>
          <w:tcPr>
            <w:tcW w:w="1238" w:type="dxa"/>
            <w:tcBorders>
              <w:top w:val="nil"/>
              <w:left w:val="nil"/>
              <w:bottom w:val="nil"/>
              <w:right w:val="nil"/>
            </w:tcBorders>
            <w:tcMar>
              <w:top w:w="50" w:type="dxa"/>
              <w:left w:w="60" w:type="dxa"/>
              <w:bottom w:w="50" w:type="dxa"/>
              <w:right w:w="60" w:type="dxa"/>
            </w:tcMar>
            <w:vAlign w:val="center"/>
          </w:tcPr>
          <w:p w14:paraId="4AEBFC63">
            <w:pPr>
              <w:spacing w:before="0" w:after="0" w:line="240" w:lineRule="auto"/>
              <w:jc w:val="center"/>
            </w:pPr>
            <w:r>
              <w:rPr>
                <w:rFonts w:ascii="Arial" w:hAnsi="Arial" w:eastAsia="Times New Roman"/>
                <w:sz w:val="15"/>
              </w:rPr>
              <w:t>75.9</w:t>
            </w:r>
          </w:p>
        </w:tc>
      </w:tr>
      <w:tr w14:paraId="28EA9E72">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2304" w:type="dxa"/>
            <w:tcBorders>
              <w:top w:val="nil"/>
              <w:left w:val="nil"/>
              <w:bottom w:val="nil"/>
              <w:right w:val="nil"/>
            </w:tcBorders>
            <w:tcMar>
              <w:top w:w="50" w:type="dxa"/>
              <w:left w:w="60" w:type="dxa"/>
              <w:bottom w:w="50" w:type="dxa"/>
              <w:right w:w="60" w:type="dxa"/>
            </w:tcMar>
            <w:vAlign w:val="center"/>
          </w:tcPr>
          <w:p w14:paraId="4B9696E0">
            <w:pPr>
              <w:spacing w:before="0" w:after="0" w:line="240" w:lineRule="auto"/>
              <w:jc w:val="left"/>
            </w:pPr>
            <w:r>
              <w:rPr>
                <w:rFonts w:ascii="Times New Roman" w:hAnsi="Times New Roman" w:eastAsia="Times New Roman"/>
                <w:b w:val="0"/>
                <w:sz w:val="15"/>
              </w:rPr>
              <w:t>Full evaluation</w:t>
            </w:r>
          </w:p>
        </w:tc>
        <w:tc>
          <w:tcPr>
            <w:tcW w:w="3168" w:type="dxa"/>
            <w:tcBorders>
              <w:top w:val="nil"/>
              <w:left w:val="nil"/>
              <w:bottom w:val="nil"/>
              <w:right w:val="nil"/>
            </w:tcBorders>
            <w:tcMar>
              <w:top w:w="50" w:type="dxa"/>
              <w:left w:w="60" w:type="dxa"/>
              <w:bottom w:w="50" w:type="dxa"/>
              <w:right w:w="60" w:type="dxa"/>
            </w:tcMar>
            <w:vAlign w:val="center"/>
          </w:tcPr>
          <w:p w14:paraId="44BBDBE4">
            <w:pPr>
              <w:spacing w:before="0" w:after="0" w:line="240" w:lineRule="auto"/>
              <w:jc w:val="center"/>
            </w:pPr>
            <w:r>
              <w:rPr>
                <w:rFonts w:ascii="Arial" w:hAnsi="Arial" w:eastAsia="Times New Roman"/>
                <w:sz w:val="15"/>
              </w:rPr>
              <w:t>Combined</w:t>
            </w:r>
          </w:p>
        </w:tc>
        <w:tc>
          <w:tcPr>
            <w:tcW w:w="1252" w:type="dxa"/>
            <w:tcBorders>
              <w:top w:val="nil"/>
              <w:left w:val="nil"/>
              <w:bottom w:val="nil"/>
              <w:right w:val="nil"/>
            </w:tcBorders>
            <w:tcMar>
              <w:top w:w="50" w:type="dxa"/>
              <w:left w:w="60" w:type="dxa"/>
              <w:bottom w:w="50" w:type="dxa"/>
              <w:right w:w="60" w:type="dxa"/>
            </w:tcMar>
            <w:vAlign w:val="center"/>
          </w:tcPr>
          <w:p w14:paraId="3567E83D">
            <w:pPr>
              <w:spacing w:before="0" w:after="0" w:line="240" w:lineRule="auto"/>
              <w:jc w:val="center"/>
            </w:pPr>
            <w:r>
              <w:rPr>
                <w:rFonts w:ascii="Arial" w:hAnsi="Arial" w:eastAsia="Times New Roman"/>
                <w:sz w:val="15"/>
              </w:rPr>
              <w:t>87.5</w:t>
            </w:r>
          </w:p>
        </w:tc>
        <w:tc>
          <w:tcPr>
            <w:tcW w:w="1252" w:type="dxa"/>
            <w:tcBorders>
              <w:top w:val="nil"/>
              <w:left w:val="nil"/>
              <w:bottom w:val="nil"/>
              <w:right w:val="nil"/>
            </w:tcBorders>
            <w:tcMar>
              <w:top w:w="50" w:type="dxa"/>
              <w:left w:w="60" w:type="dxa"/>
              <w:bottom w:w="50" w:type="dxa"/>
              <w:right w:w="60" w:type="dxa"/>
            </w:tcMar>
            <w:vAlign w:val="center"/>
          </w:tcPr>
          <w:p w14:paraId="7DF56346">
            <w:pPr>
              <w:spacing w:before="0" w:after="0" w:line="240" w:lineRule="auto"/>
              <w:jc w:val="center"/>
            </w:pPr>
            <w:r>
              <w:rPr>
                <w:rFonts w:ascii="Arial" w:hAnsi="Arial" w:eastAsia="Times New Roman"/>
                <w:sz w:val="15"/>
              </w:rPr>
              <w:t>69.2</w:t>
            </w:r>
          </w:p>
        </w:tc>
        <w:tc>
          <w:tcPr>
            <w:tcW w:w="1238" w:type="dxa"/>
            <w:tcBorders>
              <w:top w:val="nil"/>
              <w:left w:val="nil"/>
              <w:bottom w:val="nil"/>
              <w:right w:val="nil"/>
            </w:tcBorders>
            <w:tcMar>
              <w:top w:w="50" w:type="dxa"/>
              <w:left w:w="60" w:type="dxa"/>
              <w:bottom w:w="50" w:type="dxa"/>
              <w:right w:w="60" w:type="dxa"/>
            </w:tcMar>
            <w:vAlign w:val="center"/>
          </w:tcPr>
          <w:p w14:paraId="5DFE2A20">
            <w:pPr>
              <w:spacing w:before="0" w:after="0" w:line="240" w:lineRule="auto"/>
              <w:jc w:val="center"/>
            </w:pPr>
            <w:r>
              <w:rPr>
                <w:rFonts w:ascii="Arial" w:hAnsi="Arial" w:eastAsia="Times New Roman"/>
                <w:sz w:val="15"/>
              </w:rPr>
              <w:t>79.3</w:t>
            </w:r>
          </w:p>
        </w:tc>
      </w:tr>
      <w:tr w14:paraId="2CC7CA86">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2304" w:type="dxa"/>
            <w:tcBorders>
              <w:top w:val="nil"/>
              <w:left w:val="nil"/>
              <w:bottom w:val="nil"/>
              <w:right w:val="nil"/>
            </w:tcBorders>
            <w:tcMar>
              <w:top w:w="50" w:type="dxa"/>
              <w:left w:w="60" w:type="dxa"/>
              <w:bottom w:w="50" w:type="dxa"/>
              <w:right w:w="60" w:type="dxa"/>
            </w:tcMar>
            <w:vAlign w:val="center"/>
          </w:tcPr>
          <w:p w14:paraId="02B668AF">
            <w:pPr>
              <w:spacing w:before="0" w:after="0" w:line="240" w:lineRule="auto"/>
              <w:jc w:val="left"/>
            </w:pPr>
            <w:r>
              <w:rPr>
                <w:rFonts w:ascii="Arial" w:hAnsi="Arial" w:eastAsia="Times New Roman"/>
                <w:sz w:val="15"/>
              </w:rPr>
              <w:t>Excl. Revolution CT/1.25 mm</w:t>
            </w:r>
          </w:p>
        </w:tc>
        <w:tc>
          <w:tcPr>
            <w:tcW w:w="3168" w:type="dxa"/>
            <w:tcBorders>
              <w:top w:val="nil"/>
              <w:left w:val="nil"/>
              <w:bottom w:val="nil"/>
              <w:right w:val="nil"/>
            </w:tcBorders>
            <w:tcMar>
              <w:top w:w="50" w:type="dxa"/>
              <w:left w:w="60" w:type="dxa"/>
              <w:bottom w:w="50" w:type="dxa"/>
              <w:right w:w="60" w:type="dxa"/>
            </w:tcMar>
            <w:vAlign w:val="center"/>
          </w:tcPr>
          <w:p w14:paraId="0421DFF3">
            <w:pPr>
              <w:spacing w:before="0" w:after="0" w:line="240" w:lineRule="auto"/>
              <w:jc w:val="center"/>
            </w:pPr>
            <w:r>
              <w:rPr>
                <w:rFonts w:ascii="Arial" w:hAnsi="Arial" w:eastAsia="Times New Roman"/>
                <w:sz w:val="15"/>
              </w:rPr>
              <w:t>Morphologic</w:t>
            </w:r>
          </w:p>
        </w:tc>
        <w:tc>
          <w:tcPr>
            <w:tcW w:w="1252" w:type="dxa"/>
            <w:tcBorders>
              <w:top w:val="nil"/>
              <w:left w:val="nil"/>
              <w:bottom w:val="nil"/>
              <w:right w:val="nil"/>
            </w:tcBorders>
            <w:tcMar>
              <w:top w:w="50" w:type="dxa"/>
              <w:left w:w="60" w:type="dxa"/>
              <w:bottom w:w="50" w:type="dxa"/>
              <w:right w:w="60" w:type="dxa"/>
            </w:tcMar>
            <w:vAlign w:val="center"/>
          </w:tcPr>
          <w:p w14:paraId="4240D816">
            <w:pPr>
              <w:spacing w:before="0" w:after="0" w:line="240" w:lineRule="auto"/>
              <w:jc w:val="center"/>
            </w:pPr>
            <w:r>
              <w:rPr>
                <w:rFonts w:ascii="Arial" w:hAnsi="Arial" w:eastAsia="Times New Roman"/>
                <w:sz w:val="15"/>
              </w:rPr>
              <w:t>77.8</w:t>
            </w:r>
          </w:p>
        </w:tc>
        <w:tc>
          <w:tcPr>
            <w:tcW w:w="1252" w:type="dxa"/>
            <w:tcBorders>
              <w:top w:val="nil"/>
              <w:left w:val="nil"/>
              <w:bottom w:val="nil"/>
              <w:right w:val="nil"/>
            </w:tcBorders>
            <w:tcMar>
              <w:top w:w="50" w:type="dxa"/>
              <w:left w:w="60" w:type="dxa"/>
              <w:bottom w:w="50" w:type="dxa"/>
              <w:right w:w="60" w:type="dxa"/>
            </w:tcMar>
            <w:vAlign w:val="center"/>
          </w:tcPr>
          <w:p w14:paraId="59C96607">
            <w:pPr>
              <w:spacing w:before="0" w:after="0" w:line="240" w:lineRule="auto"/>
              <w:jc w:val="center"/>
            </w:pPr>
            <w:r>
              <w:rPr>
                <w:rFonts w:ascii="Arial" w:hAnsi="Arial" w:eastAsia="Times New Roman"/>
                <w:sz w:val="15"/>
              </w:rPr>
              <w:t>77.8</w:t>
            </w:r>
          </w:p>
        </w:tc>
        <w:tc>
          <w:tcPr>
            <w:tcW w:w="1238" w:type="dxa"/>
            <w:tcBorders>
              <w:top w:val="nil"/>
              <w:left w:val="nil"/>
              <w:bottom w:val="nil"/>
              <w:right w:val="nil"/>
            </w:tcBorders>
            <w:tcMar>
              <w:top w:w="50" w:type="dxa"/>
              <w:left w:w="60" w:type="dxa"/>
              <w:bottom w:w="50" w:type="dxa"/>
              <w:right w:w="60" w:type="dxa"/>
            </w:tcMar>
            <w:vAlign w:val="center"/>
          </w:tcPr>
          <w:p w14:paraId="7B8571E7">
            <w:pPr>
              <w:spacing w:before="0" w:after="0" w:line="240" w:lineRule="auto"/>
              <w:jc w:val="center"/>
            </w:pPr>
            <w:r>
              <w:rPr>
                <w:rFonts w:ascii="Arial" w:hAnsi="Arial" w:eastAsia="Times New Roman"/>
                <w:sz w:val="15"/>
              </w:rPr>
              <w:t>77.8</w:t>
            </w:r>
          </w:p>
        </w:tc>
      </w:tr>
      <w:tr w14:paraId="517697CE">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2304" w:type="dxa"/>
            <w:tcBorders>
              <w:top w:val="nil"/>
              <w:left w:val="nil"/>
              <w:bottom w:val="nil"/>
              <w:right w:val="nil"/>
            </w:tcBorders>
            <w:tcMar>
              <w:top w:w="50" w:type="dxa"/>
              <w:left w:w="60" w:type="dxa"/>
              <w:bottom w:w="50" w:type="dxa"/>
              <w:right w:w="60" w:type="dxa"/>
            </w:tcMar>
            <w:vAlign w:val="center"/>
          </w:tcPr>
          <w:p w14:paraId="0FE803AC">
            <w:pPr>
              <w:spacing w:before="0" w:after="0" w:line="240" w:lineRule="auto"/>
              <w:jc w:val="left"/>
            </w:pPr>
            <w:r>
              <w:rPr>
                <w:rFonts w:ascii="Arial" w:hAnsi="Arial" w:eastAsia="Times New Roman"/>
                <w:sz w:val="15"/>
              </w:rPr>
              <w:t>Excl. Revolution CT/1.25 mm</w:t>
            </w:r>
          </w:p>
        </w:tc>
        <w:tc>
          <w:tcPr>
            <w:tcW w:w="3168" w:type="dxa"/>
            <w:tcBorders>
              <w:top w:val="nil"/>
              <w:left w:val="nil"/>
              <w:bottom w:val="nil"/>
              <w:right w:val="nil"/>
            </w:tcBorders>
            <w:tcMar>
              <w:top w:w="50" w:type="dxa"/>
              <w:left w:w="60" w:type="dxa"/>
              <w:bottom w:w="50" w:type="dxa"/>
              <w:right w:w="60" w:type="dxa"/>
            </w:tcMar>
            <w:vAlign w:val="center"/>
          </w:tcPr>
          <w:p w14:paraId="0111932C">
            <w:pPr>
              <w:spacing w:before="0" w:after="0" w:line="240" w:lineRule="auto"/>
              <w:jc w:val="center"/>
            </w:pPr>
            <w:r>
              <w:rPr>
                <w:rFonts w:ascii="Arial" w:hAnsi="Arial" w:eastAsia="Times New Roman"/>
                <w:sz w:val="15"/>
              </w:rPr>
              <w:t>Radiomics LR</w:t>
            </w:r>
          </w:p>
        </w:tc>
        <w:tc>
          <w:tcPr>
            <w:tcW w:w="1252" w:type="dxa"/>
            <w:tcBorders>
              <w:top w:val="nil"/>
              <w:left w:val="nil"/>
              <w:bottom w:val="nil"/>
              <w:right w:val="nil"/>
            </w:tcBorders>
            <w:tcMar>
              <w:top w:w="50" w:type="dxa"/>
              <w:left w:w="60" w:type="dxa"/>
              <w:bottom w:w="50" w:type="dxa"/>
              <w:right w:w="60" w:type="dxa"/>
            </w:tcMar>
            <w:vAlign w:val="center"/>
          </w:tcPr>
          <w:p w14:paraId="7E7B6ED6">
            <w:pPr>
              <w:spacing w:before="0" w:after="0" w:line="240" w:lineRule="auto"/>
              <w:jc w:val="center"/>
            </w:pPr>
            <w:r>
              <w:rPr>
                <w:rFonts w:ascii="Arial" w:hAnsi="Arial" w:eastAsia="Times New Roman"/>
                <w:sz w:val="15"/>
              </w:rPr>
              <w:t>66.7</w:t>
            </w:r>
          </w:p>
        </w:tc>
        <w:tc>
          <w:tcPr>
            <w:tcW w:w="1252" w:type="dxa"/>
            <w:tcBorders>
              <w:top w:val="nil"/>
              <w:left w:val="nil"/>
              <w:bottom w:val="nil"/>
              <w:right w:val="nil"/>
            </w:tcBorders>
            <w:tcMar>
              <w:top w:w="50" w:type="dxa"/>
              <w:left w:w="60" w:type="dxa"/>
              <w:bottom w:w="50" w:type="dxa"/>
              <w:right w:w="60" w:type="dxa"/>
            </w:tcMar>
            <w:vAlign w:val="center"/>
          </w:tcPr>
          <w:p w14:paraId="2DBC8C62">
            <w:pPr>
              <w:spacing w:before="0" w:after="0" w:line="240" w:lineRule="auto"/>
              <w:jc w:val="center"/>
            </w:pPr>
            <w:r>
              <w:rPr>
                <w:rFonts w:ascii="Arial" w:hAnsi="Arial" w:eastAsia="Times New Roman"/>
                <w:sz w:val="15"/>
              </w:rPr>
              <w:t>88.9</w:t>
            </w:r>
          </w:p>
        </w:tc>
        <w:tc>
          <w:tcPr>
            <w:tcW w:w="1238" w:type="dxa"/>
            <w:tcBorders>
              <w:top w:val="nil"/>
              <w:left w:val="nil"/>
              <w:bottom w:val="nil"/>
              <w:right w:val="nil"/>
            </w:tcBorders>
            <w:tcMar>
              <w:top w:w="50" w:type="dxa"/>
              <w:left w:w="60" w:type="dxa"/>
              <w:bottom w:w="50" w:type="dxa"/>
              <w:right w:w="60" w:type="dxa"/>
            </w:tcMar>
            <w:vAlign w:val="center"/>
          </w:tcPr>
          <w:p w14:paraId="1FF33351">
            <w:pPr>
              <w:spacing w:before="0" w:after="0" w:line="240" w:lineRule="auto"/>
              <w:jc w:val="center"/>
            </w:pPr>
            <w:r>
              <w:rPr>
                <w:rFonts w:ascii="Arial" w:hAnsi="Arial" w:eastAsia="Times New Roman"/>
                <w:sz w:val="15"/>
              </w:rPr>
              <w:t>77.8</w:t>
            </w:r>
          </w:p>
        </w:tc>
      </w:tr>
      <w:tr w14:paraId="727CAB30">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2304" w:type="dxa"/>
            <w:tcBorders>
              <w:top w:val="nil"/>
              <w:left w:val="nil"/>
              <w:bottom w:val="nil"/>
              <w:right w:val="nil"/>
            </w:tcBorders>
            <w:tcMar>
              <w:top w:w="50" w:type="dxa"/>
              <w:left w:w="60" w:type="dxa"/>
              <w:bottom w:w="50" w:type="dxa"/>
              <w:right w:w="60" w:type="dxa"/>
            </w:tcMar>
            <w:vAlign w:val="center"/>
          </w:tcPr>
          <w:p w14:paraId="752CF52B">
            <w:pPr>
              <w:spacing w:before="0" w:after="0" w:line="240" w:lineRule="auto"/>
              <w:jc w:val="left"/>
            </w:pPr>
            <w:r>
              <w:rPr>
                <w:rFonts w:ascii="Arial" w:hAnsi="Arial" w:eastAsia="Times New Roman"/>
                <w:sz w:val="15"/>
              </w:rPr>
              <w:t>Excl. Revolution CT/1.25 mm</w:t>
            </w:r>
          </w:p>
        </w:tc>
        <w:tc>
          <w:tcPr>
            <w:tcW w:w="3168" w:type="dxa"/>
            <w:tcBorders>
              <w:top w:val="nil"/>
              <w:left w:val="nil"/>
              <w:bottom w:val="nil"/>
              <w:right w:val="nil"/>
            </w:tcBorders>
            <w:tcMar>
              <w:top w:w="50" w:type="dxa"/>
              <w:left w:w="60" w:type="dxa"/>
              <w:bottom w:w="50" w:type="dxa"/>
              <w:right w:w="60" w:type="dxa"/>
            </w:tcMar>
            <w:vAlign w:val="center"/>
          </w:tcPr>
          <w:p w14:paraId="1D0B28B2">
            <w:pPr>
              <w:spacing w:before="0" w:after="0" w:line="240" w:lineRule="auto"/>
              <w:jc w:val="center"/>
            </w:pPr>
            <w:r>
              <w:rPr>
                <w:rFonts w:ascii="Arial" w:hAnsi="Arial" w:eastAsia="Times New Roman"/>
                <w:sz w:val="15"/>
              </w:rPr>
              <w:t>Combined</w:t>
            </w:r>
          </w:p>
        </w:tc>
        <w:tc>
          <w:tcPr>
            <w:tcW w:w="1252" w:type="dxa"/>
            <w:tcBorders>
              <w:top w:val="nil"/>
              <w:left w:val="nil"/>
              <w:bottom w:val="nil"/>
              <w:right w:val="nil"/>
            </w:tcBorders>
            <w:tcMar>
              <w:top w:w="50" w:type="dxa"/>
              <w:left w:w="60" w:type="dxa"/>
              <w:bottom w:w="50" w:type="dxa"/>
              <w:right w:w="60" w:type="dxa"/>
            </w:tcMar>
            <w:vAlign w:val="center"/>
          </w:tcPr>
          <w:p w14:paraId="2E294753">
            <w:pPr>
              <w:spacing w:before="0" w:after="0" w:line="240" w:lineRule="auto"/>
              <w:jc w:val="center"/>
            </w:pPr>
            <w:r>
              <w:rPr>
                <w:rFonts w:ascii="Arial" w:hAnsi="Arial" w:eastAsia="Times New Roman"/>
                <w:sz w:val="15"/>
              </w:rPr>
              <w:t>88.9</w:t>
            </w:r>
          </w:p>
        </w:tc>
        <w:tc>
          <w:tcPr>
            <w:tcW w:w="1252" w:type="dxa"/>
            <w:tcBorders>
              <w:top w:val="nil"/>
              <w:left w:val="nil"/>
              <w:bottom w:val="nil"/>
              <w:right w:val="nil"/>
            </w:tcBorders>
            <w:tcMar>
              <w:top w:w="50" w:type="dxa"/>
              <w:left w:w="60" w:type="dxa"/>
              <w:bottom w:w="50" w:type="dxa"/>
              <w:right w:w="60" w:type="dxa"/>
            </w:tcMar>
            <w:vAlign w:val="center"/>
          </w:tcPr>
          <w:p w14:paraId="234181C3">
            <w:pPr>
              <w:spacing w:before="0" w:after="0" w:line="240" w:lineRule="auto"/>
              <w:jc w:val="center"/>
            </w:pPr>
            <w:r>
              <w:rPr>
                <w:rFonts w:ascii="Arial" w:hAnsi="Arial" w:eastAsia="Times New Roman"/>
                <w:sz w:val="15"/>
              </w:rPr>
              <w:t>77.8</w:t>
            </w:r>
          </w:p>
        </w:tc>
        <w:tc>
          <w:tcPr>
            <w:tcW w:w="1238" w:type="dxa"/>
            <w:tcBorders>
              <w:top w:val="nil"/>
              <w:left w:val="nil"/>
              <w:bottom w:val="nil"/>
              <w:right w:val="nil"/>
            </w:tcBorders>
            <w:tcMar>
              <w:top w:w="50" w:type="dxa"/>
              <w:left w:w="60" w:type="dxa"/>
              <w:bottom w:w="50" w:type="dxa"/>
              <w:right w:w="60" w:type="dxa"/>
            </w:tcMar>
            <w:vAlign w:val="center"/>
          </w:tcPr>
          <w:p w14:paraId="6F7CED59">
            <w:pPr>
              <w:spacing w:before="0" w:after="0" w:line="240" w:lineRule="auto"/>
              <w:jc w:val="center"/>
            </w:pPr>
            <w:r>
              <w:rPr>
                <w:rFonts w:ascii="Arial" w:hAnsi="Arial" w:eastAsia="Times New Roman"/>
                <w:sz w:val="15"/>
              </w:rPr>
              <w:t>83.3</w:t>
            </w:r>
          </w:p>
        </w:tc>
      </w:tr>
      <w:tr w14:paraId="7DB2B670">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2304" w:type="dxa"/>
            <w:tcBorders>
              <w:top w:val="nil"/>
              <w:left w:val="nil"/>
              <w:bottom w:val="nil"/>
              <w:right w:val="nil"/>
            </w:tcBorders>
            <w:tcMar>
              <w:top w:w="50" w:type="dxa"/>
              <w:left w:w="60" w:type="dxa"/>
              <w:bottom w:w="50" w:type="dxa"/>
              <w:right w:w="60" w:type="dxa"/>
            </w:tcMar>
            <w:vAlign w:val="center"/>
          </w:tcPr>
          <w:p w14:paraId="6E7FDF2F">
            <w:pPr>
              <w:spacing w:before="0" w:after="0" w:line="240" w:lineRule="auto"/>
              <w:jc w:val="left"/>
            </w:pPr>
            <w:r>
              <w:rPr>
                <w:rFonts w:ascii="Arial" w:hAnsi="Arial" w:eastAsia="Times New Roman"/>
                <w:sz w:val="15"/>
              </w:rPr>
              <w:t>Revolution CT/1.25-mm subgroup</w:t>
            </w:r>
          </w:p>
        </w:tc>
        <w:tc>
          <w:tcPr>
            <w:tcW w:w="3168" w:type="dxa"/>
            <w:tcBorders>
              <w:top w:val="nil"/>
              <w:left w:val="nil"/>
              <w:bottom w:val="nil"/>
              <w:right w:val="nil"/>
            </w:tcBorders>
            <w:tcMar>
              <w:top w:w="50" w:type="dxa"/>
              <w:left w:w="60" w:type="dxa"/>
              <w:bottom w:w="50" w:type="dxa"/>
              <w:right w:w="60" w:type="dxa"/>
            </w:tcMar>
            <w:vAlign w:val="center"/>
          </w:tcPr>
          <w:p w14:paraId="2685F8A8">
            <w:pPr>
              <w:spacing w:before="0" w:after="0" w:line="240" w:lineRule="auto"/>
              <w:jc w:val="center"/>
            </w:pPr>
            <w:r>
              <w:rPr>
                <w:rFonts w:ascii="Arial" w:hAnsi="Arial" w:eastAsia="Times New Roman"/>
                <w:sz w:val="15"/>
              </w:rPr>
              <w:t>Morphologic</w:t>
            </w:r>
          </w:p>
        </w:tc>
        <w:tc>
          <w:tcPr>
            <w:tcW w:w="1252" w:type="dxa"/>
            <w:tcBorders>
              <w:top w:val="nil"/>
              <w:left w:val="nil"/>
              <w:bottom w:val="nil"/>
              <w:right w:val="nil"/>
            </w:tcBorders>
            <w:tcMar>
              <w:top w:w="50" w:type="dxa"/>
              <w:left w:w="60" w:type="dxa"/>
              <w:bottom w:w="50" w:type="dxa"/>
              <w:right w:w="60" w:type="dxa"/>
            </w:tcMar>
            <w:vAlign w:val="center"/>
          </w:tcPr>
          <w:p w14:paraId="42AE5E08">
            <w:pPr>
              <w:spacing w:before="0" w:after="0" w:line="240" w:lineRule="auto"/>
              <w:jc w:val="center"/>
            </w:pPr>
            <w:r>
              <w:rPr>
                <w:rFonts w:ascii="Arial" w:hAnsi="Arial" w:eastAsia="Times New Roman"/>
                <w:sz w:val="15"/>
              </w:rPr>
              <w:t>42.9</w:t>
            </w:r>
          </w:p>
        </w:tc>
        <w:tc>
          <w:tcPr>
            <w:tcW w:w="1252" w:type="dxa"/>
            <w:tcBorders>
              <w:top w:val="nil"/>
              <w:left w:val="nil"/>
              <w:bottom w:val="nil"/>
              <w:right w:val="nil"/>
            </w:tcBorders>
            <w:tcMar>
              <w:top w:w="50" w:type="dxa"/>
              <w:left w:w="60" w:type="dxa"/>
              <w:bottom w:w="50" w:type="dxa"/>
              <w:right w:w="60" w:type="dxa"/>
            </w:tcMar>
            <w:vAlign w:val="center"/>
          </w:tcPr>
          <w:p w14:paraId="062F06F3">
            <w:pPr>
              <w:spacing w:before="0" w:after="0" w:line="240" w:lineRule="auto"/>
              <w:jc w:val="center"/>
            </w:pPr>
            <w:r>
              <w:rPr>
                <w:rFonts w:ascii="Arial" w:hAnsi="Arial" w:eastAsia="Times New Roman"/>
                <w:sz w:val="15"/>
              </w:rPr>
              <w:t>75.0</w:t>
            </w:r>
          </w:p>
        </w:tc>
        <w:tc>
          <w:tcPr>
            <w:tcW w:w="1238" w:type="dxa"/>
            <w:tcBorders>
              <w:top w:val="nil"/>
              <w:left w:val="nil"/>
              <w:bottom w:val="nil"/>
              <w:right w:val="nil"/>
            </w:tcBorders>
            <w:tcMar>
              <w:top w:w="50" w:type="dxa"/>
              <w:left w:w="60" w:type="dxa"/>
              <w:bottom w:w="50" w:type="dxa"/>
              <w:right w:w="60" w:type="dxa"/>
            </w:tcMar>
            <w:vAlign w:val="center"/>
          </w:tcPr>
          <w:p w14:paraId="303AF963">
            <w:pPr>
              <w:spacing w:before="0" w:after="0" w:line="240" w:lineRule="auto"/>
              <w:jc w:val="center"/>
            </w:pPr>
            <w:r>
              <w:rPr>
                <w:rFonts w:ascii="Arial" w:hAnsi="Arial" w:eastAsia="Times New Roman"/>
                <w:sz w:val="15"/>
              </w:rPr>
              <w:t>54.5</w:t>
            </w:r>
          </w:p>
        </w:tc>
      </w:tr>
      <w:tr w14:paraId="28E2738A">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2304" w:type="dxa"/>
            <w:tcBorders>
              <w:top w:val="nil"/>
              <w:left w:val="nil"/>
              <w:bottom w:val="nil"/>
              <w:right w:val="nil"/>
            </w:tcBorders>
            <w:tcMar>
              <w:top w:w="50" w:type="dxa"/>
              <w:left w:w="60" w:type="dxa"/>
              <w:bottom w:w="50" w:type="dxa"/>
              <w:right w:w="60" w:type="dxa"/>
            </w:tcMar>
            <w:vAlign w:val="center"/>
          </w:tcPr>
          <w:p w14:paraId="5EDEF1A3">
            <w:pPr>
              <w:spacing w:before="0" w:after="0" w:line="240" w:lineRule="auto"/>
              <w:jc w:val="left"/>
            </w:pPr>
            <w:r>
              <w:rPr>
                <w:rFonts w:ascii="Arial" w:hAnsi="Arial" w:eastAsia="Times New Roman"/>
                <w:sz w:val="15"/>
              </w:rPr>
              <w:t>Revolution CT/1.25-mm subgroup</w:t>
            </w:r>
          </w:p>
        </w:tc>
        <w:tc>
          <w:tcPr>
            <w:tcW w:w="3168" w:type="dxa"/>
            <w:tcBorders>
              <w:top w:val="nil"/>
              <w:left w:val="nil"/>
              <w:bottom w:val="nil"/>
              <w:right w:val="nil"/>
            </w:tcBorders>
            <w:tcMar>
              <w:top w:w="50" w:type="dxa"/>
              <w:left w:w="60" w:type="dxa"/>
              <w:bottom w:w="50" w:type="dxa"/>
              <w:right w:w="60" w:type="dxa"/>
            </w:tcMar>
            <w:vAlign w:val="center"/>
          </w:tcPr>
          <w:p w14:paraId="5EB707D7">
            <w:pPr>
              <w:spacing w:before="0" w:after="0" w:line="240" w:lineRule="auto"/>
              <w:jc w:val="center"/>
            </w:pPr>
            <w:r>
              <w:rPr>
                <w:rFonts w:ascii="Arial" w:hAnsi="Arial" w:eastAsia="Times New Roman"/>
                <w:sz w:val="15"/>
              </w:rPr>
              <w:t>Radiomics LR</w:t>
            </w:r>
          </w:p>
        </w:tc>
        <w:tc>
          <w:tcPr>
            <w:tcW w:w="1252" w:type="dxa"/>
            <w:tcBorders>
              <w:top w:val="nil"/>
              <w:left w:val="nil"/>
              <w:bottom w:val="nil"/>
              <w:right w:val="nil"/>
            </w:tcBorders>
            <w:tcMar>
              <w:top w:w="50" w:type="dxa"/>
              <w:left w:w="60" w:type="dxa"/>
              <w:bottom w:w="50" w:type="dxa"/>
              <w:right w:w="60" w:type="dxa"/>
            </w:tcMar>
            <w:vAlign w:val="center"/>
          </w:tcPr>
          <w:p w14:paraId="51C58E2C">
            <w:pPr>
              <w:spacing w:before="0" w:after="0" w:line="240" w:lineRule="auto"/>
              <w:jc w:val="center"/>
            </w:pPr>
            <w:r>
              <w:rPr>
                <w:rFonts w:ascii="Arial" w:hAnsi="Arial" w:eastAsia="Times New Roman"/>
                <w:sz w:val="15"/>
              </w:rPr>
              <w:t>71.4</w:t>
            </w:r>
          </w:p>
        </w:tc>
        <w:tc>
          <w:tcPr>
            <w:tcW w:w="1252" w:type="dxa"/>
            <w:tcBorders>
              <w:top w:val="nil"/>
              <w:left w:val="nil"/>
              <w:bottom w:val="nil"/>
              <w:right w:val="nil"/>
            </w:tcBorders>
            <w:tcMar>
              <w:top w:w="50" w:type="dxa"/>
              <w:left w:w="60" w:type="dxa"/>
              <w:bottom w:w="50" w:type="dxa"/>
              <w:right w:w="60" w:type="dxa"/>
            </w:tcMar>
            <w:vAlign w:val="center"/>
          </w:tcPr>
          <w:p w14:paraId="5CCAC6D0">
            <w:pPr>
              <w:spacing w:before="0" w:after="0" w:line="240" w:lineRule="auto"/>
              <w:jc w:val="center"/>
            </w:pPr>
            <w:r>
              <w:rPr>
                <w:rFonts w:ascii="Arial" w:hAnsi="Arial" w:eastAsia="Times New Roman"/>
                <w:sz w:val="15"/>
              </w:rPr>
              <w:t>75.0</w:t>
            </w:r>
          </w:p>
        </w:tc>
        <w:tc>
          <w:tcPr>
            <w:tcW w:w="1238" w:type="dxa"/>
            <w:tcBorders>
              <w:top w:val="nil"/>
              <w:left w:val="nil"/>
              <w:bottom w:val="nil"/>
              <w:right w:val="nil"/>
            </w:tcBorders>
            <w:tcMar>
              <w:top w:w="50" w:type="dxa"/>
              <w:left w:w="60" w:type="dxa"/>
              <w:bottom w:w="50" w:type="dxa"/>
              <w:right w:w="60" w:type="dxa"/>
            </w:tcMar>
            <w:vAlign w:val="center"/>
          </w:tcPr>
          <w:p w14:paraId="7C99DDCE">
            <w:pPr>
              <w:spacing w:before="0" w:after="0" w:line="240" w:lineRule="auto"/>
              <w:jc w:val="center"/>
            </w:pPr>
            <w:r>
              <w:rPr>
                <w:rFonts w:ascii="Arial" w:hAnsi="Arial" w:eastAsia="Times New Roman"/>
                <w:sz w:val="15"/>
              </w:rPr>
              <w:t>72.7</w:t>
            </w:r>
          </w:p>
        </w:tc>
      </w:tr>
      <w:tr w14:paraId="0296DD49">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2304" w:type="dxa"/>
            <w:tcBorders>
              <w:top w:val="nil"/>
              <w:left w:val="nil"/>
              <w:bottom w:val="single" w:color="auto" w:sz="4" w:space="0"/>
              <w:right w:val="nil"/>
            </w:tcBorders>
            <w:tcMar>
              <w:top w:w="50" w:type="dxa"/>
              <w:left w:w="60" w:type="dxa"/>
              <w:bottom w:w="50" w:type="dxa"/>
              <w:right w:w="60" w:type="dxa"/>
            </w:tcMar>
            <w:vAlign w:val="center"/>
          </w:tcPr>
          <w:p w14:paraId="2D218497">
            <w:pPr>
              <w:spacing w:before="0" w:after="0" w:line="240" w:lineRule="auto"/>
              <w:jc w:val="left"/>
            </w:pPr>
            <w:r>
              <w:rPr>
                <w:rFonts w:ascii="Arial" w:hAnsi="Arial" w:eastAsia="Times New Roman"/>
                <w:sz w:val="15"/>
              </w:rPr>
              <w:t>Revolution CT/1.25-mm subgroup</w:t>
            </w:r>
          </w:p>
        </w:tc>
        <w:tc>
          <w:tcPr>
            <w:tcW w:w="3168" w:type="dxa"/>
            <w:tcBorders>
              <w:top w:val="nil"/>
              <w:left w:val="nil"/>
              <w:bottom w:val="single" w:color="auto" w:sz="4" w:space="0"/>
              <w:right w:val="nil"/>
            </w:tcBorders>
            <w:tcMar>
              <w:top w:w="50" w:type="dxa"/>
              <w:left w:w="60" w:type="dxa"/>
              <w:bottom w:w="50" w:type="dxa"/>
              <w:right w:w="60" w:type="dxa"/>
            </w:tcMar>
            <w:vAlign w:val="center"/>
          </w:tcPr>
          <w:p w14:paraId="34727C20">
            <w:pPr>
              <w:spacing w:before="0" w:after="0" w:line="240" w:lineRule="auto"/>
              <w:jc w:val="center"/>
            </w:pPr>
            <w:r>
              <w:rPr>
                <w:rFonts w:ascii="Arial" w:hAnsi="Arial" w:eastAsia="Times New Roman"/>
                <w:sz w:val="15"/>
              </w:rPr>
              <w:t>Combined</w:t>
            </w:r>
          </w:p>
        </w:tc>
        <w:tc>
          <w:tcPr>
            <w:tcW w:w="1252" w:type="dxa"/>
            <w:tcBorders>
              <w:top w:val="nil"/>
              <w:left w:val="nil"/>
              <w:bottom w:val="single" w:color="auto" w:sz="4" w:space="0"/>
              <w:right w:val="nil"/>
            </w:tcBorders>
            <w:tcMar>
              <w:top w:w="50" w:type="dxa"/>
              <w:left w:w="60" w:type="dxa"/>
              <w:bottom w:w="50" w:type="dxa"/>
              <w:right w:w="60" w:type="dxa"/>
            </w:tcMar>
            <w:vAlign w:val="center"/>
          </w:tcPr>
          <w:p w14:paraId="366EE830">
            <w:pPr>
              <w:spacing w:before="0" w:after="0" w:line="240" w:lineRule="auto"/>
              <w:jc w:val="center"/>
            </w:pPr>
            <w:r>
              <w:rPr>
                <w:rFonts w:ascii="Arial" w:hAnsi="Arial" w:eastAsia="Times New Roman"/>
                <w:sz w:val="15"/>
              </w:rPr>
              <w:t>85.7</w:t>
            </w:r>
          </w:p>
        </w:tc>
        <w:tc>
          <w:tcPr>
            <w:tcW w:w="1252" w:type="dxa"/>
            <w:tcBorders>
              <w:top w:val="nil"/>
              <w:left w:val="nil"/>
              <w:bottom w:val="single" w:color="auto" w:sz="4" w:space="0"/>
              <w:right w:val="nil"/>
            </w:tcBorders>
            <w:tcMar>
              <w:top w:w="50" w:type="dxa"/>
              <w:left w:w="60" w:type="dxa"/>
              <w:bottom w:w="50" w:type="dxa"/>
              <w:right w:w="60" w:type="dxa"/>
            </w:tcMar>
            <w:vAlign w:val="center"/>
          </w:tcPr>
          <w:p w14:paraId="1C18B816">
            <w:pPr>
              <w:spacing w:before="0" w:after="0" w:line="240" w:lineRule="auto"/>
              <w:jc w:val="center"/>
            </w:pPr>
            <w:r>
              <w:rPr>
                <w:rFonts w:ascii="Arial" w:hAnsi="Arial" w:eastAsia="Times New Roman"/>
                <w:sz w:val="15"/>
              </w:rPr>
              <w:t>50.0</w:t>
            </w:r>
          </w:p>
        </w:tc>
        <w:tc>
          <w:tcPr>
            <w:tcW w:w="1238" w:type="dxa"/>
            <w:tcBorders>
              <w:top w:val="nil"/>
              <w:left w:val="nil"/>
              <w:bottom w:val="single" w:color="auto" w:sz="4" w:space="0"/>
              <w:right w:val="nil"/>
            </w:tcBorders>
            <w:tcMar>
              <w:top w:w="50" w:type="dxa"/>
              <w:left w:w="60" w:type="dxa"/>
              <w:bottom w:w="50" w:type="dxa"/>
              <w:right w:w="60" w:type="dxa"/>
            </w:tcMar>
            <w:vAlign w:val="center"/>
          </w:tcPr>
          <w:p w14:paraId="403B9436">
            <w:pPr>
              <w:spacing w:before="0" w:after="0" w:line="240" w:lineRule="auto"/>
              <w:jc w:val="center"/>
            </w:pPr>
            <w:r>
              <w:rPr>
                <w:rFonts w:ascii="Arial" w:hAnsi="Arial" w:eastAsia="Times New Roman"/>
                <w:sz w:val="15"/>
              </w:rPr>
              <w:t>72.7</w:t>
            </w:r>
          </w:p>
        </w:tc>
      </w:tr>
    </w:tbl>
    <w:p w14:paraId="3AFCD89A">
      <w:pPr>
        <w:pStyle w:val="166"/>
        <w:spacing w:after="80"/>
      </w:pPr>
      <w:r>
        <w:t>All probabilities and cutoffs were unchanged. Values in parentheses in the n column are eNCPH/IAC counts. This small exclusion analysis does not establish scanner robustness; Revolution CT and 1.25-mm reconstruction are completely overlapping exposures.</w:t>
      </w:r>
    </w:p>
    <w:p w14:paraId="257C6FC9">
      <w:pPr>
        <w:pStyle w:val="168"/>
        <w:keepNext/>
        <w:keepLines/>
        <w:spacing w:before="160" w:after="60"/>
      </w:pPr>
      <w:r>
        <w:t>Table S12. Post hoc enhancement benchmark models and evaluation discrimination</w:t>
      </w:r>
    </w:p>
    <w:tbl>
      <w:tblPr>
        <w:tblStyle w:val="33"/>
        <w:tblW w:w="0" w:type="auto"/>
        <w:jc w:val="center"/>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800"/>
        <w:gridCol w:w="4896"/>
        <w:gridCol w:w="2015"/>
      </w:tblGrid>
      <w:tr w14:paraId="5A87E7D2">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PrEx>
        <w:trPr>
          <w:cantSplit/>
          <w:tblHeader w:val="true"/>
          <w:jc w:val="center"/>
        </w:trPr>
        <w:tc>
          <w:tcPr>
            <w:tcW w:w="2160" w:type="dxa"/>
            <w:tcBorders>
              <w:top w:val="single" w:color="000000" w:sz="12" w:space="0"/>
              <w:left w:val="nil"/>
              <w:bottom w:val="single" w:color="000000" w:sz="6" w:space="0"/>
              <w:right w:val="nil"/>
            </w:tcBorders>
            <w:shd w:val="clear" w:color="auto" w:fill="D9EAF3"/>
            <w:tcMar>
              <w:top w:w="50" w:type="dxa"/>
              <w:left w:w="60" w:type="dxa"/>
              <w:bottom w:w="50" w:type="dxa"/>
              <w:right w:w="60" w:type="dxa"/>
            </w:tcMar>
            <w:vAlign w:val="center"/>
          </w:tcPr>
          <w:p w14:paraId="18A6C0AC">
            <w:pPr>
              <w:spacing w:before="0" w:after="0" w:line="240" w:lineRule="auto"/>
              <w:jc w:val="center"/>
            </w:pPr>
            <w:r>
              <w:rPr>
                <w:rFonts w:ascii="Arial" w:hAnsi="Arial" w:eastAsia="Times New Roman"/>
                <w:b/>
                <w:sz w:val="15"/>
              </w:rPr>
              <w:t>Model</w:t>
            </w:r>
          </w:p>
        </w:tc>
        <w:tc>
          <w:tcPr>
            <w:tcW w:w="4464" w:type="dxa"/>
            <w:tcBorders>
              <w:top w:val="single" w:color="000000" w:sz="12" w:space="0"/>
              <w:left w:val="nil"/>
              <w:bottom w:val="single" w:color="000000" w:sz="6" w:space="0"/>
              <w:right w:val="nil"/>
            </w:tcBorders>
            <w:shd w:val="clear" w:color="auto" w:fill="D9EAF3"/>
            <w:tcMar>
              <w:top w:w="50" w:type="dxa"/>
              <w:left w:w="60" w:type="dxa"/>
              <w:bottom w:w="50" w:type="dxa"/>
              <w:right w:w="60" w:type="dxa"/>
            </w:tcMar>
            <w:vAlign w:val="center"/>
          </w:tcPr>
          <w:p w14:paraId="07A3C5C6">
            <w:pPr>
              <w:spacing w:before="0" w:after="0" w:line="240" w:lineRule="auto"/>
              <w:jc w:val="center"/>
            </w:pPr>
            <w:r>
              <w:rPr>
                <w:rFonts w:ascii="Arial" w:hAnsi="Arial" w:eastAsia="Times New Roman"/>
                <w:b/>
                <w:sz w:val="15"/>
              </w:rPr>
              <w:t>Development-cohort specification</w:t>
            </w:r>
          </w:p>
        </w:tc>
        <w:tc>
          <w:tcPr>
            <w:tcW w:w="2592" w:type="dxa"/>
            <w:tcBorders>
              <w:top w:val="single" w:color="000000" w:sz="12" w:space="0"/>
              <w:left w:val="nil"/>
              <w:bottom w:val="single" w:color="000000" w:sz="6" w:space="0"/>
              <w:right w:val="nil"/>
            </w:tcBorders>
            <w:shd w:val="clear" w:color="auto" w:fill="D9EAF3"/>
            <w:tcMar>
              <w:top w:w="50" w:type="dxa"/>
              <w:left w:w="60" w:type="dxa"/>
              <w:bottom w:w="50" w:type="dxa"/>
              <w:right w:w="60" w:type="dxa"/>
            </w:tcMar>
            <w:vAlign w:val="center"/>
          </w:tcPr>
          <w:p w14:paraId="4FC9CBCA">
            <w:pPr>
              <w:spacing w:before="0" w:after="0" w:line="240" w:lineRule="auto"/>
              <w:jc w:val="center"/>
            </w:pPr>
            <w:r>
              <w:rPr>
                <w:rFonts w:ascii="Times New Roman" w:hAnsi="Times New Roman" w:eastAsia="Times New Roman"/>
                <w:b/>
                <w:sz w:val="15"/>
              </w:rPr>
              <w:t>Second-look internal-evaluation AUC (95% CI)</w:t>
            </w:r>
          </w:p>
        </w:tc>
      </w:tr>
      <w:tr w14:paraId="7B17A5B5">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2160" w:type="dxa"/>
            <w:tcBorders>
              <w:top w:val="nil"/>
              <w:left w:val="nil"/>
              <w:bottom w:val="nil"/>
              <w:right w:val="nil"/>
            </w:tcBorders>
            <w:tcMar>
              <w:top w:w="50" w:type="dxa"/>
              <w:left w:w="60" w:type="dxa"/>
              <w:bottom w:w="50" w:type="dxa"/>
              <w:right w:w="60" w:type="dxa"/>
            </w:tcMar>
            <w:vAlign w:val="center"/>
          </w:tcPr>
          <w:p w14:paraId="010CF035">
            <w:pPr>
              <w:spacing w:before="0" w:after="0" w:line="240" w:lineRule="auto"/>
              <w:jc w:val="left"/>
            </w:pPr>
            <w:r>
              <w:rPr>
                <w:rFonts w:ascii="Arial" w:hAnsi="Arial" w:eastAsia="Times New Roman"/>
                <w:sz w:val="15"/>
              </w:rPr>
              <w:t>Enhancement-only</w:t>
            </w:r>
          </w:p>
        </w:tc>
        <w:tc>
          <w:tcPr>
            <w:tcW w:w="4464" w:type="dxa"/>
            <w:tcBorders>
              <w:top w:val="nil"/>
              <w:left w:val="nil"/>
              <w:bottom w:val="nil"/>
              <w:right w:val="nil"/>
            </w:tcBorders>
            <w:tcMar>
              <w:top w:w="50" w:type="dxa"/>
              <w:left w:w="60" w:type="dxa"/>
              <w:bottom w:w="50" w:type="dxa"/>
              <w:right w:w="60" w:type="dxa"/>
            </w:tcMar>
            <w:vAlign w:val="center"/>
          </w:tcPr>
          <w:p w14:paraId="30E5DF1A">
            <w:pPr>
              <w:spacing w:before="0" w:after="0" w:line="240" w:lineRule="auto"/>
              <w:jc w:val="center"/>
            </w:pPr>
            <w:r>
              <w:rPr>
                <w:rFonts w:ascii="Arial" w:hAnsi="Arial" w:eastAsia="Times New Roman"/>
                <w:sz w:val="15"/>
              </w:rPr>
              <w:t>logit[P(IAC)] = -1.679028 + 0.619007 × enhancement/10 HU</w:t>
            </w:r>
          </w:p>
        </w:tc>
        <w:tc>
          <w:tcPr>
            <w:tcW w:w="2592" w:type="dxa"/>
            <w:tcBorders>
              <w:top w:val="nil"/>
              <w:left w:val="nil"/>
              <w:bottom w:val="nil"/>
              <w:right w:val="nil"/>
            </w:tcBorders>
            <w:tcMar>
              <w:top w:w="50" w:type="dxa"/>
              <w:left w:w="60" w:type="dxa"/>
              <w:bottom w:w="50" w:type="dxa"/>
              <w:right w:w="60" w:type="dxa"/>
            </w:tcMar>
            <w:vAlign w:val="center"/>
          </w:tcPr>
          <w:p w14:paraId="3DD4DC8A">
            <w:pPr>
              <w:spacing w:before="0" w:after="0" w:line="240" w:lineRule="auto"/>
              <w:jc w:val="center"/>
            </w:pPr>
            <w:r>
              <w:rPr>
                <w:rFonts w:ascii="Arial" w:hAnsi="Arial" w:eastAsia="Times New Roman"/>
                <w:sz w:val="15"/>
              </w:rPr>
              <w:t>0.584 (0.364–0.804)</w:t>
            </w:r>
          </w:p>
        </w:tc>
      </w:tr>
      <w:tr w14:paraId="086581DF">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2160" w:type="dxa"/>
            <w:tcBorders>
              <w:top w:val="nil"/>
              <w:left w:val="nil"/>
              <w:bottom w:val="nil"/>
              <w:right w:val="nil"/>
            </w:tcBorders>
            <w:tcMar>
              <w:top w:w="50" w:type="dxa"/>
              <w:left w:w="60" w:type="dxa"/>
              <w:bottom w:w="50" w:type="dxa"/>
              <w:right w:w="60" w:type="dxa"/>
            </w:tcMar>
            <w:vAlign w:val="center"/>
          </w:tcPr>
          <w:p w14:paraId="72457331">
            <w:pPr>
              <w:spacing w:before="0" w:after="0" w:line="240" w:lineRule="auto"/>
              <w:jc w:val="left"/>
            </w:pPr>
            <w:r>
              <w:rPr>
                <w:rFonts w:ascii="Arial" w:hAnsi="Arial" w:eastAsia="Times New Roman"/>
                <w:sz w:val="15"/>
              </w:rPr>
              <w:t>Pleural indentation + enhancement</w:t>
            </w:r>
          </w:p>
        </w:tc>
        <w:tc>
          <w:tcPr>
            <w:tcW w:w="4464" w:type="dxa"/>
            <w:tcBorders>
              <w:top w:val="nil"/>
              <w:left w:val="nil"/>
              <w:bottom w:val="nil"/>
              <w:right w:val="nil"/>
            </w:tcBorders>
            <w:tcMar>
              <w:top w:w="50" w:type="dxa"/>
              <w:left w:w="60" w:type="dxa"/>
              <w:bottom w:w="50" w:type="dxa"/>
              <w:right w:w="60" w:type="dxa"/>
            </w:tcMar>
            <w:vAlign w:val="center"/>
          </w:tcPr>
          <w:p w14:paraId="372F238A">
            <w:pPr>
              <w:spacing w:before="0" w:after="0" w:line="240" w:lineRule="auto"/>
              <w:jc w:val="center"/>
            </w:pPr>
            <w:r>
              <w:rPr>
                <w:rFonts w:ascii="Arial" w:hAnsi="Arial" w:eastAsia="Times New Roman"/>
                <w:sz w:val="15"/>
              </w:rPr>
              <w:t>logit[P(IAC)] = -2.770437 + 2.695683 × PI + 0.506964 × enhancement/10 HU</w:t>
            </w:r>
          </w:p>
        </w:tc>
        <w:tc>
          <w:tcPr>
            <w:tcW w:w="2592" w:type="dxa"/>
            <w:tcBorders>
              <w:top w:val="nil"/>
              <w:left w:val="nil"/>
              <w:bottom w:val="nil"/>
              <w:right w:val="nil"/>
            </w:tcBorders>
            <w:tcMar>
              <w:top w:w="50" w:type="dxa"/>
              <w:left w:w="60" w:type="dxa"/>
              <w:bottom w:w="50" w:type="dxa"/>
              <w:right w:w="60" w:type="dxa"/>
            </w:tcMar>
            <w:vAlign w:val="center"/>
          </w:tcPr>
          <w:p w14:paraId="2CA382E2">
            <w:pPr>
              <w:spacing w:before="0" w:after="0" w:line="240" w:lineRule="auto"/>
              <w:jc w:val="center"/>
            </w:pPr>
            <w:r>
              <w:rPr>
                <w:rFonts w:ascii="Arial" w:hAnsi="Arial" w:eastAsia="Times New Roman"/>
                <w:sz w:val="15"/>
              </w:rPr>
              <w:t>0.678 (0.471–0.885)</w:t>
            </w:r>
          </w:p>
        </w:tc>
      </w:tr>
      <w:tr w14:paraId="75B8C6B9">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2160" w:type="dxa"/>
            <w:tcBorders>
              <w:top w:val="nil"/>
              <w:left w:val="nil"/>
              <w:bottom w:val="single" w:color="auto" w:sz="4" w:space="0"/>
              <w:right w:val="nil"/>
            </w:tcBorders>
            <w:tcMar>
              <w:top w:w="50" w:type="dxa"/>
              <w:left w:w="60" w:type="dxa"/>
              <w:bottom w:w="50" w:type="dxa"/>
              <w:right w:w="60" w:type="dxa"/>
            </w:tcMar>
            <w:vAlign w:val="center"/>
          </w:tcPr>
          <w:p w14:paraId="42F2DCAE">
            <w:pPr>
              <w:spacing w:before="0" w:after="0" w:line="240" w:lineRule="auto"/>
              <w:jc w:val="left"/>
            </w:pPr>
            <w:r>
              <w:rPr>
                <w:rFonts w:ascii="Arial" w:hAnsi="Arial" w:eastAsia="Times New Roman"/>
                <w:sz w:val="15"/>
              </w:rPr>
              <w:t>Standalone radiomics LR</w:t>
            </w:r>
          </w:p>
        </w:tc>
        <w:tc>
          <w:tcPr>
            <w:tcW w:w="4464" w:type="dxa"/>
            <w:tcBorders>
              <w:top w:val="nil"/>
              <w:left w:val="nil"/>
              <w:bottom w:val="single" w:color="auto" w:sz="4" w:space="0"/>
              <w:right w:val="nil"/>
            </w:tcBorders>
            <w:tcMar>
              <w:top w:w="50" w:type="dxa"/>
              <w:left w:w="60" w:type="dxa"/>
              <w:bottom w:w="50" w:type="dxa"/>
              <w:right w:w="60" w:type="dxa"/>
            </w:tcMar>
            <w:vAlign w:val="center"/>
          </w:tcPr>
          <w:p w14:paraId="47D44113">
            <w:pPr>
              <w:spacing w:before="0" w:after="0" w:line="240" w:lineRule="auto"/>
              <w:jc w:val="center"/>
            </w:pPr>
            <w:r>
              <w:rPr>
                <w:rFonts w:ascii="Arial" w:hAnsi="Arial" w:eastAsia="Times New Roman"/>
                <w:sz w:val="15"/>
              </w:rPr>
              <w:t>Frozen full-66 eight-feature LR (Table S7)</w:t>
            </w:r>
          </w:p>
        </w:tc>
        <w:tc>
          <w:tcPr>
            <w:tcW w:w="2592" w:type="dxa"/>
            <w:tcBorders>
              <w:top w:val="nil"/>
              <w:left w:val="nil"/>
              <w:bottom w:val="single" w:color="auto" w:sz="4" w:space="0"/>
              <w:right w:val="nil"/>
            </w:tcBorders>
            <w:tcMar>
              <w:top w:w="50" w:type="dxa"/>
              <w:left w:w="60" w:type="dxa"/>
              <w:bottom w:w="50" w:type="dxa"/>
              <w:right w:w="60" w:type="dxa"/>
            </w:tcMar>
            <w:vAlign w:val="center"/>
          </w:tcPr>
          <w:p w14:paraId="43D6897C">
            <w:pPr>
              <w:spacing w:before="0" w:after="0" w:line="240" w:lineRule="auto"/>
              <w:jc w:val="center"/>
            </w:pPr>
            <w:r>
              <w:rPr>
                <w:rFonts w:ascii="Arial" w:hAnsi="Arial" w:eastAsia="Times New Roman"/>
                <w:sz w:val="15"/>
              </w:rPr>
              <w:t>0.769 (0.583–0.955)</w:t>
            </w:r>
          </w:p>
        </w:tc>
      </w:tr>
    </w:tbl>
    <w:p w14:paraId="0D4CA5F8">
      <w:pPr>
        <w:pStyle w:val="168"/>
        <w:keepNext/>
        <w:keepLines/>
        <w:spacing w:before="160" w:after="60"/>
      </w:pPr>
      <w:r>
        <w:rPr>
          <w:rFonts w:ascii="Times New Roman" w:hAnsi="Times New Roman"/>
          <w:b/>
          <w:sz w:val="20"/>
        </w:rPr>
        <w:t>Table S12 (continued). Paired DeLong comparisons with standalone radiomics LR</w:t>
      </w:r>
    </w:p>
    <w:tbl>
      <w:tblPr>
        <w:tblStyle w:val="33"/>
        <w:tblW w:w="0" w:type="auto"/>
        <w:jc w:val="center"/>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888"/>
        <w:gridCol w:w="2304"/>
        <w:gridCol w:w="1152"/>
        <w:gridCol w:w="1368"/>
      </w:tblGrid>
      <w:tr w14:paraId="3C3B10F8">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tblHeader w:val="true"/>
          <w:jc w:val="center"/>
        </w:trPr>
        <w:tc>
          <w:tcPr>
            <w:tcW w:w="5328" w:type="dxa"/>
            <w:tcBorders>
              <w:top w:val="single" w:color="000000" w:sz="12" w:space="0"/>
              <w:left w:val="nil"/>
              <w:bottom w:val="single" w:color="000000" w:sz="6" w:space="0"/>
              <w:right w:val="nil"/>
            </w:tcBorders>
            <w:shd w:val="clear" w:color="auto" w:fill="D9EAF3"/>
            <w:tcMar>
              <w:top w:w="50" w:type="dxa"/>
              <w:left w:w="60" w:type="dxa"/>
              <w:bottom w:w="50" w:type="dxa"/>
              <w:right w:w="60" w:type="dxa"/>
            </w:tcMar>
            <w:vAlign w:val="center"/>
          </w:tcPr>
          <w:p w14:paraId="5960033B">
            <w:pPr>
              <w:spacing w:before="0" w:after="0" w:line="240" w:lineRule="auto"/>
              <w:jc w:val="center"/>
            </w:pPr>
            <w:r>
              <w:rPr>
                <w:rFonts w:ascii="Arial" w:hAnsi="Arial" w:eastAsia="Times New Roman"/>
                <w:b/>
                <w:sz w:val="15"/>
              </w:rPr>
              <w:t>Comparison</w:t>
            </w:r>
          </w:p>
        </w:tc>
        <w:tc>
          <w:tcPr>
            <w:tcW w:w="1728" w:type="dxa"/>
            <w:tcBorders>
              <w:top w:val="single" w:color="000000" w:sz="12" w:space="0"/>
              <w:left w:val="nil"/>
              <w:bottom w:val="single" w:color="000000" w:sz="6" w:space="0"/>
              <w:right w:val="nil"/>
            </w:tcBorders>
            <w:shd w:val="clear" w:color="auto" w:fill="D9EAF3"/>
            <w:tcMar>
              <w:top w:w="50" w:type="dxa"/>
              <w:left w:w="60" w:type="dxa"/>
              <w:bottom w:w="50" w:type="dxa"/>
              <w:right w:w="60" w:type="dxa"/>
            </w:tcMar>
            <w:vAlign w:val="center"/>
          </w:tcPr>
          <w:p w14:paraId="7BDB0CC6">
            <w:pPr>
              <w:spacing w:before="0" w:after="0" w:line="240" w:lineRule="auto"/>
              <w:jc w:val="center"/>
            </w:pPr>
            <w:r>
              <w:rPr>
                <w:rFonts w:ascii="Arial" w:hAnsi="Arial" w:eastAsia="Times New Roman"/>
                <w:b/>
                <w:sz w:val="15"/>
              </w:rPr>
              <w:t>AUC difference (benchmark − radiomics)</w:t>
            </w:r>
          </w:p>
        </w:tc>
        <w:tc>
          <w:tcPr>
            <w:tcW w:w="1080" w:type="dxa"/>
            <w:tcBorders>
              <w:top w:val="single" w:color="000000" w:sz="12" w:space="0"/>
              <w:left w:val="nil"/>
              <w:bottom w:val="single" w:color="000000" w:sz="6" w:space="0"/>
              <w:right w:val="nil"/>
            </w:tcBorders>
            <w:shd w:val="clear" w:color="auto" w:fill="D9EAF3"/>
            <w:tcMar>
              <w:top w:w="50" w:type="dxa"/>
              <w:left w:w="60" w:type="dxa"/>
              <w:bottom w:w="50" w:type="dxa"/>
              <w:right w:w="60" w:type="dxa"/>
            </w:tcMar>
            <w:vAlign w:val="center"/>
          </w:tcPr>
          <w:p w14:paraId="5610996F">
            <w:pPr>
              <w:spacing w:before="0" w:after="0" w:line="240" w:lineRule="auto"/>
              <w:jc w:val="center"/>
            </w:pPr>
            <w:r>
              <w:rPr>
                <w:rFonts w:ascii="Arial" w:hAnsi="Arial" w:eastAsia="Times New Roman"/>
                <w:b/>
                <w:sz w:val="15"/>
              </w:rPr>
              <w:t>Raw P</w:t>
            </w:r>
          </w:p>
        </w:tc>
        <w:tc>
          <w:tcPr>
            <w:tcW w:w="1080" w:type="dxa"/>
            <w:tcBorders>
              <w:top w:val="single" w:color="000000" w:sz="12" w:space="0"/>
              <w:left w:val="nil"/>
              <w:bottom w:val="single" w:color="000000" w:sz="6" w:space="0"/>
              <w:right w:val="nil"/>
            </w:tcBorders>
            <w:shd w:val="clear" w:color="auto" w:fill="D9EAF3"/>
            <w:tcMar>
              <w:top w:w="50" w:type="dxa"/>
              <w:left w:w="60" w:type="dxa"/>
              <w:bottom w:w="50" w:type="dxa"/>
              <w:right w:w="60" w:type="dxa"/>
            </w:tcMar>
            <w:vAlign w:val="center"/>
          </w:tcPr>
          <w:p w14:paraId="4AD19C00">
            <w:pPr>
              <w:spacing w:before="0" w:after="0" w:line="240" w:lineRule="auto"/>
              <w:jc w:val="center"/>
            </w:pPr>
            <w:r>
              <w:rPr>
                <w:rFonts w:ascii="Arial" w:hAnsi="Arial" w:eastAsia="Times New Roman"/>
                <w:b/>
                <w:sz w:val="15"/>
              </w:rPr>
              <w:t>Holm P</w:t>
            </w:r>
          </w:p>
        </w:tc>
      </w:tr>
      <w:tr w14:paraId="018014E5">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5328" w:type="dxa"/>
            <w:tcBorders>
              <w:top w:val="nil"/>
              <w:left w:val="nil"/>
              <w:bottom w:val="nil"/>
              <w:right w:val="nil"/>
            </w:tcBorders>
            <w:tcMar>
              <w:top w:w="50" w:type="dxa"/>
              <w:left w:w="60" w:type="dxa"/>
              <w:bottom w:w="50" w:type="dxa"/>
              <w:right w:w="60" w:type="dxa"/>
            </w:tcMar>
            <w:vAlign w:val="center"/>
          </w:tcPr>
          <w:p w14:paraId="2BCB5F98">
            <w:pPr>
              <w:spacing w:before="0" w:after="0" w:line="240" w:lineRule="auto"/>
              <w:jc w:val="left"/>
            </w:pPr>
            <w:r>
              <w:rPr>
                <w:rFonts w:ascii="Arial" w:hAnsi="Arial" w:eastAsia="Times New Roman"/>
                <w:sz w:val="15"/>
              </w:rPr>
              <w:t>Enhancement-only vs radiomics LR</w:t>
            </w:r>
          </w:p>
        </w:tc>
        <w:tc>
          <w:tcPr>
            <w:tcW w:w="1728" w:type="dxa"/>
            <w:tcBorders>
              <w:top w:val="nil"/>
              <w:left w:val="nil"/>
              <w:bottom w:val="nil"/>
              <w:right w:val="nil"/>
            </w:tcBorders>
            <w:tcMar>
              <w:top w:w="50" w:type="dxa"/>
              <w:left w:w="60" w:type="dxa"/>
              <w:bottom w:w="50" w:type="dxa"/>
              <w:right w:w="60" w:type="dxa"/>
            </w:tcMar>
            <w:vAlign w:val="center"/>
          </w:tcPr>
          <w:p w14:paraId="6E4B452E">
            <w:pPr>
              <w:spacing w:before="0" w:after="0" w:line="240" w:lineRule="auto"/>
              <w:jc w:val="center"/>
            </w:pPr>
            <w:r>
              <w:rPr>
                <w:rFonts w:ascii="Arial" w:hAnsi="Arial" w:eastAsia="Times New Roman"/>
                <w:sz w:val="15"/>
              </w:rPr>
              <w:t>-0.185</w:t>
            </w:r>
          </w:p>
        </w:tc>
        <w:tc>
          <w:tcPr>
            <w:tcW w:w="1080" w:type="dxa"/>
            <w:tcBorders>
              <w:top w:val="nil"/>
              <w:left w:val="nil"/>
              <w:bottom w:val="nil"/>
              <w:right w:val="nil"/>
            </w:tcBorders>
            <w:tcMar>
              <w:top w:w="50" w:type="dxa"/>
              <w:left w:w="60" w:type="dxa"/>
              <w:bottom w:w="50" w:type="dxa"/>
              <w:right w:w="60" w:type="dxa"/>
            </w:tcMar>
            <w:vAlign w:val="center"/>
          </w:tcPr>
          <w:p w14:paraId="03B472BA">
            <w:pPr>
              <w:spacing w:before="0" w:after="0" w:line="240" w:lineRule="auto"/>
              <w:jc w:val="center"/>
            </w:pPr>
            <w:r>
              <w:rPr>
                <w:rFonts w:ascii="Arial" w:hAnsi="Arial" w:eastAsia="Times New Roman"/>
                <w:sz w:val="15"/>
              </w:rPr>
              <w:t>0.129</w:t>
            </w:r>
          </w:p>
        </w:tc>
        <w:tc>
          <w:tcPr>
            <w:tcW w:w="1080" w:type="dxa"/>
            <w:tcBorders>
              <w:top w:val="nil"/>
              <w:left w:val="nil"/>
              <w:bottom w:val="nil"/>
              <w:right w:val="nil"/>
            </w:tcBorders>
            <w:tcMar>
              <w:top w:w="50" w:type="dxa"/>
              <w:left w:w="60" w:type="dxa"/>
              <w:bottom w:w="50" w:type="dxa"/>
              <w:right w:w="60" w:type="dxa"/>
            </w:tcMar>
            <w:vAlign w:val="center"/>
          </w:tcPr>
          <w:p w14:paraId="15F68478">
            <w:pPr>
              <w:spacing w:before="0" w:after="0" w:line="240" w:lineRule="auto"/>
              <w:jc w:val="center"/>
            </w:pPr>
            <w:r>
              <w:rPr>
                <w:rFonts w:ascii="Arial" w:hAnsi="Arial" w:eastAsia="Times New Roman"/>
                <w:sz w:val="15"/>
              </w:rPr>
              <w:t>0.257</w:t>
            </w:r>
          </w:p>
        </w:tc>
      </w:tr>
      <w:tr w14:paraId="6311B047">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5328" w:type="dxa"/>
            <w:tcBorders>
              <w:top w:val="nil"/>
              <w:left w:val="nil"/>
              <w:bottom w:val="single" w:color="auto" w:sz="4" w:space="0"/>
              <w:right w:val="nil"/>
            </w:tcBorders>
            <w:tcMar>
              <w:top w:w="50" w:type="dxa"/>
              <w:left w:w="60" w:type="dxa"/>
              <w:bottom w:w="50" w:type="dxa"/>
              <w:right w:w="60" w:type="dxa"/>
            </w:tcMar>
            <w:vAlign w:val="center"/>
          </w:tcPr>
          <w:p w14:paraId="27BB83E4">
            <w:pPr>
              <w:spacing w:before="0" w:after="0" w:line="240" w:lineRule="auto"/>
              <w:jc w:val="left"/>
            </w:pPr>
            <w:r>
              <w:rPr>
                <w:rFonts w:ascii="Arial" w:hAnsi="Arial" w:eastAsia="Times New Roman"/>
                <w:sz w:val="15"/>
              </w:rPr>
              <w:t>PI + enhancement vs radiomics LR</w:t>
            </w:r>
          </w:p>
        </w:tc>
        <w:tc>
          <w:tcPr>
            <w:tcW w:w="1728" w:type="dxa"/>
            <w:tcBorders>
              <w:top w:val="nil"/>
              <w:left w:val="nil"/>
              <w:bottom w:val="single" w:color="auto" w:sz="4" w:space="0"/>
              <w:right w:val="nil"/>
            </w:tcBorders>
            <w:tcMar>
              <w:top w:w="50" w:type="dxa"/>
              <w:left w:w="60" w:type="dxa"/>
              <w:bottom w:w="50" w:type="dxa"/>
              <w:right w:w="60" w:type="dxa"/>
            </w:tcMar>
            <w:vAlign w:val="center"/>
          </w:tcPr>
          <w:p w14:paraId="27A63E1C">
            <w:pPr>
              <w:spacing w:before="0" w:after="0" w:line="240" w:lineRule="auto"/>
              <w:jc w:val="center"/>
            </w:pPr>
            <w:r>
              <w:rPr>
                <w:rFonts w:ascii="Arial" w:hAnsi="Arial" w:eastAsia="Times New Roman"/>
                <w:sz w:val="15"/>
              </w:rPr>
              <w:t>-0.091</w:t>
            </w:r>
          </w:p>
        </w:tc>
        <w:tc>
          <w:tcPr>
            <w:tcW w:w="1080" w:type="dxa"/>
            <w:tcBorders>
              <w:top w:val="nil"/>
              <w:left w:val="nil"/>
              <w:bottom w:val="single" w:color="auto" w:sz="4" w:space="0"/>
              <w:right w:val="nil"/>
            </w:tcBorders>
            <w:tcMar>
              <w:top w:w="50" w:type="dxa"/>
              <w:left w:w="60" w:type="dxa"/>
              <w:bottom w:w="50" w:type="dxa"/>
              <w:right w:w="60" w:type="dxa"/>
            </w:tcMar>
            <w:vAlign w:val="center"/>
          </w:tcPr>
          <w:p w14:paraId="2329B974">
            <w:pPr>
              <w:spacing w:before="0" w:after="0" w:line="240" w:lineRule="auto"/>
              <w:jc w:val="center"/>
            </w:pPr>
            <w:r>
              <w:rPr>
                <w:rFonts w:ascii="Arial" w:hAnsi="Arial" w:eastAsia="Times New Roman"/>
                <w:sz w:val="15"/>
              </w:rPr>
              <w:t>0.498</w:t>
            </w:r>
          </w:p>
        </w:tc>
        <w:tc>
          <w:tcPr>
            <w:tcW w:w="1080" w:type="dxa"/>
            <w:tcBorders>
              <w:top w:val="nil"/>
              <w:left w:val="nil"/>
              <w:bottom w:val="single" w:color="auto" w:sz="4" w:space="0"/>
              <w:right w:val="nil"/>
            </w:tcBorders>
            <w:tcMar>
              <w:top w:w="50" w:type="dxa"/>
              <w:left w:w="60" w:type="dxa"/>
              <w:bottom w:w="50" w:type="dxa"/>
              <w:right w:w="60" w:type="dxa"/>
            </w:tcMar>
            <w:vAlign w:val="center"/>
          </w:tcPr>
          <w:p w14:paraId="65F282F6">
            <w:pPr>
              <w:spacing w:before="0" w:after="0" w:line="240" w:lineRule="auto"/>
              <w:jc w:val="center"/>
            </w:pPr>
            <w:r>
              <w:rPr>
                <w:rFonts w:ascii="Arial" w:hAnsi="Arial" w:eastAsia="Times New Roman"/>
                <w:sz w:val="15"/>
              </w:rPr>
              <w:t>0.498</w:t>
            </w:r>
          </w:p>
        </w:tc>
      </w:tr>
    </w:tbl>
    <w:p w14:paraId="6CA1A75E">
      <w:pPr>
        <w:pStyle w:val="166"/>
        <w:spacing w:after="80"/>
      </w:pPr>
      <w:r>
        <w:t>The two comparisons form a separate post hoc family. Holm adjustment was restricted to these two tests and did not alter the three primary model comparisons in Table S3. No evaluation threshold was selected for either benchmark.</w:t>
      </w:r>
    </w:p>
    <w:p w14:paraId="2489531C">
      <w:pPr>
        <w:pStyle w:val="168"/>
        <w:keepNext/>
        <w:keepLines/>
        <w:spacing w:before="160" w:after="60"/>
      </w:pPr>
      <w:r>
        <w:t>Table S13. Approximate minimum detectable paired AUC differences in the 29-case second-look internal-evaluation cohort</w:t>
      </w:r>
    </w:p>
    <w:tbl>
      <w:tblPr>
        <w:tblStyle w:val="33"/>
        <w:tblW w:w="0" w:type="auto"/>
        <w:jc w:val="center"/>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535"/>
        <w:gridCol w:w="1535"/>
        <w:gridCol w:w="1535"/>
        <w:gridCol w:w="1535"/>
        <w:gridCol w:w="1535"/>
        <w:gridCol w:w="1535"/>
      </w:tblGrid>
      <w:tr w14:paraId="07F0FAF1">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tblHeader w:val="true"/>
          <w:jc w:val="center"/>
        </w:trPr>
        <w:tc>
          <w:tcPr>
            <w:tcW w:w="3528" w:type="dxa"/>
            <w:tcBorders>
              <w:top w:val="single" w:color="000000" w:sz="12" w:space="0"/>
              <w:left w:val="nil"/>
              <w:bottom w:val="single" w:color="000000" w:sz="6" w:space="0"/>
              <w:right w:val="nil"/>
            </w:tcBorders>
            <w:shd w:val="clear" w:color="auto" w:fill="D9EAF3"/>
            <w:vAlign w:val="center"/>
          </w:tcPr>
          <w:p w14:paraId="029CE803">
            <w:pPr>
              <w:spacing w:before="0" w:after="0" w:line="240" w:lineRule="auto"/>
              <w:jc w:val="center"/>
            </w:pPr>
            <w:r>
              <w:rPr>
                <w:rFonts w:ascii="Arial" w:hAnsi="Arial"/>
                <w:b/>
                <w:sz w:val="15"/>
              </w:rPr>
              <w:t>Comparison</w:t>
            </w:r>
          </w:p>
        </w:tc>
        <w:tc>
          <w:tcPr>
            <w:tcW w:w="1152" w:type="dxa"/>
            <w:tcBorders>
              <w:top w:val="single" w:color="000000" w:sz="12" w:space="0"/>
              <w:left w:val="nil"/>
              <w:bottom w:val="single" w:color="000000" w:sz="6" w:space="0"/>
              <w:right w:val="nil"/>
            </w:tcBorders>
            <w:shd w:val="clear" w:color="auto" w:fill="D9EAF3"/>
            <w:vAlign w:val="center"/>
          </w:tcPr>
          <w:p w14:paraId="43ECB401">
            <w:pPr>
              <w:spacing w:before="0" w:after="0" w:line="240" w:lineRule="auto"/>
              <w:jc w:val="center"/>
            </w:pPr>
            <w:r>
              <w:rPr>
                <w:rFonts w:ascii="Arial" w:hAnsi="Arial"/>
                <w:b/>
                <w:sz w:val="15"/>
              </w:rPr>
              <w:t>Reference AUC</w:t>
            </w:r>
          </w:p>
        </w:tc>
        <w:tc>
          <w:tcPr>
            <w:tcW w:w="1152" w:type="dxa"/>
            <w:tcBorders>
              <w:top w:val="single" w:color="000000" w:sz="12" w:space="0"/>
              <w:left w:val="nil"/>
              <w:bottom w:val="single" w:color="000000" w:sz="6" w:space="0"/>
              <w:right w:val="nil"/>
            </w:tcBorders>
            <w:shd w:val="clear" w:color="auto" w:fill="D9EAF3"/>
            <w:vAlign w:val="center"/>
          </w:tcPr>
          <w:p w14:paraId="4216F21B">
            <w:pPr>
              <w:spacing w:before="0" w:after="0" w:line="240" w:lineRule="auto"/>
              <w:jc w:val="center"/>
            </w:pPr>
            <w:r>
              <w:rPr>
                <w:rFonts w:ascii="Arial" w:hAnsi="Arial"/>
                <w:b/>
                <w:sz w:val="15"/>
              </w:rPr>
              <w:t>Comparison AUC</w:t>
            </w:r>
          </w:p>
        </w:tc>
        <w:tc>
          <w:tcPr>
            <w:tcW w:w="1152" w:type="dxa"/>
            <w:tcBorders>
              <w:top w:val="single" w:color="000000" w:sz="12" w:space="0"/>
              <w:left w:val="nil"/>
              <w:bottom w:val="single" w:color="000000" w:sz="6" w:space="0"/>
              <w:right w:val="nil"/>
            </w:tcBorders>
            <w:shd w:val="clear" w:color="auto" w:fill="D9EAF3"/>
            <w:vAlign w:val="center"/>
          </w:tcPr>
          <w:p w14:paraId="7AB80687">
            <w:pPr>
              <w:spacing w:before="0" w:after="0" w:line="240" w:lineRule="auto"/>
              <w:jc w:val="center"/>
            </w:pPr>
            <w:r>
              <w:rPr>
                <w:rFonts w:ascii="Arial" w:hAnsi="Arial"/>
                <w:b/>
                <w:sz w:val="15"/>
              </w:rPr>
              <w:t>Observed ΔAUC</w:t>
            </w:r>
          </w:p>
        </w:tc>
        <w:tc>
          <w:tcPr>
            <w:tcW w:w="1296" w:type="dxa"/>
            <w:tcBorders>
              <w:top w:val="single" w:color="000000" w:sz="12" w:space="0"/>
              <w:left w:val="nil"/>
              <w:bottom w:val="single" w:color="000000" w:sz="6" w:space="0"/>
              <w:right w:val="nil"/>
            </w:tcBorders>
            <w:shd w:val="clear" w:color="auto" w:fill="D9EAF3"/>
            <w:vAlign w:val="center"/>
          </w:tcPr>
          <w:p w14:paraId="721153F3">
            <w:pPr>
              <w:spacing w:before="0" w:after="0" w:line="240" w:lineRule="auto"/>
              <w:jc w:val="center"/>
            </w:pPr>
            <w:r>
              <w:rPr>
                <w:rFonts w:ascii="Arial" w:hAnsi="Arial"/>
                <w:b/>
                <w:sz w:val="15"/>
              </w:rPr>
              <w:t>MDD (80% power)</w:t>
            </w:r>
          </w:p>
        </w:tc>
        <w:tc>
          <w:tcPr>
            <w:tcW w:w="1224" w:type="dxa"/>
            <w:tcBorders>
              <w:top w:val="single" w:color="000000" w:sz="12" w:space="0"/>
              <w:left w:val="nil"/>
              <w:bottom w:val="single" w:color="000000" w:sz="6" w:space="0"/>
              <w:right w:val="nil"/>
            </w:tcBorders>
            <w:shd w:val="clear" w:color="auto" w:fill="D9EAF3"/>
            <w:vAlign w:val="center"/>
          </w:tcPr>
          <w:p w14:paraId="028CFE20">
            <w:pPr>
              <w:spacing w:before="0" w:after="0" w:line="240" w:lineRule="auto"/>
              <w:jc w:val="center"/>
            </w:pPr>
            <w:r>
              <w:rPr>
                <w:rFonts w:ascii="Arial" w:hAnsi="Arial"/>
                <w:b/>
                <w:sz w:val="15"/>
              </w:rPr>
              <w:t>AUC headroom</w:t>
            </w:r>
          </w:p>
        </w:tc>
      </w:tr>
      <w:tr w14:paraId="282FA05E">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3528" w:type="dxa"/>
            <w:tcBorders>
              <w:top w:val="nil"/>
              <w:left w:val="nil"/>
              <w:bottom w:val="nil"/>
              <w:right w:val="nil"/>
            </w:tcBorders>
            <w:vAlign w:val="center"/>
          </w:tcPr>
          <w:p w14:paraId="3B56093B">
            <w:pPr>
              <w:spacing w:before="0" w:after="0" w:line="240" w:lineRule="auto"/>
            </w:pPr>
            <w:r>
              <w:rPr>
                <w:rFonts w:ascii="Arial" w:hAnsi="Arial"/>
                <w:b w:val="0"/>
                <w:sz w:val="15"/>
              </w:rPr>
              <w:t>Morphologic vs standalone radiomics LR</w:t>
            </w:r>
          </w:p>
        </w:tc>
        <w:tc>
          <w:tcPr>
            <w:tcW w:w="1152" w:type="dxa"/>
            <w:tcBorders>
              <w:top w:val="nil"/>
              <w:left w:val="nil"/>
              <w:bottom w:val="nil"/>
              <w:right w:val="nil"/>
            </w:tcBorders>
            <w:vAlign w:val="center"/>
          </w:tcPr>
          <w:p w14:paraId="17B94886">
            <w:pPr>
              <w:spacing w:before="0" w:after="0" w:line="240" w:lineRule="auto"/>
            </w:pPr>
            <w:r>
              <w:rPr>
                <w:rFonts w:ascii="Arial" w:hAnsi="Arial"/>
                <w:b w:val="0"/>
                <w:sz w:val="15"/>
              </w:rPr>
              <w:t>0.697</w:t>
            </w:r>
          </w:p>
        </w:tc>
        <w:tc>
          <w:tcPr>
            <w:tcW w:w="1152" w:type="dxa"/>
            <w:tcBorders>
              <w:top w:val="nil"/>
              <w:left w:val="nil"/>
              <w:bottom w:val="nil"/>
              <w:right w:val="nil"/>
            </w:tcBorders>
            <w:vAlign w:val="center"/>
          </w:tcPr>
          <w:p w14:paraId="5FABFA7D">
            <w:pPr>
              <w:spacing w:before="0" w:after="0" w:line="240" w:lineRule="auto"/>
            </w:pPr>
            <w:r>
              <w:rPr>
                <w:rFonts w:ascii="Arial" w:hAnsi="Arial"/>
                <w:b w:val="0"/>
                <w:sz w:val="15"/>
              </w:rPr>
              <w:t>0.769</w:t>
            </w:r>
          </w:p>
        </w:tc>
        <w:tc>
          <w:tcPr>
            <w:tcW w:w="1152" w:type="dxa"/>
            <w:tcBorders>
              <w:top w:val="nil"/>
              <w:left w:val="nil"/>
              <w:bottom w:val="nil"/>
              <w:right w:val="nil"/>
            </w:tcBorders>
            <w:vAlign w:val="center"/>
          </w:tcPr>
          <w:p w14:paraId="43E75095">
            <w:pPr>
              <w:spacing w:before="0" w:after="0" w:line="240" w:lineRule="auto"/>
            </w:pPr>
            <w:r>
              <w:rPr>
                <w:rFonts w:ascii="Arial" w:hAnsi="Arial"/>
                <w:b w:val="0"/>
                <w:sz w:val="15"/>
              </w:rPr>
              <w:t>0.072</w:t>
            </w:r>
          </w:p>
        </w:tc>
        <w:tc>
          <w:tcPr>
            <w:tcW w:w="1296" w:type="dxa"/>
            <w:tcBorders>
              <w:top w:val="nil"/>
              <w:left w:val="nil"/>
              <w:bottom w:val="nil"/>
              <w:right w:val="nil"/>
            </w:tcBorders>
            <w:vAlign w:val="center"/>
          </w:tcPr>
          <w:p w14:paraId="4A06A64D">
            <w:pPr>
              <w:spacing w:before="0" w:after="0" w:line="240" w:lineRule="auto"/>
            </w:pPr>
            <w:r>
              <w:rPr>
                <w:rFonts w:ascii="Arial" w:hAnsi="Arial"/>
                <w:b w:val="0"/>
                <w:sz w:val="15"/>
              </w:rPr>
              <w:t>0.367</w:t>
            </w:r>
          </w:p>
        </w:tc>
        <w:tc>
          <w:tcPr>
            <w:tcW w:w="1224" w:type="dxa"/>
            <w:tcBorders>
              <w:top w:val="nil"/>
              <w:left w:val="nil"/>
              <w:bottom w:val="nil"/>
              <w:right w:val="nil"/>
            </w:tcBorders>
            <w:vAlign w:val="center"/>
          </w:tcPr>
          <w:p w14:paraId="7B8AA787">
            <w:pPr>
              <w:spacing w:before="0" w:after="0" w:line="240" w:lineRule="auto"/>
            </w:pPr>
            <w:r>
              <w:rPr>
                <w:rFonts w:ascii="Arial" w:hAnsi="Arial"/>
                <w:b w:val="0"/>
                <w:sz w:val="15"/>
              </w:rPr>
              <w:t>0.303</w:t>
            </w:r>
          </w:p>
        </w:tc>
      </w:tr>
      <w:tr w14:paraId="08F999B6">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3528" w:type="dxa"/>
            <w:tcBorders>
              <w:top w:val="nil"/>
              <w:left w:val="nil"/>
              <w:bottom w:val="nil"/>
              <w:right w:val="nil"/>
            </w:tcBorders>
            <w:vAlign w:val="center"/>
          </w:tcPr>
          <w:p w14:paraId="3F36219F">
            <w:pPr>
              <w:spacing w:before="0" w:after="0" w:line="240" w:lineRule="auto"/>
            </w:pPr>
            <w:r>
              <w:rPr>
                <w:rFonts w:ascii="Arial" w:hAnsi="Arial"/>
                <w:b w:val="0"/>
                <w:sz w:val="15"/>
              </w:rPr>
              <w:t>Morphologic vs combined</w:t>
            </w:r>
          </w:p>
        </w:tc>
        <w:tc>
          <w:tcPr>
            <w:tcW w:w="1152" w:type="dxa"/>
            <w:tcBorders>
              <w:top w:val="nil"/>
              <w:left w:val="nil"/>
              <w:bottom w:val="nil"/>
              <w:right w:val="nil"/>
            </w:tcBorders>
            <w:vAlign w:val="center"/>
          </w:tcPr>
          <w:p w14:paraId="2C0C4BD4">
            <w:pPr>
              <w:spacing w:before="0" w:after="0" w:line="240" w:lineRule="auto"/>
            </w:pPr>
            <w:r>
              <w:rPr>
                <w:rFonts w:ascii="Arial" w:hAnsi="Arial"/>
                <w:b w:val="0"/>
                <w:sz w:val="15"/>
              </w:rPr>
              <w:t>0.697</w:t>
            </w:r>
          </w:p>
        </w:tc>
        <w:tc>
          <w:tcPr>
            <w:tcW w:w="1152" w:type="dxa"/>
            <w:tcBorders>
              <w:top w:val="nil"/>
              <w:left w:val="nil"/>
              <w:bottom w:val="nil"/>
              <w:right w:val="nil"/>
            </w:tcBorders>
            <w:vAlign w:val="center"/>
          </w:tcPr>
          <w:p w14:paraId="59730B2F">
            <w:pPr>
              <w:spacing w:before="0" w:after="0" w:line="240" w:lineRule="auto"/>
            </w:pPr>
            <w:r>
              <w:rPr>
                <w:rFonts w:ascii="Arial" w:hAnsi="Arial"/>
                <w:b w:val="0"/>
                <w:sz w:val="15"/>
              </w:rPr>
              <w:t>0.827</w:t>
            </w:r>
          </w:p>
        </w:tc>
        <w:tc>
          <w:tcPr>
            <w:tcW w:w="1152" w:type="dxa"/>
            <w:tcBorders>
              <w:top w:val="nil"/>
              <w:left w:val="nil"/>
              <w:bottom w:val="nil"/>
              <w:right w:val="nil"/>
            </w:tcBorders>
            <w:vAlign w:val="center"/>
          </w:tcPr>
          <w:p w14:paraId="24BE0B99">
            <w:pPr>
              <w:spacing w:before="0" w:after="0" w:line="240" w:lineRule="auto"/>
            </w:pPr>
            <w:r>
              <w:rPr>
                <w:rFonts w:ascii="Arial" w:hAnsi="Arial"/>
                <w:b w:val="0"/>
                <w:sz w:val="15"/>
              </w:rPr>
              <w:t>0.130</w:t>
            </w:r>
          </w:p>
        </w:tc>
        <w:tc>
          <w:tcPr>
            <w:tcW w:w="1296" w:type="dxa"/>
            <w:tcBorders>
              <w:top w:val="nil"/>
              <w:left w:val="nil"/>
              <w:bottom w:val="nil"/>
              <w:right w:val="nil"/>
            </w:tcBorders>
            <w:vAlign w:val="center"/>
          </w:tcPr>
          <w:p w14:paraId="7A54B836">
            <w:pPr>
              <w:spacing w:before="0" w:after="0" w:line="240" w:lineRule="auto"/>
            </w:pPr>
            <w:r>
              <w:rPr>
                <w:rFonts w:ascii="Arial" w:hAnsi="Arial"/>
                <w:b w:val="0"/>
                <w:sz w:val="15"/>
              </w:rPr>
              <w:t>0.185*</w:t>
            </w:r>
          </w:p>
        </w:tc>
        <w:tc>
          <w:tcPr>
            <w:tcW w:w="1224" w:type="dxa"/>
            <w:tcBorders>
              <w:top w:val="nil"/>
              <w:left w:val="nil"/>
              <w:bottom w:val="nil"/>
              <w:right w:val="nil"/>
            </w:tcBorders>
            <w:vAlign w:val="center"/>
          </w:tcPr>
          <w:p w14:paraId="69A45154">
            <w:pPr>
              <w:spacing w:before="0" w:after="0" w:line="240" w:lineRule="auto"/>
            </w:pPr>
            <w:r>
              <w:rPr>
                <w:rFonts w:ascii="Arial" w:hAnsi="Arial"/>
                <w:b w:val="0"/>
                <w:sz w:val="15"/>
              </w:rPr>
              <w:t>0.303</w:t>
            </w:r>
          </w:p>
        </w:tc>
      </w:tr>
      <w:tr w14:paraId="0094C5D2">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3528" w:type="dxa"/>
            <w:tcBorders>
              <w:top w:val="nil"/>
              <w:left w:val="nil"/>
              <w:bottom w:val="nil"/>
              <w:right w:val="nil"/>
            </w:tcBorders>
            <w:vAlign w:val="center"/>
          </w:tcPr>
          <w:p w14:paraId="3A5FFE0C">
            <w:pPr>
              <w:spacing w:before="0" w:after="0" w:line="240" w:lineRule="auto"/>
            </w:pPr>
            <w:r>
              <w:rPr>
                <w:rFonts w:ascii="Arial" w:hAnsi="Arial"/>
                <w:b w:val="0"/>
                <w:sz w:val="15"/>
              </w:rPr>
              <w:t>Radiomics LR vs combined</w:t>
            </w:r>
          </w:p>
        </w:tc>
        <w:tc>
          <w:tcPr>
            <w:tcW w:w="1152" w:type="dxa"/>
            <w:tcBorders>
              <w:top w:val="nil"/>
              <w:left w:val="nil"/>
              <w:bottom w:val="nil"/>
              <w:right w:val="nil"/>
            </w:tcBorders>
            <w:vAlign w:val="center"/>
          </w:tcPr>
          <w:p w14:paraId="57FBE544">
            <w:pPr>
              <w:spacing w:before="0" w:after="0" w:line="240" w:lineRule="auto"/>
            </w:pPr>
            <w:r>
              <w:rPr>
                <w:rFonts w:ascii="Arial" w:hAnsi="Arial"/>
                <w:b w:val="0"/>
                <w:sz w:val="15"/>
              </w:rPr>
              <w:t>0.769</w:t>
            </w:r>
          </w:p>
        </w:tc>
        <w:tc>
          <w:tcPr>
            <w:tcW w:w="1152" w:type="dxa"/>
            <w:tcBorders>
              <w:top w:val="nil"/>
              <w:left w:val="nil"/>
              <w:bottom w:val="nil"/>
              <w:right w:val="nil"/>
            </w:tcBorders>
            <w:vAlign w:val="center"/>
          </w:tcPr>
          <w:p w14:paraId="23FA90F9">
            <w:pPr>
              <w:spacing w:before="0" w:after="0" w:line="240" w:lineRule="auto"/>
            </w:pPr>
            <w:r>
              <w:rPr>
                <w:rFonts w:ascii="Arial" w:hAnsi="Arial"/>
                <w:b w:val="0"/>
                <w:sz w:val="15"/>
              </w:rPr>
              <w:t>0.827</w:t>
            </w:r>
          </w:p>
        </w:tc>
        <w:tc>
          <w:tcPr>
            <w:tcW w:w="1152" w:type="dxa"/>
            <w:tcBorders>
              <w:top w:val="nil"/>
              <w:left w:val="nil"/>
              <w:bottom w:val="nil"/>
              <w:right w:val="nil"/>
            </w:tcBorders>
            <w:vAlign w:val="center"/>
          </w:tcPr>
          <w:p w14:paraId="13FE2507">
            <w:pPr>
              <w:spacing w:before="0" w:after="0" w:line="240" w:lineRule="auto"/>
            </w:pPr>
            <w:r>
              <w:rPr>
                <w:rFonts w:ascii="Arial" w:hAnsi="Arial"/>
                <w:b w:val="0"/>
                <w:sz w:val="15"/>
              </w:rPr>
              <w:t>0.058</w:t>
            </w:r>
          </w:p>
        </w:tc>
        <w:tc>
          <w:tcPr>
            <w:tcW w:w="1296" w:type="dxa"/>
            <w:tcBorders>
              <w:top w:val="nil"/>
              <w:left w:val="nil"/>
              <w:bottom w:val="nil"/>
              <w:right w:val="nil"/>
            </w:tcBorders>
            <w:vAlign w:val="center"/>
          </w:tcPr>
          <w:p w14:paraId="0CE67C7B">
            <w:pPr>
              <w:spacing w:before="0" w:after="0" w:line="240" w:lineRule="auto"/>
            </w:pPr>
            <w:r>
              <w:rPr>
                <w:rFonts w:ascii="Arial" w:hAnsi="Arial"/>
                <w:b w:val="0"/>
                <w:sz w:val="15"/>
              </w:rPr>
              <w:t>0.239</w:t>
            </w:r>
          </w:p>
        </w:tc>
        <w:tc>
          <w:tcPr>
            <w:tcW w:w="1224" w:type="dxa"/>
            <w:tcBorders>
              <w:top w:val="nil"/>
              <w:left w:val="nil"/>
              <w:bottom w:val="nil"/>
              <w:right w:val="nil"/>
            </w:tcBorders>
            <w:vAlign w:val="center"/>
          </w:tcPr>
          <w:p w14:paraId="4DF7B513">
            <w:pPr>
              <w:spacing w:before="0" w:after="0" w:line="240" w:lineRule="auto"/>
            </w:pPr>
            <w:r>
              <w:rPr>
                <w:rFonts w:ascii="Arial" w:hAnsi="Arial"/>
                <w:b w:val="0"/>
                <w:sz w:val="15"/>
              </w:rPr>
              <w:t>0.231</w:t>
            </w:r>
          </w:p>
        </w:tc>
      </w:tr>
      <w:tr w14:paraId="10D5D510">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3528" w:type="dxa"/>
            <w:tcBorders>
              <w:top w:val="nil"/>
              <w:left w:val="nil"/>
              <w:bottom w:val="single" w:color="auto" w:sz="4" w:space="0"/>
              <w:right w:val="nil"/>
            </w:tcBorders>
            <w:vAlign w:val="center"/>
          </w:tcPr>
          <w:p w14:paraId="0B35B324">
            <w:pPr>
              <w:spacing w:before="0" w:after="0" w:line="240" w:lineRule="auto"/>
            </w:pPr>
            <w:r>
              <w:rPr>
                <w:rFonts w:ascii="Arial" w:hAnsi="Arial"/>
                <w:b w:val="0"/>
                <w:sz w:val="15"/>
              </w:rPr>
              <w:t>Cross-fitted radiomics input vs combined</w:t>
            </w:r>
          </w:p>
        </w:tc>
        <w:tc>
          <w:tcPr>
            <w:tcW w:w="1152" w:type="dxa"/>
            <w:tcBorders>
              <w:top w:val="nil"/>
              <w:left w:val="nil"/>
              <w:bottom w:val="single" w:color="auto" w:sz="4" w:space="0"/>
              <w:right w:val="nil"/>
            </w:tcBorders>
            <w:vAlign w:val="center"/>
          </w:tcPr>
          <w:p w14:paraId="6D4049F6">
            <w:pPr>
              <w:spacing w:before="0" w:after="0" w:line="240" w:lineRule="auto"/>
            </w:pPr>
            <w:r>
              <w:rPr>
                <w:rFonts w:ascii="Arial" w:hAnsi="Arial"/>
                <w:b w:val="0"/>
                <w:sz w:val="15"/>
              </w:rPr>
              <w:t>0.788</w:t>
            </w:r>
          </w:p>
        </w:tc>
        <w:tc>
          <w:tcPr>
            <w:tcW w:w="1152" w:type="dxa"/>
            <w:tcBorders>
              <w:top w:val="nil"/>
              <w:left w:val="nil"/>
              <w:bottom w:val="single" w:color="auto" w:sz="4" w:space="0"/>
              <w:right w:val="nil"/>
            </w:tcBorders>
            <w:vAlign w:val="center"/>
          </w:tcPr>
          <w:p w14:paraId="7F48FB6D">
            <w:pPr>
              <w:spacing w:before="0" w:after="0" w:line="240" w:lineRule="auto"/>
            </w:pPr>
            <w:r>
              <w:rPr>
                <w:rFonts w:ascii="Arial" w:hAnsi="Arial"/>
                <w:b w:val="0"/>
                <w:sz w:val="15"/>
              </w:rPr>
              <w:t>0.827</w:t>
            </w:r>
          </w:p>
        </w:tc>
        <w:tc>
          <w:tcPr>
            <w:tcW w:w="1152" w:type="dxa"/>
            <w:tcBorders>
              <w:top w:val="nil"/>
              <w:left w:val="nil"/>
              <w:bottom w:val="single" w:color="auto" w:sz="4" w:space="0"/>
              <w:right w:val="nil"/>
            </w:tcBorders>
            <w:vAlign w:val="center"/>
          </w:tcPr>
          <w:p w14:paraId="6BFDDCB5">
            <w:pPr>
              <w:spacing w:before="0" w:after="0" w:line="240" w:lineRule="auto"/>
            </w:pPr>
            <w:r>
              <w:rPr>
                <w:rFonts w:ascii="Arial" w:hAnsi="Arial"/>
                <w:b w:val="0"/>
                <w:sz w:val="15"/>
              </w:rPr>
              <w:t>0.038</w:t>
            </w:r>
          </w:p>
        </w:tc>
        <w:tc>
          <w:tcPr>
            <w:tcW w:w="1296" w:type="dxa"/>
            <w:tcBorders>
              <w:top w:val="nil"/>
              <w:left w:val="nil"/>
              <w:bottom w:val="single" w:color="auto" w:sz="4" w:space="0"/>
              <w:right w:val="nil"/>
            </w:tcBorders>
            <w:vAlign w:val="center"/>
          </w:tcPr>
          <w:p w14:paraId="1E4FB6C8">
            <w:pPr>
              <w:spacing w:before="0" w:after="0" w:line="240" w:lineRule="auto"/>
            </w:pPr>
            <w:r>
              <w:rPr>
                <w:rFonts w:ascii="Arial" w:hAnsi="Arial"/>
                <w:b w:val="0"/>
                <w:sz w:val="15"/>
              </w:rPr>
              <w:t>0.218</w:t>
            </w:r>
          </w:p>
        </w:tc>
        <w:tc>
          <w:tcPr>
            <w:tcW w:w="1224" w:type="dxa"/>
            <w:tcBorders>
              <w:top w:val="nil"/>
              <w:left w:val="nil"/>
              <w:bottom w:val="single" w:color="auto" w:sz="4" w:space="0"/>
              <w:right w:val="nil"/>
            </w:tcBorders>
            <w:vAlign w:val="center"/>
          </w:tcPr>
          <w:p w14:paraId="085EA534">
            <w:pPr>
              <w:spacing w:before="0" w:after="0" w:line="240" w:lineRule="auto"/>
            </w:pPr>
            <w:r>
              <w:rPr>
                <w:rFonts w:ascii="Arial" w:hAnsi="Arial"/>
                <w:b w:val="0"/>
                <w:sz w:val="15"/>
              </w:rPr>
              <w:t>0.212</w:t>
            </w:r>
          </w:p>
        </w:tc>
      </w:tr>
    </w:tbl>
    <w:p w14:paraId="49C17FAD">
      <w:pPr>
        <w:pStyle w:val="166"/>
        <w:keepNext w:val="0"/>
        <w:spacing w:after="80"/>
      </w:pPr>
      <w:r>
        <w:t>*Exact DeLong-covariance result = 0.185497; reported to three decimals as 0.185.</w:t>
      </w:r>
    </w:p>
    <w:p w14:paraId="010B41B5">
      <w:pPr>
        <w:pStyle w:val="166"/>
        <w:spacing w:after="80"/>
      </w:pPr>
      <w:r>
        <w:t>MDD denotes the approximate minimum detectable absolute paired AUC difference at 80% power. AUC headroom is 1 minus the reference AUC. Each MDD exceeds its headroom; therefore, no attainable AUC could have met the nominal 80%-power difference in this cohort. These are post hoc precision descriptors, not prospective sample-size calculations or equivalence margins.</w:t>
      </w:r>
    </w:p>
    <w:p w14:paraId="17D35B67">
      <w:pPr>
        <w:pStyle w:val="3"/>
        <w:keepNext/>
        <w:pageBreakBefore/>
      </w:pPr>
      <w:r>
        <w:t>Supplementary Figure legends</w:t>
      </w:r>
    </w:p>
    <w:p w14:paraId="479C6145">
      <w:pPr>
        <w:spacing w:before="80" w:after="120"/>
        <w:jc w:val="center"/>
      </w:pPr>
      <w:r>
        <w:drawing>
          <wp:inline distT="0" distB="0" distL="114300" distR="114300">
            <wp:extent cx="5715000" cy="3764915"/>
            <wp:effectExtent l="0" t="0" r="0"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7"/>
                    <a:stretch>
                      <a:fillRect/>
                    </a:stretch>
                  </pic:blipFill>
                  <pic:spPr>
                    <a:xfrm>
                      <a:off x="0" y="0"/>
                      <a:ext cx="5715000" cy="3764925"/>
                    </a:xfrm>
                    <a:prstGeom prst="rect">
                      <a:avLst/>
                    </a:prstGeom>
                  </pic:spPr>
                </pic:pic>
              </a:graphicData>
            </a:graphic>
          </wp:inline>
        </w:drawing>
      </w:r>
    </w:p>
    <w:p w14:paraId="26A3E0B0">
      <w:pPr>
        <w:spacing w:before="60"/>
      </w:pPr>
      <w:r>
        <w:t>Figure S1. Training-only classifier selection and stability diagnostics. (A) Mean AUC (with SD) from the dedicated full-66 five-fold classifier-selection cross-validation for LR, LDA, GNB, SVM, and SGD. (B) Number of times each family was selected across 50 outer splits of repeated 5-fold × 10 nested cross-validation. These panels describe development-cohort selection and stability, not evaluation performance.</w:t>
      </w:r>
    </w:p>
    <w:p w14:paraId="3D156005">
      <w:r>
        <w:t>Figure S2. Representative three-dimensional segmentation examples. (A–C) eNCPH and (D–F) IAC. Unenhanced axial CT images are shown without and with the ROI overlay, followed by the reconstructed three-dimensional lesion volume. Images are presented on a soft-tissue display; red denotes the manually segmented volume of interest.</w:t>
      </w:r>
    </w:p>
    <w:p w14:paraId="5C4925B7">
      <w:pPr>
        <w:jc w:val="center"/>
      </w:pPr>
      <w:r>
        <w:drawing>
          <wp:inline distT="0" distB="0" distL="114300" distR="114300">
            <wp:extent cx="6035040" cy="4138930"/>
            <wp:effectExtent l="0" t="0" r="3810" b="444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8"/>
                    <a:stretch>
                      <a:fillRect/>
                    </a:stretch>
                  </pic:blipFill>
                  <pic:spPr>
                    <a:xfrm>
                      <a:off x="0" y="0"/>
                      <a:ext cx="6035040" cy="4139053"/>
                    </a:xfrm>
                    <a:prstGeom prst="rect">
                      <a:avLst/>
                    </a:prstGeom>
                  </pic:spPr>
                </pic:pic>
              </a:graphicData>
            </a:graphic>
          </wp:inline>
        </w:drawing>
      </w:r>
    </w:p>
    <w:sectPr>
      <w:footerReference r:id="rId5" w:type="default"/>
      <w:pgSz w:w="12240" w:h="15840"/>
      <w:pgMar w:top="1440" w:right="1440" w:bottom="1440" w:left="1587"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ＭＳ 明朝">
    <w:altName w:val="Yu Gothic"/>
    <w:panose1 w:val="00000000000000000000"/>
    <w:charset w:val="80"/>
    <w:family w:val="roman"/>
    <w:pitch w:val="default"/>
    <w:sig w:usb0="00000000" w:usb1="00000000" w:usb2="00000010" w:usb3="00000000" w:csb0="00020000" w:csb1="00000000"/>
  </w:font>
  <w:font w:name="ＭＳ 明朝">
    <w:altName w:val="宋体"/>
    <w:panose1 w:val="00000000000000000000"/>
    <w:charset w:val="86"/>
    <w:family w:val="auto"/>
    <w:pitch w:val="default"/>
    <w:sig w:usb0="00000000" w:usb1="00000000" w:usb2="00000000" w:usb3="00000000" w:csb0="00000000" w:csb1="00000000"/>
  </w:font>
  <w:font w:name="MS Gothic">
    <w:panose1 w:val="020B0609070205080204"/>
    <w:charset w:val="80"/>
    <w:family w:val="modern"/>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Arial">
    <w:panose1 w:val="020B0604020202020204"/>
    <w:charset w:val="00"/>
    <w:family w:val="auto"/>
    <w:pitch w:val="default"/>
    <w:sig w:usb0="E0002EFF" w:usb1="C000785B" w:usb2="00000009" w:usb3="00000000" w:csb0="400001FF" w:csb1="FFFF0000"/>
  </w:font>
  <w:font w:name="ＭＳ 明朝">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Yu Gothic">
    <w:panose1 w:val="020B0400000000000000"/>
    <w:charset w:val="80"/>
    <w:family w:val="auto"/>
    <w:pitch w:val="default"/>
    <w:sig w:usb0="E00002FF" w:usb1="2AC7FDFF" w:usb2="00000016" w:usb3="00000000" w:csb0="2002009F" w:csb1="00000000"/>
  </w:font>
  <w:font w:name="Courier New">
    <w:panose1 w:val="02070309020205020404"/>
    <w:charset w:val="00"/>
    <w:family w:val="auto"/>
    <w:pitch w:val="default"/>
    <w:sig w:usb0="E0002EFF" w:usb1="C0007843"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60C5D7">
    <w:pPr>
      <w:pStyle w:val="24"/>
      <w:jc w:val="center"/>
    </w:pPr>
    <w:r>
      <w:fldChar w:fldCharType="begin"/>
    </w:r>
    <w:r>
      <w:instrText xml:space="preserve"> PAGE </w:instrTex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480" w:lineRule="auto"/>
      </w:pPr>
      <w:r>
        <w:separator/>
      </w:r>
    </w:p>
  </w:footnote>
  <w:footnote w:type="continuationSeparator" w:id="1">
    <w:p>
      <w:pPr>
        <w:spacing w:before="0" w:after="0" w:line="48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294D0A30"/>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semiHidden="0" w:name="macro"/>
    <w:lsdException w:uiPriority="99" w:name="toa heading"/>
    <w:lsdException w:uiPriority="99" w:semiHidden="0" w:name="List"/>
    <w:lsdException w:uiPriority="99" w:semiHidden="0" w:name="List Bullet"/>
    <w:lsdException w:uiPriority="99" w:semiHidden="0" w:name="List Number"/>
    <w:lsdException w:uiPriority="99" w:semiHidden="0" w:name="List 2"/>
    <w:lsdException w:uiPriority="99" w:semiHidden="0" w:name="List 3"/>
    <w:lsdException w:uiPriority="99" w:name="List 4"/>
    <w:lsdException w:uiPriority="99" w:name="List 5"/>
    <w:lsdException w:uiPriority="99" w:semiHidden="0" w:name="List Bullet 2"/>
    <w:lsdException w:uiPriority="99" w:semiHidden="0" w:name="List Bullet 3"/>
    <w:lsdException w:uiPriority="99" w:name="List Bullet 4"/>
    <w:lsdException w:uiPriority="99" w:name="List Bullet 5"/>
    <w:lsdException w:uiPriority="99" w:semiHidden="0" w:name="List Number 2"/>
    <w:lsdException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semiHidden="0" w:name="Body Text"/>
    <w:lsdException w:uiPriority="99" w:name="Body Text Indent"/>
    <w:lsdException w:uiPriority="99" w:semiHidden="0" w:name="List Continue"/>
    <w:lsdException w:uiPriority="99" w:semiHidden="0" w:name="List Continue 2"/>
    <w:lsdException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semiHidden="0" w:name="Body Text 2"/>
    <w:lsdException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0" w:line="480" w:lineRule="auto"/>
      <w:ind w:firstLine="420"/>
    </w:pPr>
    <w:rPr>
      <w:rFonts w:ascii="Times New Roman" w:hAnsi="Times New Roman" w:eastAsia="Times New Roman" w:cstheme="minorBidi"/>
      <w:sz w:val="24"/>
      <w:szCs w:val="22"/>
      <w:lang w:val="en-US" w:eastAsia="en-US" w:bidi="ar-SA"/>
    </w:rPr>
  </w:style>
  <w:style w:type="paragraph" w:styleId="3">
    <w:name w:val="heading 1"/>
    <w:basedOn w:val="1"/>
    <w:next w:val="1"/>
    <w:link w:val="138"/>
    <w:qFormat/>
    <w:uiPriority w:val="9"/>
    <w:pPr>
      <w:keepNext/>
      <w:keepLines/>
      <w:spacing w:before="200" w:after="80" w:line="276" w:lineRule="auto"/>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39"/>
    <w:unhideWhenUsed/>
    <w:qFormat/>
    <w:uiPriority w:val="9"/>
    <w:pPr>
      <w:keepNext/>
      <w:keepLines/>
      <w:spacing w:before="200" w:after="80" w:line="276" w:lineRule="auto"/>
      <w:outlineLvl w:val="1"/>
    </w:pPr>
    <w:rPr>
      <w:rFonts w:asciiTheme="majorHAnsi" w:hAnsiTheme="majorHAnsi" w:eastAsiaTheme="majorEastAsia" w:cstheme="majorBidi"/>
      <w:b/>
      <w:bCs/>
      <w:color w:val="4F81BD" w:themeColor="accent1"/>
      <w:sz w:val="24"/>
      <w:szCs w:val="26"/>
      <w14:textFill>
        <w14:solidFill>
          <w14:schemeClr w14:val="accent1"/>
        </w14:solidFill>
      </w14:textFill>
    </w:rPr>
  </w:style>
  <w:style w:type="paragraph" w:styleId="5">
    <w:name w:val="heading 3"/>
    <w:basedOn w:val="1"/>
    <w:next w:val="1"/>
    <w:link w:val="140"/>
    <w:unhideWhenUsed/>
    <w:qFormat/>
    <w:uiPriority w:val="9"/>
    <w:pPr>
      <w:keepNext/>
      <w:keepLines/>
      <w:spacing w:before="200" w:after="80" w:line="276" w:lineRule="auto"/>
      <w:outlineLvl w:val="2"/>
    </w:pPr>
    <w:rPr>
      <w:rFonts w:asciiTheme="majorHAnsi" w:hAnsiTheme="majorHAnsi" w:eastAsiaTheme="majorEastAsia" w:cstheme="majorBidi"/>
      <w:b/>
      <w:bCs/>
      <w:color w:val="4F81BD" w:themeColor="accent1"/>
      <w:sz w:val="24"/>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uiPriority w:val="1"/>
  </w:style>
  <w:style w:type="table" w:default="1" w:styleId="32">
    <w:name w:val="Normal Table"/>
    <w:semiHidden/>
    <w:unhideWhenUsed/>
    <w:uiPriority w:val="99"/>
    <w:tblPr>
      <w:tblCellMar>
        <w:top w:w="0" w:type="dxa"/>
        <w:left w:w="108" w:type="dxa"/>
        <w:bottom w:w="0" w:type="dxa"/>
        <w:right w:w="108" w:type="dxa"/>
      </w:tblCellMar>
    </w:tblPr>
  </w:style>
  <w:style w:type="paragraph" w:styleId="2">
    <w:name w:val="macro"/>
    <w:link w:val="147"/>
    <w:unhideWhenUsed/>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uiPriority w:val="99"/>
    <w:pPr>
      <w:ind w:left="1080" w:hanging="360"/>
      <w:contextualSpacing/>
    </w:pPr>
  </w:style>
  <w:style w:type="paragraph" w:styleId="13">
    <w:name w:val="List Number 2"/>
    <w:basedOn w:val="1"/>
    <w:unhideWhenUsed/>
    <w:uiPriority w:val="99"/>
    <w:pPr>
      <w:numPr>
        <w:ilvl w:val="0"/>
        <w:numId w:val="1"/>
      </w:numPr>
      <w:contextualSpacing/>
    </w:pPr>
  </w:style>
  <w:style w:type="paragraph" w:styleId="14">
    <w:name w:val="List Number"/>
    <w:basedOn w:val="1"/>
    <w:unhideWhenUsed/>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uiPriority w:val="99"/>
    <w:pPr>
      <w:numPr>
        <w:ilvl w:val="0"/>
        <w:numId w:val="3"/>
      </w:numPr>
      <w:contextualSpacing/>
    </w:pPr>
  </w:style>
  <w:style w:type="paragraph" w:styleId="17">
    <w:name w:val="Body Text 3"/>
    <w:basedOn w:val="1"/>
    <w:link w:val="146"/>
    <w:unhideWhenUsed/>
    <w:uiPriority w:val="99"/>
    <w:pPr>
      <w:spacing w:after="120"/>
    </w:pPr>
    <w:rPr>
      <w:sz w:val="16"/>
      <w:szCs w:val="16"/>
    </w:rPr>
  </w:style>
  <w:style w:type="paragraph" w:styleId="18">
    <w:name w:val="List Bullet 3"/>
    <w:basedOn w:val="1"/>
    <w:unhideWhenUsed/>
    <w:uiPriority w:val="99"/>
    <w:pPr>
      <w:numPr>
        <w:ilvl w:val="0"/>
        <w:numId w:val="4"/>
      </w:numPr>
      <w:contextualSpacing/>
    </w:pPr>
  </w:style>
  <w:style w:type="paragraph" w:styleId="19">
    <w:name w:val="Body Text"/>
    <w:basedOn w:val="1"/>
    <w:link w:val="144"/>
    <w:unhideWhenUsed/>
    <w:uiPriority w:val="99"/>
    <w:pPr>
      <w:spacing w:after="120"/>
    </w:pPr>
  </w:style>
  <w:style w:type="paragraph" w:styleId="20">
    <w:name w:val="List Number 3"/>
    <w:basedOn w:val="1"/>
    <w:unhideWhenUsed/>
    <w:uiPriority w:val="99"/>
    <w:pPr>
      <w:numPr>
        <w:ilvl w:val="0"/>
        <w:numId w:val="5"/>
      </w:numPr>
      <w:contextualSpacing/>
    </w:pPr>
  </w:style>
  <w:style w:type="paragraph" w:styleId="21">
    <w:name w:val="List 2"/>
    <w:basedOn w:val="1"/>
    <w:unhideWhenUsed/>
    <w:uiPriority w:val="99"/>
    <w:pPr>
      <w:ind w:left="720" w:hanging="360"/>
      <w:contextualSpacing/>
    </w:pPr>
  </w:style>
  <w:style w:type="paragraph" w:styleId="22">
    <w:name w:val="List Continue"/>
    <w:basedOn w:val="1"/>
    <w:unhideWhenUsed/>
    <w:uiPriority w:val="99"/>
    <w:pPr>
      <w:spacing w:after="120"/>
      <w:ind w:left="360"/>
      <w:contextualSpacing/>
    </w:pPr>
  </w:style>
  <w:style w:type="paragraph" w:styleId="23">
    <w:name w:val="List Bullet 2"/>
    <w:basedOn w:val="1"/>
    <w:unhideWhenUsed/>
    <w:uiPriority w:val="99"/>
    <w:pPr>
      <w:numPr>
        <w:ilvl w:val="0"/>
        <w:numId w:val="6"/>
      </w:numPr>
      <w:contextualSpacing/>
    </w:pPr>
  </w:style>
  <w:style w:type="paragraph" w:styleId="24">
    <w:name w:val="footer"/>
    <w:basedOn w:val="1"/>
    <w:link w:val="136"/>
    <w:unhideWhenUsed/>
    <w:uiPriority w:val="99"/>
    <w:pPr>
      <w:tabs>
        <w:tab w:val="center" w:pos="4680"/>
        <w:tab w:val="right" w:pos="9360"/>
      </w:tabs>
      <w:spacing w:after="0" w:line="240" w:lineRule="auto"/>
    </w:pPr>
  </w:style>
  <w:style w:type="paragraph" w:styleId="25">
    <w:name w:val="header"/>
    <w:basedOn w:val="1"/>
    <w:link w:val="135"/>
    <w:unhideWhenUsed/>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uiPriority w:val="99"/>
    <w:pPr>
      <w:ind w:left="360" w:hanging="360"/>
      <w:contextualSpacing/>
    </w:pPr>
  </w:style>
  <w:style w:type="paragraph" w:styleId="28">
    <w:name w:val="Body Text 2"/>
    <w:basedOn w:val="1"/>
    <w:link w:val="145"/>
    <w:unhideWhenUsed/>
    <w:uiPriority w:val="99"/>
    <w:pPr>
      <w:spacing w:after="120" w:line="480" w:lineRule="auto"/>
    </w:pPr>
  </w:style>
  <w:style w:type="paragraph" w:styleId="29">
    <w:name w:val="List Continue 2"/>
    <w:basedOn w:val="1"/>
    <w:unhideWhenUsed/>
    <w:uiPriority w:val="99"/>
    <w:pPr>
      <w:spacing w:after="120"/>
      <w:ind w:left="720"/>
      <w:contextualSpacing/>
    </w:pPr>
  </w:style>
  <w:style w:type="paragraph" w:styleId="30">
    <w:name w:val="List Continue 3"/>
    <w:basedOn w:val="1"/>
    <w:unhideWhenUsed/>
    <w:uiPriority w:val="99"/>
    <w:pPr>
      <w:spacing w:after="120"/>
      <w:ind w:left="1080"/>
      <w:contextualSpacing/>
    </w:pPr>
  </w:style>
  <w:style w:type="paragraph" w:styleId="31">
    <w:name w:val="Title"/>
    <w:basedOn w:val="1"/>
    <w:next w:val="1"/>
    <w:link w:val="141"/>
    <w:qFormat/>
    <w:uiPriority w:val="10"/>
    <w:pPr>
      <w:keepNext/>
      <w:pBdr>
        <w:bottom w:val="single" w:color="4F81BD" w:themeColor="accent1" w:sz="8" w:space="4"/>
      </w:pBdr>
      <w:spacing w:before="0" w:after="80" w:line="276" w:lineRule="auto"/>
      <w:contextualSpacing/>
    </w:pPr>
    <w:rPr>
      <w:rFonts w:asciiTheme="majorHAnsi" w:hAnsiTheme="majorHAnsi" w:eastAsiaTheme="majorEastAsia" w:cstheme="majorBidi"/>
      <w:b/>
      <w:color w:val="17375E" w:themeColor="text2" w:themeShade="BF"/>
      <w:spacing w:val="5"/>
      <w:kern w:val="28"/>
      <w:sz w:val="32"/>
      <w:szCs w:val="52"/>
    </w:rPr>
  </w:style>
  <w:style w:type="table" w:styleId="33">
    <w:name w:val="Table Grid"/>
    <w:basedOn w:val="32"/>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uiPriority w:val="99"/>
  </w:style>
  <w:style w:type="character" w:customStyle="1" w:styleId="136">
    <w:name w:val="Footer Char"/>
    <w:basedOn w:val="132"/>
    <w:link w:val="24"/>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uiPriority w:val="99"/>
  </w:style>
  <w:style w:type="character" w:customStyle="1" w:styleId="145">
    <w:name w:val="Body Text 2 Char"/>
    <w:basedOn w:val="132"/>
    <w:link w:val="28"/>
    <w:uiPriority w:val="99"/>
  </w:style>
  <w:style w:type="character" w:customStyle="1" w:styleId="146">
    <w:name w:val="Body Text 3 Char"/>
    <w:basedOn w:val="132"/>
    <w:link w:val="17"/>
    <w:uiPriority w:val="99"/>
    <w:rPr>
      <w:sz w:val="16"/>
      <w:szCs w:val="16"/>
    </w:rPr>
  </w:style>
  <w:style w:type="character" w:customStyle="1" w:styleId="147">
    <w:name w:val="Macro Text Char"/>
    <w:basedOn w:val="132"/>
    <w:link w:val="2"/>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uiPriority w:val="29"/>
    <w:rPr>
      <w:i/>
      <w:iCs/>
      <w:color w:val="000000" w:themeColor="text1"/>
      <w14:textFill>
        <w14:solidFill>
          <w14:schemeClr w14:val="tx1"/>
        </w14:solidFill>
      </w14:textFill>
    </w:rPr>
  </w:style>
  <w:style w:type="character" w:customStyle="1" w:styleId="150">
    <w:name w:val="Heading 4 Char"/>
    <w:basedOn w:val="132"/>
    <w:link w:val="6"/>
    <w:semiHidden/>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 w:type="paragraph" w:customStyle="1" w:styleId="164">
    <w:name w:val="NoIndent"/>
    <w:basedOn w:val="1"/>
    <w:uiPriority w:val="0"/>
    <w:pPr>
      <w:ind w:firstLine="0"/>
    </w:pPr>
  </w:style>
  <w:style w:type="paragraph" w:customStyle="1" w:styleId="165">
    <w:name w:val="SmallText"/>
    <w:basedOn w:val="1"/>
    <w:uiPriority w:val="0"/>
    <w:pPr>
      <w:spacing w:line="276" w:lineRule="auto"/>
      <w:ind w:firstLine="0"/>
    </w:pPr>
    <w:rPr>
      <w:sz w:val="20"/>
    </w:rPr>
  </w:style>
  <w:style w:type="paragraph" w:customStyle="1" w:styleId="166">
    <w:name w:val="TableNote"/>
    <w:basedOn w:val="1"/>
    <w:uiPriority w:val="0"/>
    <w:pPr>
      <w:spacing w:before="40" w:line="240" w:lineRule="auto"/>
      <w:ind w:firstLine="0"/>
    </w:pPr>
    <w:rPr>
      <w:sz w:val="18"/>
    </w:rPr>
  </w:style>
  <w:style w:type="paragraph" w:customStyle="1" w:styleId="167">
    <w:name w:val="Reference"/>
    <w:basedOn w:val="1"/>
    <w:uiPriority w:val="0"/>
    <w:pPr>
      <w:spacing w:after="40" w:line="276" w:lineRule="auto"/>
      <w:ind w:left="0" w:firstLine="0"/>
    </w:pPr>
    <w:rPr>
      <w:sz w:val="20"/>
    </w:rPr>
  </w:style>
  <w:style w:type="paragraph" w:customStyle="1" w:styleId="168">
    <w:name w:val="CaptionText"/>
    <w:basedOn w:val="1"/>
    <w:uiPriority w:val="0"/>
    <w:pPr>
      <w:spacing w:before="80" w:after="60" w:line="276" w:lineRule="auto"/>
      <w:ind w:firstLine="0"/>
    </w:pPr>
    <w:rPr>
      <w:sz w:val="20"/>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Pages>15</Pages>
  <Words>1373</Words>
  <Characters>8826</Characters>
  <Lines>0</Lines>
  <Paragraphs>0</Paragraphs>
  <TotalTime>0</TotalTime>
  <ScaleCrop>false</ScaleCrop>
  <LinksUpToDate>false</LinksUpToDate>
  <CharactersWithSpaces>10165</CharactersWithSpaces>
  <Application>Microsoft Word</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dc:title>Additional file 1</dc:title>
  <cp:revision>1</cp:revision>
</cp:coreProperties>
</file>