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1E7AA">
      <w:pPr>
        <w:spacing w:line="480" w:lineRule="auto"/>
        <w:ind w:left="561" w:hanging="561" w:hangingChars="200"/>
        <w:jc w:val="center"/>
        <w:rPr>
          <w:rFonts w:hint="default" w:ascii="Times New Roman" w:hAnsi="Times New Roman" w:eastAsia="华文中宋" w:cs="Times New Roman"/>
          <w:b/>
          <w:bCs/>
          <w:sz w:val="28"/>
          <w:szCs w:val="28"/>
        </w:rPr>
      </w:pPr>
      <w:bookmarkStart w:id="0" w:name="_GoBack"/>
      <w:bookmarkEnd w:id="0"/>
      <w:r>
        <w:rPr>
          <w:rFonts w:hint="default" w:ascii="Times New Roman" w:hAnsi="Times New Roman" w:eastAsia="华文中宋" w:cs="Times New Roman"/>
          <w:b/>
          <w:bCs/>
          <w:sz w:val="28"/>
          <w:szCs w:val="28"/>
        </w:rPr>
        <w:t>Supplementary material</w:t>
      </w:r>
    </w:p>
    <w:p w14:paraId="63E1110A">
      <w:pPr>
        <w:spacing w:line="480" w:lineRule="auto"/>
        <w:rPr>
          <w:rFonts w:hint="default" w:ascii="Times New Roman" w:hAnsi="Times New Roman" w:eastAsia="华文中宋" w:cs="Times New Roman"/>
          <w:b/>
          <w:bCs/>
          <w:sz w:val="28"/>
          <w:szCs w:val="28"/>
        </w:rPr>
      </w:pPr>
    </w:p>
    <w:p w14:paraId="4C5793E3">
      <w:pPr>
        <w:pStyle w:val="10"/>
        <w:spacing w:line="48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CT–Based Radiomics–Deep Learning Fusion for Predicting Occult Lymph Node Metastasis in Clinically Node–Negative Esophageal Squamous Cell Carcinoma</w:t>
      </w:r>
    </w:p>
    <w:p w14:paraId="56D1417B">
      <w:pPr>
        <w:spacing w:line="480" w:lineRule="auto"/>
        <w:ind w:left="562" w:hanging="562" w:hangingChars="200"/>
        <w:jc w:val="left"/>
        <w:rPr>
          <w:rFonts w:hint="default" w:ascii="Times New Roman" w:hAnsi="Times New Roman" w:cs="Times New Roman"/>
          <w:b/>
          <w:bCs/>
          <w:sz w:val="28"/>
          <w:szCs w:val="28"/>
        </w:rPr>
      </w:pPr>
    </w:p>
    <w:p w14:paraId="34C9F99B">
      <w:pPr>
        <w:spacing w:line="480" w:lineRule="auto"/>
        <w:ind w:left="402" w:hanging="402" w:hangingChars="200"/>
        <w:jc w:val="left"/>
        <w:rPr>
          <w:rFonts w:hint="default" w:ascii="Times New Roman" w:hAnsi="Times New Roman" w:cs="Times New Roman"/>
          <w:b/>
          <w:bCs/>
          <w:sz w:val="20"/>
          <w:szCs w:val="20"/>
        </w:rPr>
      </w:pPr>
      <w:r>
        <w:rPr>
          <w:rFonts w:hint="default" w:ascii="Times New Roman" w:hAnsi="Times New Roman" w:cs="Times New Roman"/>
          <w:b/>
          <w:bCs/>
          <w:sz w:val="20"/>
          <w:szCs w:val="20"/>
        </w:rPr>
        <w:t>Supplementary methods</w:t>
      </w:r>
    </w:p>
    <w:p w14:paraId="437974B1">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CT parameters of different centers</w:t>
      </w:r>
    </w:p>
    <w:p w14:paraId="257E8BC9">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CT acquisition and reconstruction parameters for the two centers are summarized below.</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9"/>
        <w:gridCol w:w="2840"/>
        <w:gridCol w:w="2840"/>
      </w:tblGrid>
      <w:tr w14:paraId="3E5E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single" w:color="auto" w:sz="8" w:space="0"/>
              <w:left w:val="nil"/>
              <w:bottom w:val="single" w:color="auto" w:sz="8" w:space="0"/>
              <w:right w:val="nil"/>
            </w:tcBorders>
            <w:vAlign w:val="center"/>
          </w:tcPr>
          <w:p w14:paraId="02C55D90">
            <w:pPr>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Parameter</w:t>
            </w:r>
          </w:p>
        </w:tc>
        <w:tc>
          <w:tcPr>
            <w:tcW w:w="1666" w:type="pct"/>
            <w:tcBorders>
              <w:top w:val="single" w:color="auto" w:sz="8" w:space="0"/>
              <w:left w:val="nil"/>
              <w:bottom w:val="single" w:color="auto" w:sz="8" w:space="0"/>
              <w:right w:val="nil"/>
            </w:tcBorders>
            <w:vAlign w:val="center"/>
          </w:tcPr>
          <w:p w14:paraId="68A311FC">
            <w:pPr>
              <w:jc w:val="center"/>
              <w:rPr>
                <w:rFonts w:hint="default" w:ascii="Times New Roman" w:hAnsi="Times New Roman" w:cs="Times New Roman"/>
                <w:b/>
                <w:bCs/>
              </w:rPr>
            </w:pPr>
            <w:r>
              <w:rPr>
                <w:rFonts w:hint="default" w:ascii="Times New Roman" w:hAnsi="Times New Roman" w:cs="Times New Roman"/>
                <w:b/>
                <w:bCs/>
              </w:rPr>
              <w:t>Center I</w:t>
            </w:r>
          </w:p>
        </w:tc>
        <w:tc>
          <w:tcPr>
            <w:tcW w:w="1666" w:type="pct"/>
            <w:tcBorders>
              <w:top w:val="single" w:color="auto" w:sz="8" w:space="0"/>
              <w:left w:val="nil"/>
              <w:bottom w:val="single" w:color="auto" w:sz="8" w:space="0"/>
              <w:right w:val="nil"/>
            </w:tcBorders>
            <w:vAlign w:val="center"/>
          </w:tcPr>
          <w:p w14:paraId="52F5E4FD">
            <w:pPr>
              <w:jc w:val="center"/>
              <w:rPr>
                <w:rFonts w:hint="default" w:ascii="Times New Roman" w:hAnsi="Times New Roman" w:cs="Times New Roman"/>
                <w:b/>
                <w:bCs/>
              </w:rPr>
            </w:pPr>
            <w:r>
              <w:rPr>
                <w:rFonts w:hint="default" w:ascii="Times New Roman" w:hAnsi="Times New Roman" w:cs="Times New Roman"/>
                <w:b/>
                <w:bCs/>
              </w:rPr>
              <w:t>Center II</w:t>
            </w:r>
          </w:p>
        </w:tc>
      </w:tr>
      <w:tr w14:paraId="3684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single" w:color="auto" w:sz="8" w:space="0"/>
              <w:left w:val="nil"/>
              <w:bottom w:val="nil"/>
              <w:right w:val="nil"/>
            </w:tcBorders>
            <w:vAlign w:val="center"/>
          </w:tcPr>
          <w:p w14:paraId="4D2FDB16">
            <w:pPr>
              <w:jc w:val="center"/>
              <w:rPr>
                <w:rFonts w:hint="default" w:ascii="Times New Roman" w:hAnsi="Times New Roman" w:cs="Times New Roman"/>
              </w:rPr>
            </w:pPr>
            <w:r>
              <w:rPr>
                <w:rFonts w:hint="default" w:ascii="Times New Roman" w:hAnsi="Times New Roman" w:eastAsia="宋体" w:cs="Times New Roman"/>
                <w:sz w:val="24"/>
              </w:rPr>
              <w:t>CT scanner</w:t>
            </w:r>
          </w:p>
        </w:tc>
        <w:tc>
          <w:tcPr>
            <w:tcW w:w="1666" w:type="pct"/>
            <w:tcBorders>
              <w:top w:val="single" w:color="auto" w:sz="8" w:space="0"/>
              <w:left w:val="nil"/>
              <w:bottom w:val="nil"/>
              <w:right w:val="nil"/>
            </w:tcBorders>
            <w:vAlign w:val="center"/>
          </w:tcPr>
          <w:p w14:paraId="3FF4BBF3">
            <w:pPr>
              <w:jc w:val="center"/>
              <w:rPr>
                <w:rFonts w:hint="default" w:ascii="Times New Roman" w:hAnsi="Times New Roman" w:cs="Times New Roman"/>
              </w:rPr>
            </w:pPr>
            <w:r>
              <w:rPr>
                <w:rFonts w:hint="default" w:ascii="Times New Roman" w:hAnsi="Times New Roman" w:cs="Times New Roman"/>
              </w:rPr>
              <w:t>IQon Spectral, Philips</w:t>
            </w:r>
          </w:p>
        </w:tc>
        <w:tc>
          <w:tcPr>
            <w:tcW w:w="1666" w:type="pct"/>
            <w:tcBorders>
              <w:top w:val="single" w:color="auto" w:sz="8" w:space="0"/>
              <w:left w:val="nil"/>
              <w:bottom w:val="nil"/>
              <w:right w:val="nil"/>
            </w:tcBorders>
            <w:vAlign w:val="center"/>
          </w:tcPr>
          <w:p w14:paraId="2ADB34C4">
            <w:pPr>
              <w:jc w:val="center"/>
              <w:rPr>
                <w:rFonts w:hint="default" w:ascii="Times New Roman" w:hAnsi="Times New Roman" w:cs="Times New Roman"/>
              </w:rPr>
            </w:pPr>
            <w:r>
              <w:rPr>
                <w:rFonts w:hint="default" w:ascii="Times New Roman" w:hAnsi="Times New Roman" w:cs="Times New Roman"/>
              </w:rPr>
              <w:t>Revolution, GE</w:t>
            </w:r>
          </w:p>
        </w:tc>
      </w:tr>
      <w:tr w14:paraId="1902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041BEF07">
            <w:pPr>
              <w:jc w:val="center"/>
              <w:rPr>
                <w:rFonts w:hint="default" w:ascii="Times New Roman" w:hAnsi="Times New Roman" w:cs="Times New Roman"/>
              </w:rPr>
            </w:pPr>
            <w:r>
              <w:rPr>
                <w:rFonts w:hint="default" w:ascii="Times New Roman" w:hAnsi="Times New Roman" w:eastAsia="宋体" w:cs="Times New Roman"/>
                <w:sz w:val="24"/>
              </w:rPr>
              <w:t>Tube voltage</w:t>
            </w:r>
          </w:p>
        </w:tc>
        <w:tc>
          <w:tcPr>
            <w:tcW w:w="1666" w:type="pct"/>
            <w:tcBorders>
              <w:top w:val="nil"/>
              <w:left w:val="nil"/>
              <w:bottom w:val="nil"/>
              <w:right w:val="nil"/>
            </w:tcBorders>
            <w:vAlign w:val="center"/>
          </w:tcPr>
          <w:p w14:paraId="3EAD8FA6">
            <w:pPr>
              <w:jc w:val="center"/>
              <w:rPr>
                <w:rFonts w:hint="default" w:ascii="Times New Roman" w:hAnsi="Times New Roman" w:cs="Times New Roman"/>
              </w:rPr>
            </w:pPr>
            <w:r>
              <w:rPr>
                <w:rFonts w:hint="default" w:ascii="Times New Roman" w:hAnsi="Times New Roman" w:cs="Times New Roman"/>
              </w:rPr>
              <w:t>120 kV</w:t>
            </w:r>
          </w:p>
        </w:tc>
        <w:tc>
          <w:tcPr>
            <w:tcW w:w="1666" w:type="pct"/>
            <w:tcBorders>
              <w:top w:val="nil"/>
              <w:left w:val="nil"/>
              <w:bottom w:val="nil"/>
              <w:right w:val="nil"/>
            </w:tcBorders>
            <w:vAlign w:val="center"/>
          </w:tcPr>
          <w:p w14:paraId="236C9E4F">
            <w:pPr>
              <w:jc w:val="center"/>
              <w:rPr>
                <w:rFonts w:hint="default" w:ascii="Times New Roman" w:hAnsi="Times New Roman" w:cs="Times New Roman"/>
              </w:rPr>
            </w:pPr>
            <w:r>
              <w:rPr>
                <w:rFonts w:hint="default" w:ascii="Times New Roman" w:hAnsi="Times New Roman" w:cs="Times New Roman"/>
              </w:rPr>
              <w:t>120 kV</w:t>
            </w:r>
          </w:p>
        </w:tc>
      </w:tr>
      <w:tr w14:paraId="0D33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7F21E992">
            <w:pPr>
              <w:jc w:val="center"/>
              <w:rPr>
                <w:rFonts w:hint="default" w:ascii="Times New Roman" w:hAnsi="Times New Roman" w:cs="Times New Roman"/>
              </w:rPr>
            </w:pPr>
            <w:r>
              <w:rPr>
                <w:rFonts w:hint="default" w:ascii="Times New Roman" w:hAnsi="Times New Roman" w:eastAsia="宋体" w:cs="Times New Roman"/>
                <w:sz w:val="24"/>
              </w:rPr>
              <w:t>Tube current</w:t>
            </w:r>
          </w:p>
        </w:tc>
        <w:tc>
          <w:tcPr>
            <w:tcW w:w="1666" w:type="pct"/>
            <w:tcBorders>
              <w:top w:val="nil"/>
              <w:left w:val="nil"/>
              <w:bottom w:val="nil"/>
              <w:right w:val="nil"/>
            </w:tcBorders>
            <w:vAlign w:val="center"/>
          </w:tcPr>
          <w:p w14:paraId="530A7D2D">
            <w:pPr>
              <w:jc w:val="center"/>
              <w:rPr>
                <w:rFonts w:hint="default" w:ascii="Times New Roman" w:hAnsi="Times New Roman" w:cs="Times New Roman"/>
              </w:rPr>
            </w:pPr>
            <w:r>
              <w:rPr>
                <w:rFonts w:hint="default" w:ascii="Times New Roman" w:hAnsi="Times New Roman" w:cs="Times New Roman"/>
              </w:rPr>
              <w:t>Automatic</w:t>
            </w:r>
          </w:p>
        </w:tc>
        <w:tc>
          <w:tcPr>
            <w:tcW w:w="1666" w:type="pct"/>
            <w:tcBorders>
              <w:top w:val="nil"/>
              <w:left w:val="nil"/>
              <w:bottom w:val="nil"/>
              <w:right w:val="nil"/>
            </w:tcBorders>
            <w:vAlign w:val="center"/>
          </w:tcPr>
          <w:p w14:paraId="5470F9FE">
            <w:pPr>
              <w:jc w:val="center"/>
              <w:rPr>
                <w:rFonts w:hint="default" w:ascii="Times New Roman" w:hAnsi="Times New Roman" w:cs="Times New Roman"/>
              </w:rPr>
            </w:pPr>
            <w:r>
              <w:rPr>
                <w:rFonts w:hint="default" w:ascii="Times New Roman" w:hAnsi="Times New Roman" w:cs="Times New Roman"/>
              </w:rPr>
              <w:t>350–410 mAs</w:t>
            </w:r>
          </w:p>
        </w:tc>
      </w:tr>
      <w:tr w14:paraId="5F20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08D73610">
            <w:pPr>
              <w:jc w:val="center"/>
              <w:rPr>
                <w:rFonts w:hint="default" w:ascii="Times New Roman" w:hAnsi="Times New Roman" w:cs="Times New Roman"/>
              </w:rPr>
            </w:pPr>
            <w:r>
              <w:rPr>
                <w:rFonts w:hint="default" w:ascii="Times New Roman" w:hAnsi="Times New Roman" w:eastAsia="宋体" w:cs="Times New Roman"/>
                <w:sz w:val="24"/>
              </w:rPr>
              <w:t>Slice thickness</w:t>
            </w:r>
          </w:p>
        </w:tc>
        <w:tc>
          <w:tcPr>
            <w:tcW w:w="1666" w:type="pct"/>
            <w:tcBorders>
              <w:top w:val="nil"/>
              <w:left w:val="nil"/>
              <w:bottom w:val="nil"/>
              <w:right w:val="nil"/>
            </w:tcBorders>
            <w:vAlign w:val="center"/>
          </w:tcPr>
          <w:p w14:paraId="4341AE12">
            <w:pPr>
              <w:jc w:val="center"/>
              <w:rPr>
                <w:rFonts w:hint="default" w:ascii="Times New Roman" w:hAnsi="Times New Roman" w:cs="Times New Roman"/>
              </w:rPr>
            </w:pPr>
            <w:r>
              <w:rPr>
                <w:rFonts w:hint="default" w:ascii="Times New Roman" w:hAnsi="Times New Roman" w:cs="Times New Roman"/>
              </w:rPr>
              <w:t>0.625 mm</w:t>
            </w:r>
          </w:p>
        </w:tc>
        <w:tc>
          <w:tcPr>
            <w:tcW w:w="1666" w:type="pct"/>
            <w:tcBorders>
              <w:top w:val="nil"/>
              <w:left w:val="nil"/>
              <w:bottom w:val="nil"/>
              <w:right w:val="nil"/>
            </w:tcBorders>
            <w:vAlign w:val="center"/>
          </w:tcPr>
          <w:p w14:paraId="49BFD376">
            <w:pPr>
              <w:jc w:val="center"/>
              <w:rPr>
                <w:rFonts w:hint="default" w:ascii="Times New Roman" w:hAnsi="Times New Roman" w:cs="Times New Roman"/>
              </w:rPr>
            </w:pPr>
            <w:r>
              <w:rPr>
                <w:rFonts w:hint="default" w:ascii="Times New Roman" w:hAnsi="Times New Roman" w:cs="Times New Roman"/>
              </w:rPr>
              <w:t>1 mm</w:t>
            </w:r>
          </w:p>
        </w:tc>
      </w:tr>
      <w:tr w14:paraId="30A3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71FB171A">
            <w:pPr>
              <w:jc w:val="center"/>
              <w:rPr>
                <w:rFonts w:hint="default" w:ascii="Times New Roman" w:hAnsi="Times New Roman" w:cs="Times New Roman"/>
              </w:rPr>
            </w:pPr>
            <w:r>
              <w:rPr>
                <w:rFonts w:hint="default" w:ascii="Times New Roman" w:hAnsi="Times New Roman" w:eastAsia="宋体" w:cs="Times New Roman"/>
                <w:sz w:val="24"/>
              </w:rPr>
              <w:t>Contrast agent</w:t>
            </w:r>
          </w:p>
        </w:tc>
        <w:tc>
          <w:tcPr>
            <w:tcW w:w="1666" w:type="pct"/>
            <w:tcBorders>
              <w:top w:val="nil"/>
              <w:left w:val="nil"/>
              <w:bottom w:val="nil"/>
              <w:right w:val="nil"/>
            </w:tcBorders>
            <w:vAlign w:val="center"/>
          </w:tcPr>
          <w:p w14:paraId="48B23DBA">
            <w:pPr>
              <w:jc w:val="center"/>
              <w:rPr>
                <w:rFonts w:hint="default" w:ascii="Times New Roman" w:hAnsi="Times New Roman" w:cs="Times New Roman"/>
              </w:rPr>
            </w:pPr>
            <w:r>
              <w:rPr>
                <w:rFonts w:hint="default" w:ascii="Times New Roman" w:hAnsi="Times New Roman" w:cs="Times New Roman"/>
              </w:rPr>
              <w:t>Iohexol</w:t>
            </w:r>
          </w:p>
        </w:tc>
        <w:tc>
          <w:tcPr>
            <w:tcW w:w="1666" w:type="pct"/>
            <w:tcBorders>
              <w:top w:val="nil"/>
              <w:left w:val="nil"/>
              <w:bottom w:val="nil"/>
              <w:right w:val="nil"/>
            </w:tcBorders>
            <w:vAlign w:val="center"/>
          </w:tcPr>
          <w:p w14:paraId="78F6D704">
            <w:pPr>
              <w:jc w:val="center"/>
              <w:rPr>
                <w:rFonts w:hint="default" w:ascii="Times New Roman" w:hAnsi="Times New Roman" w:cs="Times New Roman"/>
              </w:rPr>
            </w:pPr>
            <w:r>
              <w:rPr>
                <w:rFonts w:hint="default" w:ascii="Times New Roman" w:hAnsi="Times New Roman" w:cs="Times New Roman"/>
              </w:rPr>
              <w:t>Iohexol</w:t>
            </w:r>
          </w:p>
        </w:tc>
      </w:tr>
      <w:tr w14:paraId="3E6F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145BF716">
            <w:pPr>
              <w:jc w:val="center"/>
              <w:rPr>
                <w:rFonts w:hint="default" w:ascii="Times New Roman" w:hAnsi="Times New Roman" w:cs="Times New Roman"/>
              </w:rPr>
            </w:pPr>
            <w:r>
              <w:rPr>
                <w:rFonts w:hint="default" w:ascii="Times New Roman" w:hAnsi="Times New Roman" w:eastAsia="宋体" w:cs="Times New Roman"/>
                <w:sz w:val="24"/>
              </w:rPr>
              <w:t>Dose</w:t>
            </w:r>
          </w:p>
        </w:tc>
        <w:tc>
          <w:tcPr>
            <w:tcW w:w="1666" w:type="pct"/>
            <w:tcBorders>
              <w:top w:val="nil"/>
              <w:left w:val="nil"/>
              <w:bottom w:val="nil"/>
              <w:right w:val="nil"/>
            </w:tcBorders>
            <w:vAlign w:val="center"/>
          </w:tcPr>
          <w:p w14:paraId="2722D093">
            <w:pPr>
              <w:jc w:val="center"/>
              <w:rPr>
                <w:rFonts w:hint="default" w:ascii="Times New Roman" w:hAnsi="Times New Roman" w:cs="Times New Roman"/>
              </w:rPr>
            </w:pPr>
            <w:r>
              <w:rPr>
                <w:rFonts w:hint="default" w:ascii="Times New Roman" w:hAnsi="Times New Roman" w:cs="Times New Roman"/>
              </w:rPr>
              <w:t>1.5 mL/kg</w:t>
            </w:r>
          </w:p>
        </w:tc>
        <w:tc>
          <w:tcPr>
            <w:tcW w:w="1666" w:type="pct"/>
            <w:tcBorders>
              <w:top w:val="nil"/>
              <w:left w:val="nil"/>
              <w:bottom w:val="nil"/>
              <w:right w:val="nil"/>
            </w:tcBorders>
            <w:vAlign w:val="center"/>
          </w:tcPr>
          <w:p w14:paraId="7DA8591C">
            <w:pPr>
              <w:jc w:val="center"/>
              <w:rPr>
                <w:rFonts w:hint="default" w:ascii="Times New Roman" w:hAnsi="Times New Roman" w:cs="Times New Roman"/>
              </w:rPr>
            </w:pPr>
            <w:r>
              <w:rPr>
                <w:rFonts w:hint="default" w:ascii="Times New Roman" w:hAnsi="Times New Roman" w:cs="Times New Roman"/>
              </w:rPr>
              <w:t>1.5 mL/kg</w:t>
            </w:r>
          </w:p>
        </w:tc>
      </w:tr>
      <w:tr w14:paraId="0AFA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59610BC2">
            <w:pPr>
              <w:jc w:val="center"/>
              <w:rPr>
                <w:rFonts w:hint="default" w:ascii="Times New Roman" w:hAnsi="Times New Roman" w:cs="Times New Roman"/>
              </w:rPr>
            </w:pPr>
            <w:r>
              <w:rPr>
                <w:rFonts w:hint="default" w:ascii="Times New Roman" w:hAnsi="Times New Roman" w:eastAsia="宋体" w:cs="Times New Roman"/>
                <w:sz w:val="24"/>
              </w:rPr>
              <w:t>Injection rate</w:t>
            </w:r>
          </w:p>
        </w:tc>
        <w:tc>
          <w:tcPr>
            <w:tcW w:w="1666" w:type="pct"/>
            <w:tcBorders>
              <w:top w:val="nil"/>
              <w:left w:val="nil"/>
              <w:bottom w:val="nil"/>
              <w:right w:val="nil"/>
            </w:tcBorders>
            <w:vAlign w:val="center"/>
          </w:tcPr>
          <w:p w14:paraId="7B0D0084">
            <w:pPr>
              <w:jc w:val="center"/>
              <w:rPr>
                <w:rFonts w:hint="default" w:ascii="Times New Roman" w:hAnsi="Times New Roman" w:cs="Times New Roman"/>
              </w:rPr>
            </w:pPr>
            <w:r>
              <w:rPr>
                <w:rFonts w:hint="default" w:ascii="Times New Roman" w:hAnsi="Times New Roman" w:cs="Times New Roman"/>
              </w:rPr>
              <w:t>3.0–3.5 mL/s</w:t>
            </w:r>
          </w:p>
        </w:tc>
        <w:tc>
          <w:tcPr>
            <w:tcW w:w="1666" w:type="pct"/>
            <w:tcBorders>
              <w:top w:val="nil"/>
              <w:left w:val="nil"/>
              <w:bottom w:val="nil"/>
              <w:right w:val="nil"/>
            </w:tcBorders>
            <w:vAlign w:val="center"/>
          </w:tcPr>
          <w:p w14:paraId="3CD9CF80">
            <w:pPr>
              <w:jc w:val="center"/>
              <w:rPr>
                <w:rFonts w:hint="default" w:ascii="Times New Roman" w:hAnsi="Times New Roman" w:cs="Times New Roman"/>
              </w:rPr>
            </w:pPr>
            <w:r>
              <w:rPr>
                <w:rFonts w:hint="default" w:ascii="Times New Roman" w:hAnsi="Times New Roman" w:cs="Times New Roman"/>
              </w:rPr>
              <w:t>3.0–3.5 mL/s</w:t>
            </w:r>
          </w:p>
        </w:tc>
      </w:tr>
      <w:tr w14:paraId="12EE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3A67A570">
            <w:pPr>
              <w:jc w:val="center"/>
              <w:rPr>
                <w:rFonts w:hint="default" w:ascii="Times New Roman" w:hAnsi="Times New Roman" w:cs="Times New Roman"/>
              </w:rPr>
            </w:pPr>
            <w:r>
              <w:rPr>
                <w:rFonts w:hint="default" w:ascii="Times New Roman" w:hAnsi="Times New Roman" w:eastAsia="宋体" w:cs="Times New Roman"/>
                <w:sz w:val="24"/>
              </w:rPr>
              <w:t>Contrast phase</w:t>
            </w:r>
          </w:p>
        </w:tc>
        <w:tc>
          <w:tcPr>
            <w:tcW w:w="1666" w:type="pct"/>
            <w:tcBorders>
              <w:top w:val="nil"/>
              <w:left w:val="nil"/>
              <w:bottom w:val="nil"/>
              <w:right w:val="nil"/>
            </w:tcBorders>
            <w:vAlign w:val="center"/>
          </w:tcPr>
          <w:p w14:paraId="35428225">
            <w:pPr>
              <w:jc w:val="center"/>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rPr>
              <w:t>rterial–phase</w:t>
            </w:r>
          </w:p>
        </w:tc>
        <w:tc>
          <w:tcPr>
            <w:tcW w:w="1666" w:type="pct"/>
            <w:tcBorders>
              <w:top w:val="nil"/>
              <w:left w:val="nil"/>
              <w:bottom w:val="nil"/>
              <w:right w:val="nil"/>
            </w:tcBorders>
            <w:vAlign w:val="center"/>
          </w:tcPr>
          <w:p w14:paraId="538791B8">
            <w:pPr>
              <w:jc w:val="center"/>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rPr>
              <w:t>rterial–phase</w:t>
            </w:r>
          </w:p>
        </w:tc>
      </w:tr>
      <w:tr w14:paraId="2585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nil"/>
              <w:right w:val="nil"/>
            </w:tcBorders>
            <w:vAlign w:val="center"/>
          </w:tcPr>
          <w:p w14:paraId="52D7E632">
            <w:pPr>
              <w:jc w:val="center"/>
              <w:rPr>
                <w:rFonts w:hint="default" w:ascii="Times New Roman" w:hAnsi="Times New Roman" w:cs="Times New Roman"/>
              </w:rPr>
            </w:pPr>
            <w:r>
              <w:rPr>
                <w:rFonts w:hint="default" w:ascii="Times New Roman" w:hAnsi="Times New Roman" w:eastAsia="宋体" w:cs="Times New Roman"/>
                <w:sz w:val="24"/>
              </w:rPr>
              <w:t>Scan delay</w:t>
            </w:r>
          </w:p>
        </w:tc>
        <w:tc>
          <w:tcPr>
            <w:tcW w:w="1666" w:type="pct"/>
            <w:tcBorders>
              <w:top w:val="nil"/>
              <w:left w:val="nil"/>
              <w:bottom w:val="nil"/>
              <w:right w:val="nil"/>
            </w:tcBorders>
            <w:vAlign w:val="center"/>
          </w:tcPr>
          <w:p w14:paraId="3FA6E34E">
            <w:pPr>
              <w:jc w:val="center"/>
              <w:rPr>
                <w:rFonts w:hint="default" w:ascii="Times New Roman" w:hAnsi="Times New Roman" w:cs="Times New Roman"/>
              </w:rPr>
            </w:pPr>
            <w:r>
              <w:rPr>
                <w:rFonts w:hint="default" w:ascii="Times New Roman" w:hAnsi="Times New Roman" w:cs="Times New Roman"/>
              </w:rPr>
              <w:t>25–30 s</w:t>
            </w:r>
          </w:p>
        </w:tc>
        <w:tc>
          <w:tcPr>
            <w:tcW w:w="1666" w:type="pct"/>
            <w:tcBorders>
              <w:top w:val="nil"/>
              <w:left w:val="nil"/>
              <w:bottom w:val="nil"/>
              <w:right w:val="nil"/>
            </w:tcBorders>
            <w:vAlign w:val="center"/>
          </w:tcPr>
          <w:p w14:paraId="006B0AB2">
            <w:pPr>
              <w:jc w:val="center"/>
              <w:rPr>
                <w:rFonts w:hint="default" w:ascii="Times New Roman" w:hAnsi="Times New Roman" w:cs="Times New Roman"/>
              </w:rPr>
            </w:pPr>
            <w:r>
              <w:rPr>
                <w:rFonts w:hint="default" w:ascii="Times New Roman" w:hAnsi="Times New Roman" w:cs="Times New Roman"/>
              </w:rPr>
              <w:t>25–30 s</w:t>
            </w:r>
          </w:p>
        </w:tc>
      </w:tr>
      <w:tr w14:paraId="18D2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tcBorders>
              <w:top w:val="nil"/>
              <w:left w:val="nil"/>
              <w:bottom w:val="single" w:color="auto" w:sz="8" w:space="0"/>
              <w:right w:val="nil"/>
            </w:tcBorders>
            <w:vAlign w:val="center"/>
          </w:tcPr>
          <w:p w14:paraId="20383A53">
            <w:pPr>
              <w:jc w:val="center"/>
              <w:rPr>
                <w:rFonts w:hint="default" w:ascii="Times New Roman" w:hAnsi="Times New Roman" w:cs="Times New Roman"/>
              </w:rPr>
            </w:pPr>
            <w:r>
              <w:rPr>
                <w:rFonts w:hint="default" w:ascii="Times New Roman" w:hAnsi="Times New Roman" w:eastAsia="宋体" w:cs="Times New Roman"/>
                <w:sz w:val="24"/>
              </w:rPr>
              <w:t>Reconstruction algorithm/kernel</w:t>
            </w:r>
          </w:p>
        </w:tc>
        <w:tc>
          <w:tcPr>
            <w:tcW w:w="1666" w:type="pct"/>
            <w:tcBorders>
              <w:top w:val="nil"/>
              <w:left w:val="nil"/>
              <w:bottom w:val="single" w:color="auto" w:sz="8" w:space="0"/>
              <w:right w:val="nil"/>
            </w:tcBorders>
            <w:vAlign w:val="center"/>
          </w:tcPr>
          <w:p w14:paraId="28223EBC">
            <w:pPr>
              <w:jc w:val="center"/>
              <w:rPr>
                <w:rFonts w:hint="default" w:ascii="Times New Roman" w:hAnsi="Times New Roman" w:cs="Times New Roman"/>
              </w:rPr>
            </w:pPr>
            <w:r>
              <w:rPr>
                <w:rFonts w:hint="default" w:ascii="Times New Roman" w:hAnsi="Times New Roman" w:cs="Times New Roman"/>
              </w:rPr>
              <w:t>iDose⁴, Filter B</w:t>
            </w:r>
          </w:p>
        </w:tc>
        <w:tc>
          <w:tcPr>
            <w:tcW w:w="1666" w:type="pct"/>
            <w:tcBorders>
              <w:top w:val="nil"/>
              <w:left w:val="nil"/>
              <w:bottom w:val="single" w:color="auto" w:sz="8" w:space="0"/>
              <w:right w:val="nil"/>
            </w:tcBorders>
            <w:vAlign w:val="center"/>
          </w:tcPr>
          <w:p w14:paraId="44CD7372">
            <w:pPr>
              <w:jc w:val="center"/>
              <w:rPr>
                <w:rFonts w:hint="default" w:ascii="Times New Roman" w:hAnsi="Times New Roman" w:cs="Times New Roman"/>
              </w:rPr>
            </w:pPr>
            <w:r>
              <w:rPr>
                <w:rFonts w:hint="default" w:ascii="Times New Roman" w:hAnsi="Times New Roman" w:cs="Times New Roman"/>
              </w:rPr>
              <w:t>ASiR–V, Standard kernel</w:t>
            </w:r>
          </w:p>
        </w:tc>
      </w:tr>
    </w:tbl>
    <w:p w14:paraId="6929206B">
      <w:pPr>
        <w:spacing w:line="480" w:lineRule="auto"/>
        <w:rPr>
          <w:rFonts w:hint="default" w:ascii="Times New Roman" w:hAnsi="Times New Roman" w:cs="Times New Roman"/>
          <w:sz w:val="20"/>
          <w:szCs w:val="20"/>
        </w:rPr>
      </w:pPr>
    </w:p>
    <w:p w14:paraId="69CD8568">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Image Preprocessing and Data Normalization Strategy</w:t>
      </w:r>
    </w:p>
    <w:p w14:paraId="0C83CD23">
      <w:pPr>
        <w:numPr>
          <w:ilvl w:val="0"/>
          <w:numId w:val="2"/>
        </w:num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 xml:space="preserve">Image </w:t>
      </w:r>
      <w:r>
        <w:rPr>
          <w:rFonts w:hint="default" w:ascii="Times New Roman" w:hAnsi="Times New Roman" w:cs="Times New Roman"/>
          <w:sz w:val="20"/>
          <w:szCs w:val="20"/>
        </w:rPr>
        <w:t>p</w:t>
      </w:r>
      <w:r>
        <w:rPr>
          <w:rFonts w:hint="default" w:ascii="Times New Roman" w:hAnsi="Times New Roman" w:cs="Times New Roman"/>
          <w:sz w:val="20"/>
          <w:szCs w:val="20"/>
        </w:rPr>
        <w:t>reprocessing</w:t>
      </w:r>
    </w:p>
    <w:p w14:paraId="37616FD6">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Patients were scanned in the supine position from the neck to the abdomen after intravenous administration of iodinated contrast material. CT images were converted from DICOM to NIfTI format. Hounsfield units were clipped to −124 to 225 and linearly normalized to 0–255. All images were resampled to an isotropic voxel size of 1 × 1 × 1 mm³ using linear interpolation.</w:t>
      </w:r>
    </w:p>
    <w:p w14:paraId="300C4075">
      <w:pPr>
        <w:spacing w:line="480" w:lineRule="auto"/>
        <w:rPr>
          <w:rFonts w:hint="default" w:ascii="Times New Roman" w:hAnsi="Times New Roman" w:cs="Times New Roman"/>
          <w:sz w:val="20"/>
          <w:szCs w:val="20"/>
        </w:rPr>
      </w:pPr>
    </w:p>
    <w:p w14:paraId="61118891">
      <w:pPr>
        <w:numPr>
          <w:ilvl w:val="0"/>
          <w:numId w:val="2"/>
        </w:num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Feature Standardization</w:t>
      </w:r>
      <w:r>
        <w:rPr>
          <w:rFonts w:hint="default" w:ascii="Times New Roman" w:hAnsi="Times New Roman" w:cs="Times New Roman"/>
          <w:sz w:val="20"/>
          <w:szCs w:val="20"/>
        </w:rPr>
        <w:br w:type="textWrapping"/>
      </w:r>
      <w:r>
        <w:rPr>
          <w:rFonts w:hint="default" w:ascii="Times New Roman" w:hAnsi="Times New Roman" w:cs="Times New Roman"/>
          <w:sz w:val="20"/>
          <w:szCs w:val="20"/>
        </w:rPr>
        <w:t>During five</w:t>
      </w:r>
      <w:r>
        <w:rPr>
          <w:rFonts w:hint="default" w:ascii="Times New Roman" w:hAnsi="Times New Roman" w:cs="Times New Roman"/>
          <w:sz w:val="20"/>
          <w:szCs w:val="20"/>
          <w:lang w:eastAsia="zh-CN"/>
        </w:rPr>
        <w:t>-</w:t>
      </w:r>
      <w:r>
        <w:rPr>
          <w:rFonts w:hint="default" w:ascii="Times New Roman" w:hAnsi="Times New Roman" w:cs="Times New Roman"/>
          <w:sz w:val="20"/>
          <w:szCs w:val="20"/>
        </w:rPr>
        <w:t>fold cross</w:t>
      </w:r>
      <w:r>
        <w:rPr>
          <w:rFonts w:hint="default" w:ascii="Times New Roman" w:hAnsi="Times New Roman" w:cs="Times New Roman"/>
          <w:sz w:val="20"/>
          <w:szCs w:val="20"/>
          <w:lang w:eastAsia="zh-CN"/>
        </w:rPr>
        <w:t>-</w:t>
      </w:r>
      <w:r>
        <w:rPr>
          <w:rFonts w:hint="default" w:ascii="Times New Roman" w:hAnsi="Times New Roman" w:cs="Times New Roman"/>
          <w:sz w:val="20"/>
          <w:szCs w:val="20"/>
        </w:rPr>
        <w:t>validation, the mean and standard deviation of each feature were estimated from the training subset of each fold and used for z</w:t>
      </w:r>
      <w:r>
        <w:rPr>
          <w:rFonts w:hint="default" w:ascii="Times New Roman" w:hAnsi="Times New Roman" w:cs="Times New Roman"/>
          <w:sz w:val="20"/>
          <w:szCs w:val="20"/>
          <w:lang w:eastAsia="zh-CN"/>
        </w:rPr>
        <w:t>-</w:t>
      </w:r>
      <w:r>
        <w:rPr>
          <w:rFonts w:hint="default" w:ascii="Times New Roman" w:hAnsi="Times New Roman" w:cs="Times New Roman"/>
          <w:sz w:val="20"/>
          <w:szCs w:val="20"/>
        </w:rPr>
        <w:t>score normalization. The same parameters were applied to the corresponding validation fold. After model selection, normalization parameters were re</w:t>
      </w:r>
      <w:r>
        <w:rPr>
          <w:rFonts w:hint="default" w:ascii="Times New Roman" w:hAnsi="Times New Roman" w:cs="Times New Roman"/>
          <w:sz w:val="20"/>
          <w:szCs w:val="20"/>
          <w:lang w:eastAsia="zh-CN"/>
        </w:rPr>
        <w:t>-</w:t>
      </w:r>
      <w:r>
        <w:rPr>
          <w:rFonts w:hint="default" w:ascii="Times New Roman" w:hAnsi="Times New Roman" w:cs="Times New Roman"/>
          <w:sz w:val="20"/>
          <w:szCs w:val="20"/>
        </w:rPr>
        <w:t>estimated using the full training cohort and subsequently applied unchanged to the temporal and external test cohorts.</w:t>
      </w:r>
    </w:p>
    <w:p w14:paraId="78B10820">
      <w:pPr>
        <w:spacing w:line="480" w:lineRule="auto"/>
        <w:rPr>
          <w:rFonts w:hint="default" w:ascii="Times New Roman" w:hAnsi="Times New Roman" w:cs="Times New Roman"/>
          <w:sz w:val="20"/>
          <w:szCs w:val="20"/>
        </w:rPr>
      </w:pPr>
    </w:p>
    <w:p w14:paraId="3A91B195">
      <w:pPr>
        <w:numPr>
          <w:ilvl w:val="0"/>
          <w:numId w:val="2"/>
        </w:num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ROI Selection and Multi–slice Sampling Strategy</w:t>
      </w:r>
    </w:p>
    <w:p w14:paraId="025661A5">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All data were partitioned at the patient level before slice sampling. During five–fold cross–validation, all slices from the same patient were kept within the same fold. For each patient, the axial slice with the largest tumor cross–sectional area was defined as the key slice (S0). Five slices centered on S0 were selected for the 2D deep–learning analysis: S−4, S−2, S0, S+2, and S+4. S±1 and S±3 were excluded to reduce redundancy between adjacent slices.</w:t>
      </w:r>
    </w:p>
    <w:p w14:paraId="46ECB97A">
      <w:pPr>
        <w:spacing w:line="480" w:lineRule="auto"/>
        <w:ind w:firstLine="300"/>
        <w:rPr>
          <w:rFonts w:hint="default" w:ascii="Times New Roman" w:hAnsi="Times New Roman" w:cs="Times New Roman"/>
          <w:sz w:val="20"/>
          <w:szCs w:val="20"/>
        </w:rPr>
      </w:pPr>
      <w:r>
        <w:rPr>
          <w:rFonts w:hint="default" w:ascii="Times New Roman" w:hAnsi="Times New Roman" w:cs="Times New Roman"/>
          <w:sz w:val="20"/>
          <w:szCs w:val="20"/>
        </w:rPr>
        <w:t>Each selected slice was processed separately by the network using the corresponding patient–level pathological label. For evaluation, the predicted probabilities of the five slices were averaged to obtain a single probability for each patient. The same five–slice sampling and probability–averaging procedure was used during cross–validation and in the temporal and external test cohorts. Model performance was therefore evaluated at the patient level.</w:t>
      </w:r>
    </w:p>
    <w:p w14:paraId="0294628E">
      <w:pPr>
        <w:spacing w:line="480" w:lineRule="auto"/>
        <w:rPr>
          <w:rFonts w:hint="default" w:ascii="Times New Roman" w:hAnsi="Times New Roman" w:cs="Times New Roman"/>
          <w:sz w:val="20"/>
          <w:szCs w:val="20"/>
        </w:rPr>
      </w:pPr>
    </w:p>
    <w:p w14:paraId="119594EA">
      <w:pPr>
        <w:numPr>
          <w:ilvl w:val="0"/>
          <w:numId w:val="2"/>
        </w:num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Preprocessing for Deep Learning Models</w:t>
      </w:r>
    </w:p>
    <w:p w14:paraId="327E98BF">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During model training, data augmentation included translation, rotation, horizontal flipping, and random cropping to 224 × 224 pixels. Input images were subsequently normalized using ImageNet normalization parameters.</w:t>
      </w:r>
    </w:p>
    <w:p w14:paraId="3DB6A9A9">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Radiomics feature extraction</w:t>
      </w:r>
    </w:p>
    <w:p w14:paraId="23977CCE">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Radiomic features were extracted from the segmented primary tumors using PyRadiomics 3.0.1. Features were calculated from the original and filtered images and included shape, first–order, and texture features. A total of 1834 radiomic features were obtained for each patient. The extraction settings are summarized below.</w:t>
      </w:r>
    </w:p>
    <w:tbl>
      <w:tblPr>
        <w:tblStyle w:val="6"/>
        <w:tblW w:w="5000"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1A945CC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tcBorders>
              <w:bottom w:val="single" w:color="auto" w:sz="8" w:space="0"/>
            </w:tcBorders>
            <w:vAlign w:val="center"/>
          </w:tcPr>
          <w:p w14:paraId="059BBE76">
            <w:pPr>
              <w:spacing w:line="360" w:lineRule="auto"/>
              <w:rPr>
                <w:rFonts w:hint="default" w:ascii="Times New Roman" w:hAnsi="Times New Roman" w:cs="Times New Roman"/>
                <w:b/>
                <w:bCs/>
                <w:sz w:val="20"/>
                <w:szCs w:val="20"/>
              </w:rPr>
            </w:pPr>
            <w:r>
              <w:rPr>
                <w:rFonts w:hint="default" w:ascii="Times New Roman" w:hAnsi="Times New Roman" w:cs="Times New Roman"/>
                <w:b/>
                <w:bCs/>
                <w:sz w:val="20"/>
                <w:szCs w:val="20"/>
              </w:rPr>
              <w:t>Parameter</w:t>
            </w:r>
          </w:p>
        </w:tc>
        <w:tc>
          <w:tcPr>
            <w:tcW w:w="2500" w:type="pct"/>
            <w:tcBorders>
              <w:bottom w:val="single" w:color="auto" w:sz="8" w:space="0"/>
            </w:tcBorders>
            <w:vAlign w:val="center"/>
          </w:tcPr>
          <w:p w14:paraId="42E65D41">
            <w:pPr>
              <w:spacing w:line="360" w:lineRule="auto"/>
              <w:rPr>
                <w:rFonts w:hint="default" w:ascii="Times New Roman" w:hAnsi="Times New Roman" w:cs="Times New Roman"/>
                <w:b/>
                <w:bCs/>
                <w:sz w:val="20"/>
                <w:szCs w:val="20"/>
              </w:rPr>
            </w:pPr>
            <w:r>
              <w:rPr>
                <w:rFonts w:hint="default" w:ascii="Times New Roman" w:hAnsi="Times New Roman" w:eastAsia="宋体" w:cs="Times New Roman"/>
                <w:b/>
                <w:bCs/>
                <w:sz w:val="20"/>
                <w:szCs w:val="20"/>
              </w:rPr>
              <w:t>Setting</w:t>
            </w:r>
          </w:p>
        </w:tc>
      </w:tr>
      <w:tr w14:paraId="146E63E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tcBorders>
              <w:top w:val="single" w:color="auto" w:sz="8" w:space="0"/>
            </w:tcBorders>
            <w:vAlign w:val="center"/>
          </w:tcPr>
          <w:p w14:paraId="48B83A26">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Software</w:t>
            </w:r>
          </w:p>
        </w:tc>
        <w:tc>
          <w:tcPr>
            <w:tcW w:w="2500" w:type="pct"/>
            <w:tcBorders>
              <w:top w:val="single" w:color="auto" w:sz="8" w:space="0"/>
            </w:tcBorders>
            <w:vAlign w:val="center"/>
          </w:tcPr>
          <w:p w14:paraId="5E9BA74F">
            <w:pPr>
              <w:spacing w:line="360" w:lineRule="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PyRadiomics 3.0.1</w:t>
            </w:r>
          </w:p>
        </w:tc>
      </w:tr>
      <w:tr w14:paraId="4FF9EC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69FC8051">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Resampled voxel size</w:t>
            </w:r>
          </w:p>
        </w:tc>
        <w:tc>
          <w:tcPr>
            <w:tcW w:w="2500" w:type="pct"/>
            <w:vAlign w:val="center"/>
          </w:tcPr>
          <w:p w14:paraId="16D3A1FC">
            <w:pPr>
              <w:spacing w:line="360" w:lineRule="auto"/>
              <w:rPr>
                <w:rFonts w:hint="default" w:ascii="Times New Roman" w:hAnsi="Times New Roman" w:cs="Times New Roman"/>
                <w:sz w:val="20"/>
                <w:szCs w:val="20"/>
              </w:rPr>
            </w:pPr>
            <w:r>
              <w:rPr>
                <w:rFonts w:hint="default" w:ascii="Times New Roman" w:hAnsi="Times New Roman" w:cs="Times New Roman"/>
                <w:sz w:val="20"/>
                <w:szCs w:val="20"/>
              </w:rPr>
              <w:t>1 × 1 × 1 mm³</w:t>
            </w:r>
          </w:p>
        </w:tc>
      </w:tr>
      <w:tr w14:paraId="34C02A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41DFC9B1">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Interpolator</w:t>
            </w:r>
          </w:p>
        </w:tc>
        <w:tc>
          <w:tcPr>
            <w:tcW w:w="2500" w:type="pct"/>
            <w:vAlign w:val="center"/>
          </w:tcPr>
          <w:p w14:paraId="41495149">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sitkLinear</w:t>
            </w:r>
          </w:p>
        </w:tc>
      </w:tr>
      <w:tr w14:paraId="2EF26C4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4B18ED1D">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Discretization method</w:t>
            </w:r>
          </w:p>
        </w:tc>
        <w:tc>
          <w:tcPr>
            <w:tcW w:w="2500" w:type="pct"/>
            <w:vAlign w:val="center"/>
          </w:tcPr>
          <w:p w14:paraId="164D4F93">
            <w:pPr>
              <w:spacing w:line="360" w:lineRule="auto"/>
              <w:rPr>
                <w:rFonts w:hint="default" w:ascii="Times New Roman" w:hAnsi="Times New Roman" w:cs="Times New Roman"/>
                <w:sz w:val="20"/>
                <w:szCs w:val="20"/>
              </w:rPr>
            </w:pPr>
            <w:r>
              <w:rPr>
                <w:rFonts w:hint="default" w:ascii="Times New Roman" w:hAnsi="Times New Roman" w:cs="Times New Roman"/>
                <w:sz w:val="20"/>
                <w:szCs w:val="20"/>
              </w:rPr>
              <w:t>Fixed bin width</w:t>
            </w:r>
          </w:p>
        </w:tc>
      </w:tr>
      <w:tr w14:paraId="7DF194B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2531C521">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Bin width</w:t>
            </w:r>
          </w:p>
        </w:tc>
        <w:tc>
          <w:tcPr>
            <w:tcW w:w="2500" w:type="pct"/>
            <w:vAlign w:val="center"/>
          </w:tcPr>
          <w:p w14:paraId="01643FD6">
            <w:pPr>
              <w:spacing w:line="360" w:lineRule="auto"/>
              <w:rPr>
                <w:rFonts w:hint="default" w:ascii="Times New Roman" w:hAnsi="Times New Roman" w:cs="Times New Roman"/>
                <w:sz w:val="20"/>
                <w:szCs w:val="20"/>
              </w:rPr>
            </w:pPr>
            <w:r>
              <w:rPr>
                <w:rFonts w:hint="default" w:ascii="Times New Roman" w:hAnsi="Times New Roman" w:cs="Times New Roman"/>
                <w:sz w:val="20"/>
                <w:szCs w:val="20"/>
              </w:rPr>
              <w:t>52</w:t>
            </w:r>
          </w:p>
        </w:tc>
      </w:tr>
      <w:tr w14:paraId="05B27C1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37E3DFA4">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LoG sigma values</w:t>
            </w:r>
          </w:p>
        </w:tc>
        <w:tc>
          <w:tcPr>
            <w:tcW w:w="2500" w:type="pct"/>
            <w:vAlign w:val="center"/>
          </w:tcPr>
          <w:p w14:paraId="3C0778CF">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1.0, 2.0, 3.0</w:t>
            </w:r>
          </w:p>
        </w:tc>
      </w:tr>
      <w:tr w14:paraId="51E05C6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2B4E23A4">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Image types / filters</w:t>
            </w:r>
          </w:p>
        </w:tc>
        <w:tc>
          <w:tcPr>
            <w:tcW w:w="2500" w:type="pct"/>
            <w:vAlign w:val="center"/>
          </w:tcPr>
          <w:p w14:paraId="6FBA1C66">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Original; LoG; Wavelet; LBP3D; Exponential; Square; Square Root; Logarithm; Gradient</w:t>
            </w:r>
          </w:p>
        </w:tc>
      </w:tr>
      <w:tr w14:paraId="2FDF7C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2744E1A9">
            <w:pPr>
              <w:spacing w:line="360" w:lineRule="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Feature classes</w:t>
            </w:r>
          </w:p>
        </w:tc>
        <w:tc>
          <w:tcPr>
            <w:tcW w:w="2500" w:type="pct"/>
            <w:vAlign w:val="center"/>
          </w:tcPr>
          <w:p w14:paraId="1891E3DE">
            <w:pPr>
              <w:spacing w:line="360" w:lineRule="auto"/>
              <w:rPr>
                <w:rFonts w:hint="default" w:ascii="Times New Roman" w:hAnsi="Times New Roman" w:cs="Times New Roman"/>
                <w:sz w:val="20"/>
                <w:szCs w:val="20"/>
              </w:rPr>
            </w:pPr>
            <w:r>
              <w:rPr>
                <w:rFonts w:hint="default" w:ascii="Times New Roman" w:hAnsi="Times New Roman" w:cs="Times New Roman"/>
                <w:sz w:val="20"/>
                <w:szCs w:val="20"/>
              </w:rPr>
              <w:t>Shape; First–order; GLCM; GLRLM; GLSZM; GLDM; NGTDM</w:t>
            </w:r>
          </w:p>
        </w:tc>
      </w:tr>
      <w:tr w14:paraId="36CB2B5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2BB69947">
            <w:pPr>
              <w:spacing w:line="360" w:lineRule="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GLCM features enabled</w:t>
            </w:r>
          </w:p>
        </w:tc>
        <w:tc>
          <w:tcPr>
            <w:tcW w:w="2500" w:type="pct"/>
            <w:vAlign w:val="center"/>
          </w:tcPr>
          <w:p w14:paraId="17230D8A">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Autocorrelation; Joint Average; Cluster Prominence; Cluster Shade; Cluster Tendency; Contrast; Correlation; Difference Average; Difference Entropy; Difference Variance; Joint Energy; Joint Entropy; IMC1; IMC2; IDM; IDMN; ID; IDN; Inverse Variance; Maximum Probability; Sum Entropy; Sum Squares</w:t>
            </w:r>
          </w:p>
        </w:tc>
      </w:tr>
      <w:tr w14:paraId="32FC7DD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2B49A781">
            <w:pPr>
              <w:spacing w:line="360" w:lineRule="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Pad distance</w:t>
            </w:r>
          </w:p>
        </w:tc>
        <w:tc>
          <w:tcPr>
            <w:tcW w:w="2500" w:type="pct"/>
            <w:vAlign w:val="center"/>
          </w:tcPr>
          <w:p w14:paraId="43ABDAFA">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10</w:t>
            </w:r>
          </w:p>
        </w:tc>
      </w:tr>
      <w:tr w14:paraId="6566C3E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00" w:type="pct"/>
            <w:vAlign w:val="center"/>
          </w:tcPr>
          <w:p w14:paraId="1B756759">
            <w:pPr>
              <w:spacing w:line="360" w:lineRule="auto"/>
              <w:rPr>
                <w:rFonts w:hint="default" w:ascii="Times New Roman" w:hAnsi="Times New Roman" w:eastAsia="宋体" w:cs="Times New Roman"/>
                <w:sz w:val="20"/>
                <w:szCs w:val="20"/>
              </w:rPr>
            </w:pPr>
            <w:r>
              <w:rPr>
                <w:rFonts w:hint="default" w:ascii="Times New Roman" w:hAnsi="Times New Roman" w:eastAsia="宋体" w:cs="Times New Roman"/>
                <w:sz w:val="20"/>
                <w:szCs w:val="20"/>
              </w:rPr>
              <w:t>Voxel array shift</w:t>
            </w:r>
          </w:p>
        </w:tc>
        <w:tc>
          <w:tcPr>
            <w:tcW w:w="2500" w:type="pct"/>
            <w:vAlign w:val="center"/>
          </w:tcPr>
          <w:p w14:paraId="020A6F91">
            <w:pPr>
              <w:spacing w:line="360" w:lineRule="auto"/>
              <w:rPr>
                <w:rFonts w:hint="default" w:ascii="Times New Roman" w:hAnsi="Times New Roman" w:cs="Times New Roman"/>
                <w:sz w:val="20"/>
                <w:szCs w:val="20"/>
              </w:rPr>
            </w:pPr>
            <w:r>
              <w:rPr>
                <w:rFonts w:hint="default" w:ascii="Times New Roman" w:hAnsi="Times New Roman" w:eastAsia="宋体" w:cs="Times New Roman"/>
                <w:sz w:val="20"/>
                <w:szCs w:val="20"/>
              </w:rPr>
              <w:t>1000</w:t>
            </w:r>
          </w:p>
        </w:tc>
      </w:tr>
    </w:tbl>
    <w:p w14:paraId="3277220F">
      <w:pPr>
        <w:spacing w:line="480" w:lineRule="auto"/>
        <w:rPr>
          <w:rFonts w:hint="default" w:ascii="Times New Roman" w:hAnsi="Times New Roman" w:cs="Times New Roman"/>
          <w:b/>
          <w:bCs/>
          <w:sz w:val="20"/>
          <w:szCs w:val="20"/>
        </w:rPr>
        <w:sectPr>
          <w:footerReference r:id="rId3" w:type="default"/>
          <w:pgSz w:w="11906" w:h="16838"/>
          <w:pgMar w:top="1440" w:right="1800" w:bottom="1440" w:left="1800" w:header="851" w:footer="992" w:gutter="0"/>
          <w:lnNumType w:countBy="1" w:restart="continuous"/>
          <w:cols w:space="425" w:num="1"/>
          <w:docGrid w:type="lines" w:linePitch="312" w:charSpace="0"/>
        </w:sectPr>
      </w:pPr>
    </w:p>
    <w:p w14:paraId="1F626474">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Deep learning training and optimization</w:t>
      </w:r>
    </w:p>
    <w:p w14:paraId="1CB4892A">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The deep–learning models were trained using cross–entropy loss and the Adam optimizer, with an initial learning rate of 3×10−3 and a batch size of 64. L2 regularization was applied during training. Early stopping was based on performance in the validation fold within the training cohort. The temporal and external test cohorts were not used for model training, early stopping, or parameter optimization.</w:t>
      </w:r>
    </w:p>
    <w:p w14:paraId="54FECDA0">
      <w:pPr>
        <w:spacing w:line="480" w:lineRule="auto"/>
        <w:rPr>
          <w:rFonts w:hint="default" w:ascii="Times New Roman" w:hAnsi="Times New Roman" w:cs="Times New Roman"/>
          <w:b/>
          <w:bCs/>
          <w:sz w:val="20"/>
          <w:szCs w:val="20"/>
        </w:rPr>
      </w:pPr>
    </w:p>
    <w:p w14:paraId="4E2343E6">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Feature selection strategy and hyperparameter optimization</w:t>
      </w:r>
    </w:p>
    <w:p w14:paraId="50F697DE">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Feature standardization, dimensionality reduction, and feature selection were performed within the five</w:t>
      </w:r>
      <w:r>
        <w:rPr>
          <w:rFonts w:hint="default" w:ascii="Times New Roman" w:hAnsi="Times New Roman" w:cs="Times New Roman"/>
          <w:sz w:val="20"/>
          <w:szCs w:val="20"/>
          <w:lang w:eastAsia="zh-CN"/>
        </w:rPr>
        <w:t>-</w:t>
      </w:r>
      <w:r>
        <w:rPr>
          <w:rFonts w:hint="default" w:ascii="Times New Roman" w:hAnsi="Times New Roman" w:cs="Times New Roman"/>
          <w:sz w:val="20"/>
          <w:szCs w:val="20"/>
        </w:rPr>
        <w:t>fold cross</w:t>
      </w:r>
      <w:r>
        <w:rPr>
          <w:rFonts w:hint="default" w:ascii="Times New Roman" w:hAnsi="Times New Roman" w:cs="Times New Roman"/>
          <w:sz w:val="20"/>
          <w:szCs w:val="20"/>
          <w:lang w:eastAsia="zh-CN"/>
        </w:rPr>
        <w:t>-</w:t>
      </w:r>
      <w:r>
        <w:rPr>
          <w:rFonts w:hint="default" w:ascii="Times New Roman" w:hAnsi="Times New Roman" w:cs="Times New Roman"/>
          <w:sz w:val="20"/>
          <w:szCs w:val="20"/>
        </w:rPr>
        <w:t>validation procedure. In each fold, radiomic and deep</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learning features were standardized using the mean and standard deviation estimated from the training subset, and the same parameters were applied to the corresponding validation fold. For each selected slice, a deep</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learning feature vector was extracted from the penultimate layer of the corresponding ResNet model. During five</w:t>
      </w:r>
      <w:r>
        <w:rPr>
          <w:rFonts w:hint="default" w:ascii="Times New Roman" w:hAnsi="Times New Roman" w:cs="Times New Roman"/>
          <w:sz w:val="20"/>
          <w:szCs w:val="20"/>
          <w:lang w:eastAsia="zh-CN"/>
        </w:rPr>
        <w:t>-</w:t>
      </w:r>
      <w:r>
        <w:rPr>
          <w:rFonts w:hint="default" w:ascii="Times New Roman" w:hAnsi="Times New Roman" w:cs="Times New Roman"/>
          <w:sz w:val="20"/>
          <w:szCs w:val="20"/>
        </w:rPr>
        <w:t>fold cross</w:t>
      </w:r>
      <w:r>
        <w:rPr>
          <w:rFonts w:hint="default" w:ascii="Times New Roman" w:hAnsi="Times New Roman" w:cs="Times New Roman"/>
          <w:sz w:val="20"/>
          <w:szCs w:val="20"/>
          <w:lang w:eastAsia="zh-CN"/>
        </w:rPr>
        <w:t>-</w:t>
      </w:r>
      <w:r>
        <w:rPr>
          <w:rFonts w:hint="default" w:ascii="Times New Roman" w:hAnsi="Times New Roman" w:cs="Times New Roman"/>
          <w:sz w:val="20"/>
          <w:szCs w:val="20"/>
        </w:rPr>
        <w:t>validation, PCA was fitted using the slice</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level deep</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learning features from the training subset and applied to those from the corresponding validation fold, reducing each feature vector to 256 components. The PCA</w:t>
      </w:r>
      <w:r>
        <w:rPr>
          <w:rFonts w:hint="default" w:ascii="Times New Roman" w:hAnsi="Times New Roman" w:cs="Times New Roman"/>
          <w:sz w:val="20"/>
          <w:szCs w:val="20"/>
          <w:lang w:eastAsia="zh-CN"/>
        </w:rPr>
        <w:t>-</w:t>
      </w:r>
      <w:r>
        <w:rPr>
          <w:rFonts w:hint="default" w:ascii="Times New Roman" w:hAnsi="Times New Roman" w:cs="Times New Roman"/>
          <w:sz w:val="20"/>
          <w:szCs w:val="20"/>
        </w:rPr>
        <w:t>reduced feature vectors from the five selected slices were then averaged to obtain a single patient</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level deep</w:t>
      </w:r>
      <w:r>
        <w:rPr>
          <w:rFonts w:hint="default" w:ascii="Times New Roman" w:hAnsi="Times New Roman" w:cs="Times New Roman"/>
          <w:sz w:val="20"/>
          <w:szCs w:val="20"/>
          <w:lang w:eastAsia="zh-CN"/>
        </w:rPr>
        <w:t>-</w:t>
      </w:r>
      <w:r>
        <w:rPr>
          <w:rFonts w:hint="default" w:ascii="Times New Roman" w:hAnsi="Times New Roman" w:cs="Times New Roman"/>
          <w:sz w:val="20"/>
          <w:szCs w:val="20"/>
        </w:rPr>
        <w:t>learning feature vector. After model selection, the PCA transformation was refitted using the full training cohort and subsequently applied unchanged to the temporal and external test cohorts.</w:t>
      </w:r>
    </w:p>
    <w:p w14:paraId="5F5F4909">
      <w:pPr>
        <w:spacing w:line="480" w:lineRule="auto"/>
        <w:ind w:firstLine="300"/>
        <w:rPr>
          <w:rFonts w:hint="default" w:ascii="Times New Roman" w:hAnsi="Times New Roman" w:cs="Times New Roman"/>
          <w:sz w:val="20"/>
          <w:szCs w:val="20"/>
        </w:rPr>
      </w:pPr>
      <w:r>
        <w:rPr>
          <w:rFonts w:hint="default" w:ascii="Times New Roman" w:hAnsi="Times New Roman" w:cs="Times New Roman"/>
          <w:sz w:val="20"/>
          <w:szCs w:val="20"/>
        </w:rPr>
        <w:t>Feature selection for the radiomics and fusion feature sets consisted of univariable screening, Spearman correlation filtering, and LASSO regression. An absolute Spearman correlation coefficient of 0.90 was used to remove highly correlated features. The remaining features were entered into LASSO regression, with the regularization parameter selected by 10–fold cross–validation.</w:t>
      </w:r>
    </w:p>
    <w:p w14:paraId="3F77B9B4">
      <w:pPr>
        <w:spacing w:line="480" w:lineRule="auto"/>
        <w:ind w:firstLine="300"/>
        <w:rPr>
          <w:rFonts w:hint="default" w:ascii="Times New Roman" w:hAnsi="Times New Roman" w:cs="Times New Roman"/>
          <w:sz w:val="20"/>
          <w:szCs w:val="20"/>
        </w:rPr>
      </w:pPr>
      <w:r>
        <w:rPr>
          <w:rFonts w:hint="default" w:ascii="Times New Roman" w:hAnsi="Times New Roman" w:cs="Times New Roman"/>
          <w:sz w:val="20"/>
          <w:szCs w:val="20"/>
        </w:rPr>
        <w:t>Feature selection and model development were performed using stratified five</w:t>
      </w:r>
      <w:r>
        <w:rPr>
          <w:rFonts w:hint="default" w:ascii="Times New Roman" w:hAnsi="Times New Roman" w:cs="Times New Roman"/>
          <w:sz w:val="20"/>
          <w:szCs w:val="20"/>
          <w:lang w:eastAsia="zh-CN"/>
        </w:rPr>
        <w:t>-</w:t>
      </w:r>
      <w:r>
        <w:rPr>
          <w:rFonts w:hint="default" w:ascii="Times New Roman" w:hAnsi="Times New Roman" w:cs="Times New Roman"/>
          <w:sz w:val="20"/>
          <w:szCs w:val="20"/>
        </w:rPr>
        <w:t>fold cross</w:t>
      </w:r>
      <w:r>
        <w:rPr>
          <w:rFonts w:hint="default" w:ascii="Times New Roman" w:hAnsi="Times New Roman" w:cs="Times New Roman"/>
          <w:sz w:val="20"/>
          <w:szCs w:val="20"/>
          <w:lang w:eastAsia="zh-CN"/>
        </w:rPr>
        <w:t>-</w:t>
      </w:r>
      <w:r>
        <w:rPr>
          <w:rFonts w:hint="default" w:ascii="Times New Roman" w:hAnsi="Times New Roman" w:cs="Times New Roman"/>
          <w:sz w:val="20"/>
          <w:szCs w:val="20"/>
        </w:rPr>
        <w:t>validation within the training cohort. In each fold, univariable screening, Spearman correlation filtering, and LASSO regression were performed using only the training subset. Synthetic minority oversampling, classifier fitting, and hyperparameter optimization were also restricted to the training subset, and the fitted model was evaluated on the corresponding validation fold. After cross</w:t>
      </w:r>
      <w:r>
        <w:rPr>
          <w:rFonts w:hint="default" w:ascii="Times New Roman" w:hAnsi="Times New Roman" w:cs="Times New Roman"/>
          <w:sz w:val="20"/>
          <w:szCs w:val="20"/>
          <w:lang w:eastAsia="zh-CN"/>
        </w:rPr>
        <w:t>-</w:t>
      </w:r>
      <w:r>
        <w:rPr>
          <w:rFonts w:hint="default" w:ascii="Times New Roman" w:hAnsi="Times New Roman" w:cs="Times New Roman"/>
          <w:sz w:val="20"/>
          <w:szCs w:val="20"/>
        </w:rPr>
        <w:t>validation</w:t>
      </w:r>
      <w:r>
        <w:rPr>
          <w:rFonts w:hint="default" w:ascii="Times New Roman" w:hAnsi="Times New Roman" w:cs="Times New Roman"/>
          <w:sz w:val="20"/>
          <w:szCs w:val="20"/>
          <w:lang w:eastAsia="zh-CN"/>
        </w:rPr>
        <w:t>-</w:t>
      </w:r>
      <w:r>
        <w:rPr>
          <w:rFonts w:hint="default" w:ascii="Times New Roman" w:hAnsi="Times New Roman" w:cs="Times New Roman"/>
          <w:sz w:val="20"/>
          <w:szCs w:val="20"/>
        </w:rPr>
        <w:t>based model selection, the selected pipeline was fitted to the full training cohort and applied unchanged to the temporal and external test cohorts. For each model, the classification threshold was determined from the full training cohort using the Youden index and was then applied unchanged to both test cohorts.</w:t>
      </w:r>
    </w:p>
    <w:p w14:paraId="6F1BF9FE">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SHAP analysis for model interpretability</w:t>
      </w:r>
    </w:p>
    <w:p w14:paraId="1F5269AE">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SHAP analysis was performed for the final R101_LR model using the SHAP LinearExplainer. SHAP values were calculated for the combined feature set, including ResNet101–derived deep–learning features and handcrafted radiomic features. Global feature importance was summarized using mean absolute SHAP values. Contributions from the two feature families were summed separately and expressed as percentages of the total mean absolute SHAP value. Abbreviated feature labels were used in the SHAP summary plot, with the corresponding full feature names provided in Supplementary Table S5.</w:t>
      </w:r>
    </w:p>
    <w:p w14:paraId="37ACFAF9">
      <w:pPr>
        <w:spacing w:line="480" w:lineRule="auto"/>
        <w:rPr>
          <w:rFonts w:hint="default" w:ascii="Times New Roman" w:hAnsi="Times New Roman" w:cs="Times New Roman"/>
          <w:sz w:val="20"/>
          <w:szCs w:val="20"/>
        </w:rPr>
      </w:pPr>
    </w:p>
    <w:p w14:paraId="0224F63B">
      <w:pPr>
        <w:numPr>
          <w:ilvl w:val="0"/>
          <w:numId w:val="1"/>
        </w:numPr>
        <w:spacing w:line="480" w:lineRule="auto"/>
        <w:rPr>
          <w:rFonts w:hint="default" w:ascii="Times New Roman" w:hAnsi="Times New Roman" w:cs="Times New Roman"/>
          <w:b/>
          <w:bCs/>
          <w:sz w:val="20"/>
          <w:szCs w:val="20"/>
        </w:rPr>
      </w:pPr>
      <w:r>
        <w:rPr>
          <w:rFonts w:hint="default" w:ascii="Times New Roman" w:hAnsi="Times New Roman" w:eastAsia="宋体" w:cs="Times New Roman"/>
          <w:b/>
          <w:bCs/>
          <w:sz w:val="20"/>
          <w:szCs w:val="20"/>
        </w:rPr>
        <w:t>Software environment</w:t>
      </w:r>
    </w:p>
    <w:p w14:paraId="14DCCD69">
      <w:pPr>
        <w:spacing w:line="480" w:lineRule="auto"/>
        <w:rPr>
          <w:rFonts w:hint="default" w:ascii="Times New Roman" w:hAnsi="Times New Roman" w:cs="Times New Roman"/>
          <w:b/>
          <w:bCs/>
          <w:sz w:val="20"/>
          <w:szCs w:val="20"/>
        </w:rPr>
      </w:pPr>
      <w:r>
        <w:rPr>
          <w:rFonts w:hint="default" w:ascii="Times New Roman" w:hAnsi="Times New Roman" w:cs="Times New Roman"/>
          <w:sz w:val="20"/>
          <w:szCs w:val="20"/>
        </w:rPr>
        <w:t>Analyses were performed using Python 3.7.10 and R 4.4.1. Radiomic feature extraction was implemented with PyRadiomics 3.0.1, deep–learning models with PyTorch 1.8.1, and conventional machine–learning models with scikit–learn 0.24.1. SHAP 0.</w:t>
      </w:r>
      <w:r>
        <w:rPr>
          <w:rFonts w:hint="default" w:ascii="Times New Roman" w:hAnsi="Times New Roman" w:cs="Times New Roman"/>
          <w:sz w:val="20"/>
          <w:szCs w:val="20"/>
        </w:rPr>
        <w:t>42</w:t>
      </w:r>
      <w:r>
        <w:rPr>
          <w:rFonts w:hint="default" w:ascii="Times New Roman" w:hAnsi="Times New Roman" w:cs="Times New Roman"/>
          <w:sz w:val="20"/>
          <w:szCs w:val="20"/>
        </w:rPr>
        <w:t>.</w:t>
      </w:r>
      <w:r>
        <w:rPr>
          <w:rFonts w:hint="default" w:ascii="Times New Roman" w:hAnsi="Times New Roman" w:cs="Times New Roman"/>
          <w:sz w:val="20"/>
          <w:szCs w:val="20"/>
        </w:rPr>
        <w:t>1</w:t>
      </w:r>
      <w:r>
        <w:rPr>
          <w:rFonts w:hint="default" w:ascii="Times New Roman" w:hAnsi="Times New Roman" w:cs="Times New Roman"/>
          <w:sz w:val="20"/>
          <w:szCs w:val="20"/>
        </w:rPr>
        <w:t xml:space="preserve"> was used for model interpretation.</w:t>
      </w:r>
    </w:p>
    <w:p w14:paraId="75C0E326">
      <w:pPr>
        <w:spacing w:line="480" w:lineRule="auto"/>
        <w:rPr>
          <w:rFonts w:hint="default" w:ascii="Times New Roman" w:hAnsi="Times New Roman" w:cs="Times New Roman"/>
          <w:b/>
          <w:bCs/>
          <w:sz w:val="20"/>
          <w:szCs w:val="20"/>
        </w:rPr>
      </w:pPr>
      <w:r>
        <w:rPr>
          <w:rFonts w:hint="default" w:ascii="Times New Roman" w:hAnsi="Times New Roman" w:cs="Times New Roman"/>
          <w:b/>
          <w:bCs/>
          <w:sz w:val="20"/>
          <w:szCs w:val="20"/>
        </w:rPr>
        <w:t>Supplementary Figures</w:t>
      </w:r>
    </w:p>
    <w:p w14:paraId="03D716E1">
      <w:pPr>
        <w:spacing w:line="480" w:lineRule="auto"/>
        <w:jc w:val="center"/>
        <w:rPr>
          <w:rFonts w:hint="default" w:ascii="Times New Roman" w:hAnsi="Times New Roman" w:cs="Times New Roman"/>
          <w:sz w:val="20"/>
          <w:szCs w:val="20"/>
        </w:rPr>
      </w:pPr>
      <w:r>
        <w:rPr>
          <w:rFonts w:hint="default" w:ascii="Times New Roman" w:hAnsi="Times New Roman" w:cs="Times New Roman"/>
          <w:sz w:val="20"/>
          <w:szCs w:val="20"/>
        </w:rPr>
        <w:drawing>
          <wp:inline distT="0" distB="0" distL="114300" distR="114300">
            <wp:extent cx="3310255" cy="2904490"/>
            <wp:effectExtent l="0" t="0" r="4445" b="10160"/>
            <wp:docPr id="1" name="图片 1" descr="ROC_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OC_training"/>
                    <pic:cNvPicPr>
                      <a:picLocks noChangeAspect="1"/>
                    </pic:cNvPicPr>
                  </pic:nvPicPr>
                  <pic:blipFill>
                    <a:blip r:embed="rId5"/>
                    <a:stretch>
                      <a:fillRect/>
                    </a:stretch>
                  </pic:blipFill>
                  <pic:spPr>
                    <a:xfrm>
                      <a:off x="0" y="0"/>
                      <a:ext cx="3310255" cy="2904490"/>
                    </a:xfrm>
                    <a:prstGeom prst="rect">
                      <a:avLst/>
                    </a:prstGeom>
                  </pic:spPr>
                </pic:pic>
              </a:graphicData>
            </a:graphic>
          </wp:inline>
        </w:drawing>
      </w:r>
    </w:p>
    <w:p w14:paraId="6D9562C5">
      <w:pPr>
        <w:spacing w:line="480" w:lineRule="auto"/>
        <w:rPr>
          <w:rFonts w:hint="default" w:ascii="Times New Roman" w:hAnsi="Times New Roman" w:cs="Times New Roman"/>
          <w:b/>
          <w:bCs/>
          <w:sz w:val="20"/>
          <w:szCs w:val="20"/>
        </w:rPr>
      </w:pPr>
      <w:r>
        <w:rPr>
          <w:rFonts w:hint="default" w:ascii="Times New Roman" w:hAnsi="Times New Roman" w:eastAsia="华文中宋" w:cs="Times New Roman"/>
          <w:b/>
          <w:bCs/>
          <w:sz w:val="20"/>
          <w:szCs w:val="20"/>
        </w:rPr>
        <w:t>Supplementary Figure S1.</w:t>
      </w:r>
      <w:r>
        <w:rPr>
          <w:rFonts w:hint="default" w:ascii="Times New Roman" w:hAnsi="Times New Roman" w:eastAsia="华文中宋" w:cs="Times New Roman"/>
          <w:sz w:val="20"/>
          <w:szCs w:val="20"/>
        </w:rPr>
        <w:t xml:space="preserve"> Receiver operating characteristic curves of the four principal models based on patient</w:t>
      </w:r>
      <w:r>
        <w:rPr>
          <w:rFonts w:hint="default" w:ascii="Times New Roman" w:hAnsi="Times New Roman" w:eastAsia="华文中宋" w:cs="Times New Roman"/>
          <w:sz w:val="20"/>
          <w:szCs w:val="20"/>
          <w:lang w:eastAsia="zh-CN"/>
        </w:rPr>
        <w:t>-</w:t>
      </w:r>
      <w:r>
        <w:rPr>
          <w:rFonts w:hint="default" w:ascii="Times New Roman" w:hAnsi="Times New Roman" w:eastAsia="华文中宋" w:cs="Times New Roman"/>
          <w:sz w:val="20"/>
          <w:szCs w:val="20"/>
        </w:rPr>
        <w:t>level out</w:t>
      </w:r>
      <w:r>
        <w:rPr>
          <w:rFonts w:hint="default" w:ascii="Times New Roman" w:hAnsi="Times New Roman" w:eastAsia="华文中宋" w:cs="Times New Roman"/>
          <w:sz w:val="20"/>
          <w:szCs w:val="20"/>
          <w:lang w:eastAsia="zh-CN"/>
        </w:rPr>
        <w:t>-</w:t>
      </w:r>
      <w:r>
        <w:rPr>
          <w:rFonts w:hint="default" w:ascii="Times New Roman" w:hAnsi="Times New Roman" w:eastAsia="华文中宋" w:cs="Times New Roman"/>
          <w:sz w:val="20"/>
          <w:szCs w:val="20"/>
        </w:rPr>
        <w:t>of</w:t>
      </w:r>
      <w:r>
        <w:rPr>
          <w:rFonts w:hint="default" w:ascii="Times New Roman" w:hAnsi="Times New Roman" w:eastAsia="华文中宋" w:cs="Times New Roman"/>
          <w:sz w:val="20"/>
          <w:szCs w:val="20"/>
          <w:lang w:eastAsia="zh-CN"/>
        </w:rPr>
        <w:t>-</w:t>
      </w:r>
      <w:r>
        <w:rPr>
          <w:rFonts w:hint="default" w:ascii="Times New Roman" w:hAnsi="Times New Roman" w:eastAsia="华文中宋" w:cs="Times New Roman"/>
          <w:sz w:val="20"/>
          <w:szCs w:val="20"/>
        </w:rPr>
        <w:t>fold predictions generated across five</w:t>
      </w:r>
      <w:r>
        <w:rPr>
          <w:rFonts w:hint="default" w:ascii="Times New Roman" w:hAnsi="Times New Roman" w:eastAsia="华文中宋" w:cs="Times New Roman"/>
          <w:sz w:val="20"/>
          <w:szCs w:val="20"/>
          <w:lang w:eastAsia="zh-CN"/>
        </w:rPr>
        <w:t>-</w:t>
      </w:r>
      <w:r>
        <w:rPr>
          <w:rFonts w:hint="default" w:ascii="Times New Roman" w:hAnsi="Times New Roman" w:eastAsia="华文中宋" w:cs="Times New Roman"/>
          <w:sz w:val="20"/>
          <w:szCs w:val="20"/>
        </w:rPr>
        <w:t>fold cross</w:t>
      </w:r>
      <w:r>
        <w:rPr>
          <w:rFonts w:hint="default" w:ascii="Times New Roman" w:hAnsi="Times New Roman" w:eastAsia="华文中宋" w:cs="Times New Roman"/>
          <w:sz w:val="20"/>
          <w:szCs w:val="20"/>
          <w:lang w:eastAsia="zh-CN"/>
        </w:rPr>
        <w:t>-</w:t>
      </w:r>
      <w:r>
        <w:rPr>
          <w:rFonts w:hint="default" w:ascii="Times New Roman" w:hAnsi="Times New Roman" w:eastAsia="华文中宋" w:cs="Times New Roman"/>
          <w:sz w:val="20"/>
          <w:szCs w:val="20"/>
        </w:rPr>
        <w:t>validation in the training cohort: Clinical_RF, Radiomics_RF, ResNet101, and R101_LR.</w:t>
      </w:r>
    </w:p>
    <w:p w14:paraId="16FAFFC7">
      <w:pPr>
        <w:spacing w:line="480" w:lineRule="auto"/>
        <w:rPr>
          <w:rFonts w:hint="default" w:ascii="Times New Roman" w:hAnsi="Times New Roman" w:cs="Times New Roman"/>
          <w:b/>
          <w:bCs/>
          <w:sz w:val="20"/>
          <w:szCs w:val="20"/>
        </w:rPr>
      </w:pPr>
    </w:p>
    <w:p w14:paraId="36333176">
      <w:pPr>
        <w:spacing w:line="480" w:lineRule="auto"/>
        <w:rPr>
          <w:rFonts w:hint="default" w:ascii="Times New Roman" w:hAnsi="Times New Roman" w:cs="Times New Roman"/>
          <w:b/>
          <w:bCs/>
          <w:sz w:val="20"/>
          <w:szCs w:val="20"/>
        </w:rPr>
      </w:pPr>
    </w:p>
    <w:p w14:paraId="64FD503C">
      <w:pPr>
        <w:spacing w:line="480" w:lineRule="auto"/>
        <w:rPr>
          <w:rFonts w:hint="default" w:ascii="Times New Roman" w:hAnsi="Times New Roman" w:cs="Times New Roman"/>
          <w:b/>
          <w:bCs/>
          <w:sz w:val="20"/>
          <w:szCs w:val="20"/>
        </w:rPr>
      </w:pPr>
    </w:p>
    <w:p w14:paraId="64FBFBDD">
      <w:pPr>
        <w:spacing w:line="480" w:lineRule="auto"/>
        <w:rPr>
          <w:rFonts w:hint="default" w:ascii="Times New Roman" w:hAnsi="Times New Roman" w:cs="Times New Roman"/>
          <w:b/>
          <w:bCs/>
          <w:sz w:val="20"/>
          <w:szCs w:val="20"/>
        </w:rPr>
      </w:pPr>
    </w:p>
    <w:p w14:paraId="31FA46F8">
      <w:pPr>
        <w:spacing w:line="480" w:lineRule="auto"/>
        <w:rPr>
          <w:rFonts w:hint="default" w:ascii="Times New Roman" w:hAnsi="Times New Roman" w:cs="Times New Roman"/>
          <w:b/>
          <w:bCs/>
          <w:sz w:val="20"/>
          <w:szCs w:val="20"/>
        </w:rPr>
        <w:sectPr>
          <w:pgSz w:w="11906" w:h="16838"/>
          <w:pgMar w:top="1440" w:right="1800" w:bottom="1440" w:left="1800" w:header="851" w:footer="992" w:gutter="0"/>
          <w:cols w:space="425" w:num="1"/>
          <w:docGrid w:type="lines" w:linePitch="312" w:charSpace="0"/>
        </w:sectPr>
      </w:pPr>
    </w:p>
    <w:p w14:paraId="69817155">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Tables</w:t>
      </w:r>
    </w:p>
    <w:p w14:paraId="25E5B088">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S1. Definitions and components of predictive models</w:t>
      </w:r>
    </w:p>
    <w:tbl>
      <w:tblPr>
        <w:tblStyle w:val="5"/>
        <w:tblW w:w="5000" w:type="pct"/>
        <w:jc w:val="center"/>
        <w:tblLayout w:type="autofit"/>
        <w:tblCellMar>
          <w:top w:w="0" w:type="dxa"/>
          <w:left w:w="0" w:type="dxa"/>
          <w:bottom w:w="0" w:type="dxa"/>
          <w:right w:w="0" w:type="dxa"/>
        </w:tblCellMar>
      </w:tblPr>
      <w:tblGrid>
        <w:gridCol w:w="3309"/>
        <w:gridCol w:w="10865"/>
      </w:tblGrid>
      <w:tr w14:paraId="4032C0DE">
        <w:tblPrEx>
          <w:tblCellMar>
            <w:top w:w="0" w:type="dxa"/>
            <w:left w:w="0" w:type="dxa"/>
            <w:bottom w:w="0" w:type="dxa"/>
            <w:right w:w="0" w:type="dxa"/>
          </w:tblCellMar>
        </w:tblPrEx>
        <w:trPr>
          <w:trHeight w:val="493" w:hRule="atLeast"/>
          <w:jc w:val="center"/>
        </w:trPr>
        <w:tc>
          <w:tcPr>
            <w:tcW w:w="1167" w:type="pct"/>
            <w:tcBorders>
              <w:top w:val="single" w:color="auto" w:sz="8" w:space="0"/>
              <w:left w:val="nil"/>
              <w:bottom w:val="single" w:color="auto" w:sz="8" w:space="0"/>
              <w:right w:val="nil"/>
            </w:tcBorders>
            <w:tcMar>
              <w:left w:w="108" w:type="dxa"/>
              <w:right w:w="108" w:type="dxa"/>
            </w:tcMar>
            <w:vAlign w:val="center"/>
          </w:tcPr>
          <w:p w14:paraId="77B22566">
            <w:pPr>
              <w:spacing w:line="36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Model abbreviation</w:t>
            </w:r>
          </w:p>
        </w:tc>
        <w:tc>
          <w:tcPr>
            <w:tcW w:w="3832" w:type="pct"/>
            <w:tcBorders>
              <w:top w:val="single" w:color="auto" w:sz="8" w:space="0"/>
              <w:left w:val="nil"/>
              <w:bottom w:val="single" w:color="auto" w:sz="8" w:space="0"/>
              <w:right w:val="nil"/>
            </w:tcBorders>
            <w:tcMar>
              <w:left w:w="108" w:type="dxa"/>
              <w:right w:w="108" w:type="dxa"/>
            </w:tcMar>
            <w:vAlign w:val="center"/>
          </w:tcPr>
          <w:p w14:paraId="0851ABA6">
            <w:pPr>
              <w:spacing w:line="36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Model definition</w:t>
            </w:r>
          </w:p>
        </w:tc>
      </w:tr>
      <w:tr w14:paraId="59B9DFB3">
        <w:tblPrEx>
          <w:tblCellMar>
            <w:top w:w="0" w:type="dxa"/>
            <w:left w:w="0" w:type="dxa"/>
            <w:bottom w:w="0" w:type="dxa"/>
            <w:right w:w="0" w:type="dxa"/>
          </w:tblCellMar>
        </w:tblPrEx>
        <w:trPr>
          <w:trHeight w:val="283" w:hRule="atLeast"/>
          <w:jc w:val="center"/>
        </w:trPr>
        <w:tc>
          <w:tcPr>
            <w:tcW w:w="1167" w:type="pct"/>
            <w:tcBorders>
              <w:top w:val="single" w:color="auto" w:sz="8" w:space="0"/>
              <w:left w:val="nil"/>
              <w:bottom w:val="nil"/>
              <w:right w:val="nil"/>
            </w:tcBorders>
            <w:tcMar>
              <w:left w:w="108" w:type="dxa"/>
              <w:right w:w="108" w:type="dxa"/>
            </w:tcMar>
            <w:vAlign w:val="center"/>
          </w:tcPr>
          <w:p w14:paraId="761DDC03">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Clinical_RF</w:t>
            </w:r>
          </w:p>
        </w:tc>
        <w:tc>
          <w:tcPr>
            <w:tcW w:w="3832" w:type="pct"/>
            <w:tcBorders>
              <w:top w:val="single" w:color="auto" w:sz="8" w:space="0"/>
              <w:left w:val="nil"/>
              <w:bottom w:val="nil"/>
              <w:right w:val="nil"/>
            </w:tcBorders>
            <w:tcMar>
              <w:left w:w="108" w:type="dxa"/>
              <w:right w:w="108" w:type="dxa"/>
            </w:tcMar>
            <w:vAlign w:val="center"/>
          </w:tcPr>
          <w:p w14:paraId="728E5759">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Clinical</w:t>
            </w:r>
            <w:r>
              <w:rPr>
                <w:rFonts w:hint="default" w:ascii="Times New Roman" w:hAnsi="Times New Roman" w:cs="Times New Roman"/>
                <w:sz w:val="20"/>
                <w:szCs w:val="20"/>
              </w:rPr>
              <w:t>–</w:t>
            </w:r>
            <w:r>
              <w:rPr>
                <w:rFonts w:hint="default" w:ascii="Times New Roman" w:hAnsi="Times New Roman" w:eastAsia="宋体" w:cs="Times New Roman"/>
                <w:sz w:val="20"/>
                <w:szCs w:val="20"/>
              </w:rPr>
              <w:t>feature model with a random forest classifier</w:t>
            </w:r>
          </w:p>
        </w:tc>
      </w:tr>
      <w:tr w14:paraId="38C0D4E9">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4AC7C54C">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Radiomics_RF</w:t>
            </w:r>
          </w:p>
        </w:tc>
        <w:tc>
          <w:tcPr>
            <w:tcW w:w="3832" w:type="pct"/>
            <w:tcBorders>
              <w:top w:val="nil"/>
              <w:left w:val="nil"/>
              <w:bottom w:val="nil"/>
              <w:right w:val="nil"/>
            </w:tcBorders>
            <w:tcMar>
              <w:left w:w="108" w:type="dxa"/>
              <w:right w:w="108" w:type="dxa"/>
            </w:tcMar>
            <w:vAlign w:val="center"/>
          </w:tcPr>
          <w:p w14:paraId="6CE8C455">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Radiomics</w:t>
            </w:r>
            <w:r>
              <w:rPr>
                <w:rFonts w:hint="default" w:ascii="Times New Roman" w:hAnsi="Times New Roman" w:cs="Times New Roman"/>
                <w:sz w:val="20"/>
                <w:szCs w:val="20"/>
              </w:rPr>
              <w:t>–</w:t>
            </w:r>
            <w:r>
              <w:rPr>
                <w:rFonts w:hint="default" w:ascii="Times New Roman" w:hAnsi="Times New Roman" w:eastAsia="宋体" w:cs="Times New Roman"/>
                <w:sz w:val="20"/>
                <w:szCs w:val="20"/>
              </w:rPr>
              <w:t>only model with a random forest classifier</w:t>
            </w:r>
          </w:p>
        </w:tc>
      </w:tr>
      <w:tr w14:paraId="74C9F6A8">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58B4B500">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ResNet50</w:t>
            </w:r>
          </w:p>
        </w:tc>
        <w:tc>
          <w:tcPr>
            <w:tcW w:w="3832" w:type="pct"/>
            <w:tcBorders>
              <w:top w:val="nil"/>
              <w:left w:val="nil"/>
              <w:bottom w:val="nil"/>
              <w:right w:val="nil"/>
            </w:tcBorders>
            <w:tcMar>
              <w:left w:w="108" w:type="dxa"/>
              <w:right w:w="108" w:type="dxa"/>
            </w:tcMar>
            <w:vAlign w:val="center"/>
          </w:tcPr>
          <w:p w14:paraId="2790B058">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Standalone ResNet50 deep</w:t>
            </w:r>
            <w:r>
              <w:rPr>
                <w:rFonts w:hint="default" w:ascii="Times New Roman" w:hAnsi="Times New Roman" w:cs="Times New Roman"/>
                <w:sz w:val="20"/>
                <w:szCs w:val="20"/>
              </w:rPr>
              <w:t>–</w:t>
            </w:r>
            <w:r>
              <w:rPr>
                <w:rFonts w:hint="default" w:ascii="Times New Roman" w:hAnsi="Times New Roman" w:eastAsia="宋体" w:cs="Times New Roman"/>
                <w:sz w:val="20"/>
                <w:szCs w:val="20"/>
              </w:rPr>
              <w:t>learning model</w:t>
            </w:r>
          </w:p>
        </w:tc>
      </w:tr>
      <w:tr w14:paraId="7860AC20">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0308914F">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ResNet101</w:t>
            </w:r>
          </w:p>
        </w:tc>
        <w:tc>
          <w:tcPr>
            <w:tcW w:w="3832" w:type="pct"/>
            <w:tcBorders>
              <w:top w:val="nil"/>
              <w:left w:val="nil"/>
              <w:bottom w:val="nil"/>
              <w:right w:val="nil"/>
            </w:tcBorders>
            <w:tcMar>
              <w:left w:w="108" w:type="dxa"/>
              <w:right w:w="108" w:type="dxa"/>
            </w:tcMar>
            <w:vAlign w:val="center"/>
          </w:tcPr>
          <w:p w14:paraId="7ABB23FD">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Standalone ResNet101 deep</w:t>
            </w:r>
            <w:r>
              <w:rPr>
                <w:rFonts w:hint="default" w:ascii="Times New Roman" w:hAnsi="Times New Roman" w:cs="Times New Roman"/>
                <w:sz w:val="20"/>
                <w:szCs w:val="20"/>
              </w:rPr>
              <w:t>–</w:t>
            </w:r>
            <w:r>
              <w:rPr>
                <w:rFonts w:hint="default" w:ascii="Times New Roman" w:hAnsi="Times New Roman" w:eastAsia="宋体" w:cs="Times New Roman"/>
                <w:sz w:val="20"/>
                <w:szCs w:val="20"/>
              </w:rPr>
              <w:t>learning model</w:t>
            </w:r>
          </w:p>
        </w:tc>
      </w:tr>
      <w:tr w14:paraId="66625D2B">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2FB84B46">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ResNet152</w:t>
            </w:r>
          </w:p>
        </w:tc>
        <w:tc>
          <w:tcPr>
            <w:tcW w:w="3832" w:type="pct"/>
            <w:tcBorders>
              <w:top w:val="nil"/>
              <w:left w:val="nil"/>
              <w:bottom w:val="nil"/>
              <w:right w:val="nil"/>
            </w:tcBorders>
            <w:tcMar>
              <w:left w:w="108" w:type="dxa"/>
              <w:right w:w="108" w:type="dxa"/>
            </w:tcMar>
            <w:vAlign w:val="center"/>
          </w:tcPr>
          <w:p w14:paraId="4C2C9BD0">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Standalone ResNet152 deep</w:t>
            </w:r>
            <w:r>
              <w:rPr>
                <w:rFonts w:hint="default" w:ascii="Times New Roman" w:hAnsi="Times New Roman" w:cs="Times New Roman"/>
                <w:sz w:val="20"/>
                <w:szCs w:val="20"/>
              </w:rPr>
              <w:t>–</w:t>
            </w:r>
            <w:r>
              <w:rPr>
                <w:rFonts w:hint="default" w:ascii="Times New Roman" w:hAnsi="Times New Roman" w:eastAsia="宋体" w:cs="Times New Roman"/>
                <w:sz w:val="20"/>
                <w:szCs w:val="20"/>
              </w:rPr>
              <w:t>learning model</w:t>
            </w:r>
          </w:p>
        </w:tc>
      </w:tr>
      <w:tr w14:paraId="0ECF0157">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669D15F5">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R50_RF</w:t>
            </w:r>
          </w:p>
        </w:tc>
        <w:tc>
          <w:tcPr>
            <w:tcW w:w="3832" w:type="pct"/>
            <w:tcBorders>
              <w:top w:val="nil"/>
              <w:left w:val="nil"/>
              <w:bottom w:val="nil"/>
              <w:right w:val="nil"/>
            </w:tcBorders>
            <w:tcMar>
              <w:left w:w="108" w:type="dxa"/>
              <w:right w:w="108" w:type="dxa"/>
            </w:tcMar>
            <w:vAlign w:val="center"/>
          </w:tcPr>
          <w:p w14:paraId="336041F4">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Radiomics</w:t>
            </w:r>
            <w:r>
              <w:rPr>
                <w:rFonts w:hint="default" w:ascii="Times New Roman" w:hAnsi="Times New Roman" w:cs="Times New Roman"/>
                <w:sz w:val="20"/>
                <w:szCs w:val="20"/>
              </w:rPr>
              <w:t>–</w:t>
            </w:r>
            <w:r>
              <w:rPr>
                <w:rFonts w:hint="default" w:ascii="Times New Roman" w:hAnsi="Times New Roman" w:eastAsia="宋体" w:cs="Times New Roman"/>
                <w:sz w:val="20"/>
                <w:szCs w:val="20"/>
              </w:rPr>
              <w:t>ResNet50 fusion model with a random forest classifier</w:t>
            </w:r>
          </w:p>
        </w:tc>
      </w:tr>
      <w:tr w14:paraId="3DFFC860">
        <w:tblPrEx>
          <w:tblCellMar>
            <w:top w:w="0" w:type="dxa"/>
            <w:left w:w="0" w:type="dxa"/>
            <w:bottom w:w="0" w:type="dxa"/>
            <w:right w:w="0" w:type="dxa"/>
          </w:tblCellMar>
        </w:tblPrEx>
        <w:trPr>
          <w:trHeight w:val="283" w:hRule="atLeast"/>
          <w:jc w:val="center"/>
        </w:trPr>
        <w:tc>
          <w:tcPr>
            <w:tcW w:w="1167" w:type="pct"/>
            <w:tcBorders>
              <w:top w:val="nil"/>
              <w:left w:val="nil"/>
              <w:bottom w:val="nil"/>
              <w:right w:val="nil"/>
            </w:tcBorders>
            <w:tcMar>
              <w:left w:w="108" w:type="dxa"/>
              <w:right w:w="108" w:type="dxa"/>
            </w:tcMar>
            <w:vAlign w:val="center"/>
          </w:tcPr>
          <w:p w14:paraId="367315F6">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w:t>
            </w:r>
          </w:p>
        </w:tc>
        <w:tc>
          <w:tcPr>
            <w:tcW w:w="3832" w:type="pct"/>
            <w:tcBorders>
              <w:top w:val="nil"/>
              <w:left w:val="nil"/>
              <w:bottom w:val="nil"/>
              <w:right w:val="nil"/>
            </w:tcBorders>
            <w:tcMar>
              <w:left w:w="108" w:type="dxa"/>
              <w:right w:w="108" w:type="dxa"/>
            </w:tcMar>
            <w:vAlign w:val="center"/>
          </w:tcPr>
          <w:p w14:paraId="781E5069">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Radiomics</w:t>
            </w:r>
            <w:r>
              <w:rPr>
                <w:rFonts w:hint="default" w:ascii="Times New Roman" w:hAnsi="Times New Roman" w:cs="Times New Roman"/>
                <w:sz w:val="20"/>
                <w:szCs w:val="20"/>
              </w:rPr>
              <w:t>–</w:t>
            </w:r>
            <w:r>
              <w:rPr>
                <w:rFonts w:hint="default" w:ascii="Times New Roman" w:hAnsi="Times New Roman" w:eastAsia="宋体" w:cs="Times New Roman"/>
                <w:sz w:val="20"/>
                <w:szCs w:val="20"/>
              </w:rPr>
              <w:t>ResNet101 fusion model with a logistic regression classifier</w:t>
            </w:r>
          </w:p>
        </w:tc>
      </w:tr>
      <w:tr w14:paraId="2AECFA60">
        <w:tblPrEx>
          <w:tblCellMar>
            <w:top w:w="0" w:type="dxa"/>
            <w:left w:w="0" w:type="dxa"/>
            <w:bottom w:w="0" w:type="dxa"/>
            <w:right w:w="0" w:type="dxa"/>
          </w:tblCellMar>
        </w:tblPrEx>
        <w:trPr>
          <w:trHeight w:val="283" w:hRule="atLeast"/>
          <w:jc w:val="center"/>
        </w:trPr>
        <w:tc>
          <w:tcPr>
            <w:tcW w:w="1167" w:type="pct"/>
            <w:tcBorders>
              <w:top w:val="nil"/>
              <w:left w:val="nil"/>
              <w:bottom w:val="single" w:color="auto" w:sz="8" w:space="0"/>
              <w:right w:val="nil"/>
            </w:tcBorders>
            <w:tcMar>
              <w:left w:w="108" w:type="dxa"/>
              <w:right w:w="108" w:type="dxa"/>
            </w:tcMar>
            <w:vAlign w:val="center"/>
          </w:tcPr>
          <w:p w14:paraId="18B6EB03">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R152_SVM</w:t>
            </w:r>
          </w:p>
        </w:tc>
        <w:tc>
          <w:tcPr>
            <w:tcW w:w="3832" w:type="pct"/>
            <w:tcBorders>
              <w:top w:val="nil"/>
              <w:left w:val="nil"/>
              <w:bottom w:val="single" w:color="auto" w:sz="8" w:space="0"/>
              <w:right w:val="nil"/>
            </w:tcBorders>
            <w:tcMar>
              <w:left w:w="108" w:type="dxa"/>
              <w:right w:w="108" w:type="dxa"/>
            </w:tcMar>
            <w:vAlign w:val="center"/>
          </w:tcPr>
          <w:p w14:paraId="3C62874A">
            <w:pPr>
              <w:spacing w:line="36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Radiomics</w:t>
            </w:r>
            <w:r>
              <w:rPr>
                <w:rFonts w:hint="default" w:ascii="Times New Roman" w:hAnsi="Times New Roman" w:cs="Times New Roman"/>
                <w:sz w:val="20"/>
                <w:szCs w:val="20"/>
              </w:rPr>
              <w:t>–</w:t>
            </w:r>
            <w:r>
              <w:rPr>
                <w:rFonts w:hint="default" w:ascii="Times New Roman" w:hAnsi="Times New Roman" w:eastAsia="宋体" w:cs="Times New Roman"/>
                <w:sz w:val="20"/>
                <w:szCs w:val="20"/>
              </w:rPr>
              <w:t>ResNet152 fusion model with a support vector machine classifier</w:t>
            </w:r>
          </w:p>
        </w:tc>
      </w:tr>
    </w:tbl>
    <w:p w14:paraId="604DFC35">
      <w:pPr>
        <w:rPr>
          <w:rFonts w:hint="default" w:ascii="Times New Roman" w:hAnsi="Times New Roman" w:cs="Times New Roman"/>
          <w:b/>
          <w:bCs/>
          <w:sz w:val="20"/>
          <w:szCs w:val="20"/>
        </w:rPr>
      </w:pPr>
    </w:p>
    <w:p w14:paraId="2AD15419">
      <w:pPr>
        <w:rPr>
          <w:rFonts w:hint="default" w:ascii="Times New Roman" w:hAnsi="Times New Roman" w:cs="Times New Roman"/>
          <w:b/>
          <w:bCs/>
          <w:sz w:val="20"/>
          <w:szCs w:val="20"/>
        </w:rPr>
      </w:pPr>
    </w:p>
    <w:p w14:paraId="3B940A90">
      <w:pPr>
        <w:rPr>
          <w:rFonts w:hint="default" w:ascii="Times New Roman" w:hAnsi="Times New Roman" w:cs="Times New Roman"/>
          <w:b/>
          <w:bCs/>
          <w:sz w:val="20"/>
          <w:szCs w:val="20"/>
        </w:rPr>
      </w:pPr>
    </w:p>
    <w:p w14:paraId="39661B17">
      <w:pPr>
        <w:rPr>
          <w:rFonts w:hint="default" w:ascii="Times New Roman" w:hAnsi="Times New Roman" w:cs="Times New Roman"/>
          <w:b/>
          <w:bCs/>
          <w:sz w:val="20"/>
          <w:szCs w:val="20"/>
        </w:rPr>
      </w:pPr>
    </w:p>
    <w:p w14:paraId="1D2A26F6">
      <w:pPr>
        <w:rPr>
          <w:rFonts w:hint="default" w:ascii="Times New Roman" w:hAnsi="Times New Roman" w:cs="Times New Roman"/>
          <w:b/>
          <w:bCs/>
          <w:sz w:val="20"/>
          <w:szCs w:val="20"/>
        </w:rPr>
      </w:pPr>
    </w:p>
    <w:p w14:paraId="75256A87">
      <w:pPr>
        <w:rPr>
          <w:rFonts w:hint="default" w:ascii="Times New Roman" w:hAnsi="Times New Roman" w:cs="Times New Roman"/>
          <w:b/>
          <w:bCs/>
          <w:sz w:val="20"/>
          <w:szCs w:val="20"/>
        </w:rPr>
      </w:pPr>
    </w:p>
    <w:p w14:paraId="3774C1F7">
      <w:pPr>
        <w:rPr>
          <w:rFonts w:hint="default" w:ascii="Times New Roman" w:hAnsi="Times New Roman" w:cs="Times New Roman"/>
          <w:b/>
          <w:bCs/>
          <w:sz w:val="20"/>
          <w:szCs w:val="20"/>
        </w:rPr>
      </w:pPr>
    </w:p>
    <w:p w14:paraId="15420390">
      <w:pPr>
        <w:rPr>
          <w:rFonts w:hint="default" w:ascii="Times New Roman" w:hAnsi="Times New Roman" w:cs="Times New Roman"/>
          <w:b/>
          <w:bCs/>
          <w:sz w:val="20"/>
          <w:szCs w:val="20"/>
        </w:rPr>
      </w:pPr>
    </w:p>
    <w:p w14:paraId="208F7532">
      <w:pPr>
        <w:rPr>
          <w:rFonts w:hint="default" w:ascii="Times New Roman" w:hAnsi="Times New Roman" w:cs="Times New Roman"/>
          <w:b/>
          <w:bCs/>
          <w:sz w:val="20"/>
          <w:szCs w:val="20"/>
        </w:rPr>
      </w:pPr>
    </w:p>
    <w:p w14:paraId="3A8FB663">
      <w:pPr>
        <w:rPr>
          <w:rFonts w:hint="default" w:ascii="Times New Roman" w:hAnsi="Times New Roman" w:cs="Times New Roman"/>
          <w:b/>
          <w:bCs/>
          <w:sz w:val="20"/>
          <w:szCs w:val="20"/>
        </w:rPr>
      </w:pPr>
    </w:p>
    <w:p w14:paraId="3654C8C9">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S2</w:t>
      </w:r>
      <w:r>
        <w:rPr>
          <w:rFonts w:hint="default" w:ascii="Times New Roman" w:hAnsi="Times New Roman" w:eastAsia="华文中宋" w:cs="Times New Roman"/>
          <w:b/>
          <w:bCs/>
          <w:sz w:val="20"/>
          <w:szCs w:val="20"/>
        </w:rPr>
        <w:t>. Training–cohort performance of candidate classifiers across feature sets</w:t>
      </w:r>
    </w:p>
    <w:tbl>
      <w:tblPr>
        <w:tblStyle w:val="5"/>
        <w:tblW w:w="4996" w:type="pct"/>
        <w:jc w:val="center"/>
        <w:tblLayout w:type="autofit"/>
        <w:tblCellMar>
          <w:top w:w="0" w:type="dxa"/>
          <w:left w:w="0" w:type="dxa"/>
          <w:bottom w:w="0" w:type="dxa"/>
          <w:right w:w="0" w:type="dxa"/>
        </w:tblCellMar>
      </w:tblPr>
      <w:tblGrid>
        <w:gridCol w:w="2334"/>
        <w:gridCol w:w="2884"/>
        <w:gridCol w:w="3299"/>
        <w:gridCol w:w="1882"/>
        <w:gridCol w:w="1882"/>
        <w:gridCol w:w="1882"/>
      </w:tblGrid>
      <w:tr w14:paraId="478F0E32">
        <w:tblPrEx>
          <w:tblCellMar>
            <w:top w:w="0" w:type="dxa"/>
            <w:left w:w="0" w:type="dxa"/>
            <w:bottom w:w="0" w:type="dxa"/>
            <w:right w:w="0" w:type="dxa"/>
          </w:tblCellMar>
        </w:tblPrEx>
        <w:trPr>
          <w:trHeight w:val="575" w:hRule="atLeast"/>
          <w:jc w:val="center"/>
        </w:trPr>
        <w:tc>
          <w:tcPr>
            <w:tcW w:w="824" w:type="pct"/>
            <w:tcBorders>
              <w:top w:val="single" w:color="auto" w:sz="4" w:space="0"/>
              <w:bottom w:val="single" w:color="auto" w:sz="8" w:space="0"/>
            </w:tcBorders>
            <w:tcMar>
              <w:left w:w="108" w:type="dxa"/>
              <w:right w:w="108" w:type="dxa"/>
            </w:tcMar>
            <w:vAlign w:val="center"/>
          </w:tcPr>
          <w:p w14:paraId="6DA7922C">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sz w:val="20"/>
                <w:szCs w:val="20"/>
              </w:rPr>
              <w:t>Feature set</w:t>
            </w:r>
          </w:p>
        </w:tc>
        <w:tc>
          <w:tcPr>
            <w:tcW w:w="1018" w:type="pct"/>
            <w:tcBorders>
              <w:top w:val="single" w:color="auto" w:sz="4" w:space="0"/>
              <w:bottom w:val="single" w:color="auto" w:sz="8" w:space="0"/>
            </w:tcBorders>
            <w:tcMar>
              <w:left w:w="108" w:type="dxa"/>
              <w:right w:w="108" w:type="dxa"/>
            </w:tcMar>
            <w:vAlign w:val="center"/>
          </w:tcPr>
          <w:p w14:paraId="509F82F1">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sz w:val="20"/>
                <w:szCs w:val="20"/>
              </w:rPr>
              <w:t>Classifier</w:t>
            </w:r>
          </w:p>
        </w:tc>
        <w:tc>
          <w:tcPr>
            <w:tcW w:w="1164" w:type="pct"/>
            <w:tcBorders>
              <w:top w:val="single" w:color="auto" w:sz="4" w:space="0"/>
              <w:bottom w:val="single" w:color="auto" w:sz="8" w:space="0"/>
            </w:tcBorders>
            <w:tcMar>
              <w:left w:w="108" w:type="dxa"/>
              <w:right w:w="108" w:type="dxa"/>
            </w:tcMar>
            <w:vAlign w:val="center"/>
          </w:tcPr>
          <w:p w14:paraId="126F3331">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color w:val="000000"/>
                <w:sz w:val="20"/>
                <w:szCs w:val="20"/>
              </w:rPr>
              <w:t>AUC (95% CI)</w:t>
            </w:r>
          </w:p>
        </w:tc>
        <w:tc>
          <w:tcPr>
            <w:tcW w:w="664" w:type="pct"/>
            <w:tcBorders>
              <w:top w:val="single" w:color="auto" w:sz="4" w:space="0"/>
              <w:bottom w:val="single" w:color="auto" w:sz="8" w:space="0"/>
            </w:tcBorders>
            <w:tcMar>
              <w:left w:w="108" w:type="dxa"/>
              <w:right w:w="108" w:type="dxa"/>
            </w:tcMar>
            <w:vAlign w:val="center"/>
          </w:tcPr>
          <w:p w14:paraId="4F0B97E5">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color w:val="000000"/>
                <w:sz w:val="20"/>
                <w:szCs w:val="20"/>
              </w:rPr>
              <w:t>Accuracy</w:t>
            </w:r>
          </w:p>
        </w:tc>
        <w:tc>
          <w:tcPr>
            <w:tcW w:w="664" w:type="pct"/>
            <w:tcBorders>
              <w:top w:val="single" w:color="auto" w:sz="4" w:space="0"/>
              <w:bottom w:val="single" w:color="auto" w:sz="8" w:space="0"/>
            </w:tcBorders>
            <w:tcMar>
              <w:left w:w="108" w:type="dxa"/>
              <w:right w:w="108" w:type="dxa"/>
            </w:tcMar>
            <w:vAlign w:val="center"/>
          </w:tcPr>
          <w:p w14:paraId="0ACF15C5">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color w:val="000000"/>
                <w:sz w:val="20"/>
                <w:szCs w:val="20"/>
              </w:rPr>
              <w:t>Sensitivity</w:t>
            </w:r>
          </w:p>
        </w:tc>
        <w:tc>
          <w:tcPr>
            <w:tcW w:w="664" w:type="pct"/>
            <w:tcBorders>
              <w:top w:val="single" w:color="auto" w:sz="4" w:space="0"/>
              <w:bottom w:val="single" w:color="auto" w:sz="8" w:space="0"/>
            </w:tcBorders>
            <w:tcMar>
              <w:left w:w="108" w:type="dxa"/>
              <w:right w:w="108" w:type="dxa"/>
            </w:tcMar>
            <w:vAlign w:val="center"/>
          </w:tcPr>
          <w:p w14:paraId="4582D76B">
            <w:pPr>
              <w:pStyle w:val="4"/>
              <w:widowControl/>
              <w:spacing w:beforeAutospacing="0" w:afterAutospacing="0"/>
              <w:rPr>
                <w:rFonts w:hint="default" w:ascii="Times New Roman" w:hAnsi="Times New Roman" w:cs="Times New Roman"/>
                <w:b/>
                <w:bCs/>
                <w:sz w:val="20"/>
                <w:szCs w:val="20"/>
              </w:rPr>
            </w:pPr>
            <w:r>
              <w:rPr>
                <w:rFonts w:hint="default" w:ascii="Times New Roman" w:hAnsi="Times New Roman" w:cs="Times New Roman"/>
                <w:b/>
                <w:bCs/>
                <w:color w:val="000000"/>
                <w:sz w:val="20"/>
                <w:szCs w:val="20"/>
              </w:rPr>
              <w:t>Specificity</w:t>
            </w:r>
          </w:p>
        </w:tc>
      </w:tr>
      <w:tr w14:paraId="49B52C75">
        <w:tblPrEx>
          <w:tblCellMar>
            <w:top w:w="0" w:type="dxa"/>
            <w:left w:w="0" w:type="dxa"/>
            <w:bottom w:w="0" w:type="dxa"/>
            <w:right w:w="0" w:type="dxa"/>
          </w:tblCellMar>
        </w:tblPrEx>
        <w:trPr>
          <w:trHeight w:val="320" w:hRule="atLeast"/>
          <w:jc w:val="center"/>
        </w:trPr>
        <w:tc>
          <w:tcPr>
            <w:tcW w:w="824" w:type="pct"/>
            <w:vMerge w:val="restart"/>
            <w:tcBorders>
              <w:top w:val="single" w:color="auto" w:sz="8" w:space="0"/>
              <w:bottom w:val="nil"/>
            </w:tcBorders>
            <w:tcMar>
              <w:left w:w="108" w:type="dxa"/>
              <w:right w:w="108" w:type="dxa"/>
            </w:tcMar>
            <w:vAlign w:val="center"/>
          </w:tcPr>
          <w:p w14:paraId="56206456">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Clinical</w:t>
            </w:r>
          </w:p>
        </w:tc>
        <w:tc>
          <w:tcPr>
            <w:tcW w:w="1018" w:type="pct"/>
            <w:tcBorders>
              <w:top w:val="single" w:color="auto" w:sz="8" w:space="0"/>
              <w:bottom w:val="nil"/>
            </w:tcBorders>
            <w:tcMar>
              <w:left w:w="108" w:type="dxa"/>
              <w:right w:w="108" w:type="dxa"/>
            </w:tcMar>
            <w:vAlign w:val="center"/>
          </w:tcPr>
          <w:p w14:paraId="33B61EB8">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LR</w:t>
            </w:r>
          </w:p>
        </w:tc>
        <w:tc>
          <w:tcPr>
            <w:tcW w:w="1164" w:type="pct"/>
            <w:tcBorders>
              <w:top w:val="single" w:color="auto" w:sz="8" w:space="0"/>
              <w:bottom w:val="nil"/>
            </w:tcBorders>
            <w:tcMar>
              <w:left w:w="108" w:type="dxa"/>
              <w:right w:w="108" w:type="dxa"/>
            </w:tcMar>
            <w:vAlign w:val="center"/>
          </w:tcPr>
          <w:p w14:paraId="6CC54CC3">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0.668 (0.596</w:t>
            </w:r>
            <w:r>
              <w:rPr>
                <w:rFonts w:hint="default" w:ascii="Times New Roman" w:hAnsi="Times New Roman" w:cs="Times New Roman"/>
                <w:sz w:val="20"/>
                <w:szCs w:val="20"/>
              </w:rPr>
              <w:t>–0.741</w:t>
            </w:r>
            <w:r>
              <w:rPr>
                <w:rFonts w:hint="default" w:ascii="Times New Roman" w:hAnsi="Times New Roman" w:eastAsia="华文中宋" w:cs="Times New Roman"/>
                <w:color w:val="000000"/>
                <w:sz w:val="20"/>
                <w:szCs w:val="20"/>
              </w:rPr>
              <w:t>)</w:t>
            </w:r>
          </w:p>
        </w:tc>
        <w:tc>
          <w:tcPr>
            <w:tcW w:w="664" w:type="pct"/>
            <w:tcBorders>
              <w:top w:val="single" w:color="auto" w:sz="8" w:space="0"/>
              <w:bottom w:val="nil"/>
            </w:tcBorders>
            <w:tcMar>
              <w:left w:w="108" w:type="dxa"/>
              <w:right w:w="108" w:type="dxa"/>
            </w:tcMar>
            <w:vAlign w:val="center"/>
          </w:tcPr>
          <w:p w14:paraId="681EBF76">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0.621</w:t>
            </w:r>
          </w:p>
        </w:tc>
        <w:tc>
          <w:tcPr>
            <w:tcW w:w="664" w:type="pct"/>
            <w:tcBorders>
              <w:top w:val="single" w:color="auto" w:sz="8" w:space="0"/>
              <w:bottom w:val="nil"/>
            </w:tcBorders>
            <w:tcMar>
              <w:left w:w="108" w:type="dxa"/>
              <w:right w:w="108" w:type="dxa"/>
            </w:tcMar>
            <w:vAlign w:val="center"/>
          </w:tcPr>
          <w:p w14:paraId="7EA3FDFC">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0.716</w:t>
            </w:r>
          </w:p>
        </w:tc>
        <w:tc>
          <w:tcPr>
            <w:tcW w:w="664" w:type="pct"/>
            <w:tcBorders>
              <w:top w:val="single" w:color="auto" w:sz="8" w:space="0"/>
              <w:bottom w:val="nil"/>
            </w:tcBorders>
            <w:tcMar>
              <w:left w:w="108" w:type="dxa"/>
              <w:right w:w="108" w:type="dxa"/>
            </w:tcMar>
            <w:vAlign w:val="center"/>
          </w:tcPr>
          <w:p w14:paraId="7453B0DE">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0.556</w:t>
            </w:r>
          </w:p>
        </w:tc>
      </w:tr>
      <w:tr w14:paraId="4FA23242">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46776F6D">
            <w:pPr>
              <w:pStyle w:val="4"/>
              <w:widowControl/>
              <w:spacing w:beforeAutospacing="0" w:afterAutospacing="0"/>
              <w:rPr>
                <w:rFonts w:hint="default" w:ascii="Times New Roman" w:hAnsi="Times New Roman" w:cs="Times New Roman"/>
                <w:color w:val="000000"/>
                <w:sz w:val="20"/>
                <w:szCs w:val="20"/>
              </w:rPr>
            </w:pPr>
          </w:p>
        </w:tc>
        <w:tc>
          <w:tcPr>
            <w:tcW w:w="1018" w:type="pct"/>
            <w:tcBorders>
              <w:top w:val="nil"/>
              <w:bottom w:val="nil"/>
            </w:tcBorders>
            <w:tcMar>
              <w:left w:w="108" w:type="dxa"/>
              <w:right w:w="108" w:type="dxa"/>
            </w:tcMar>
            <w:vAlign w:val="center"/>
          </w:tcPr>
          <w:p w14:paraId="6EFA8A27">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SVM</w:t>
            </w:r>
          </w:p>
        </w:tc>
        <w:tc>
          <w:tcPr>
            <w:tcW w:w="1164" w:type="pct"/>
            <w:tcBorders>
              <w:top w:val="nil"/>
              <w:bottom w:val="nil"/>
            </w:tcBorders>
            <w:tcMar>
              <w:left w:w="108" w:type="dxa"/>
              <w:right w:w="108" w:type="dxa"/>
            </w:tcMar>
            <w:vAlign w:val="center"/>
          </w:tcPr>
          <w:p w14:paraId="1C92E70B">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0.664 (0.590</w:t>
            </w:r>
            <w:r>
              <w:rPr>
                <w:rFonts w:hint="default" w:ascii="Times New Roman" w:hAnsi="Times New Roman" w:cs="Times New Roman"/>
                <w:sz w:val="20"/>
                <w:szCs w:val="20"/>
              </w:rPr>
              <w:t>–0.737</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4AB641A0">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0.636</w:t>
            </w:r>
          </w:p>
        </w:tc>
        <w:tc>
          <w:tcPr>
            <w:tcW w:w="664" w:type="pct"/>
            <w:tcBorders>
              <w:top w:val="nil"/>
              <w:bottom w:val="nil"/>
            </w:tcBorders>
            <w:tcMar>
              <w:left w:w="108" w:type="dxa"/>
              <w:right w:w="108" w:type="dxa"/>
            </w:tcMar>
            <w:vAlign w:val="center"/>
          </w:tcPr>
          <w:p w14:paraId="4D006C8B">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0.602</w:t>
            </w:r>
          </w:p>
        </w:tc>
        <w:tc>
          <w:tcPr>
            <w:tcW w:w="664" w:type="pct"/>
            <w:tcBorders>
              <w:top w:val="nil"/>
              <w:bottom w:val="nil"/>
            </w:tcBorders>
            <w:tcMar>
              <w:left w:w="108" w:type="dxa"/>
              <w:right w:w="108" w:type="dxa"/>
            </w:tcMar>
            <w:vAlign w:val="center"/>
          </w:tcPr>
          <w:p w14:paraId="2450ED09">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0.659</w:t>
            </w:r>
          </w:p>
        </w:tc>
      </w:tr>
      <w:tr w14:paraId="599D053B">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1C6EEC77">
            <w:pPr>
              <w:pStyle w:val="4"/>
              <w:widowControl/>
              <w:spacing w:beforeAutospacing="0" w:afterAutospacing="0"/>
              <w:rPr>
                <w:rFonts w:hint="default" w:ascii="Times New Roman" w:hAnsi="Times New Roman" w:cs="Times New Roman"/>
                <w:color w:val="000000"/>
                <w:sz w:val="20"/>
                <w:szCs w:val="20"/>
              </w:rPr>
            </w:pPr>
          </w:p>
        </w:tc>
        <w:tc>
          <w:tcPr>
            <w:tcW w:w="1018" w:type="pct"/>
            <w:tcBorders>
              <w:top w:val="nil"/>
              <w:bottom w:val="nil"/>
            </w:tcBorders>
            <w:tcMar>
              <w:left w:w="108" w:type="dxa"/>
              <w:right w:w="108" w:type="dxa"/>
            </w:tcMar>
            <w:vAlign w:val="center"/>
          </w:tcPr>
          <w:p w14:paraId="6672469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RF</w:t>
            </w:r>
          </w:p>
        </w:tc>
        <w:tc>
          <w:tcPr>
            <w:tcW w:w="1164" w:type="pct"/>
            <w:tcBorders>
              <w:top w:val="nil"/>
              <w:bottom w:val="nil"/>
            </w:tcBorders>
            <w:tcMar>
              <w:left w:w="108" w:type="dxa"/>
              <w:right w:w="108" w:type="dxa"/>
            </w:tcMar>
            <w:vAlign w:val="center"/>
          </w:tcPr>
          <w:p w14:paraId="490A8231">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0.752 (0.687</w:t>
            </w:r>
            <w:r>
              <w:rPr>
                <w:rFonts w:hint="default" w:ascii="Times New Roman" w:hAnsi="Times New Roman" w:cs="Times New Roman"/>
                <w:sz w:val="20"/>
                <w:szCs w:val="20"/>
              </w:rPr>
              <w:t>–0.818</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33317741">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0.715</w:t>
            </w:r>
          </w:p>
        </w:tc>
        <w:tc>
          <w:tcPr>
            <w:tcW w:w="664" w:type="pct"/>
            <w:tcBorders>
              <w:top w:val="nil"/>
              <w:bottom w:val="nil"/>
            </w:tcBorders>
            <w:tcMar>
              <w:left w:w="108" w:type="dxa"/>
              <w:right w:w="108" w:type="dxa"/>
            </w:tcMar>
            <w:vAlign w:val="center"/>
          </w:tcPr>
          <w:p w14:paraId="0BB8D035">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0.534</w:t>
            </w:r>
          </w:p>
        </w:tc>
        <w:tc>
          <w:tcPr>
            <w:tcW w:w="664" w:type="pct"/>
            <w:tcBorders>
              <w:top w:val="nil"/>
              <w:bottom w:val="nil"/>
            </w:tcBorders>
            <w:tcMar>
              <w:left w:w="108" w:type="dxa"/>
              <w:right w:w="108" w:type="dxa"/>
            </w:tcMar>
            <w:vAlign w:val="center"/>
          </w:tcPr>
          <w:p w14:paraId="4C1841B1">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0.841</w:t>
            </w:r>
          </w:p>
        </w:tc>
      </w:tr>
      <w:tr w14:paraId="2D2CD86D">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77DE91C8">
            <w:pPr>
              <w:pStyle w:val="4"/>
              <w:widowControl/>
              <w:spacing w:beforeAutospacing="0" w:afterAutospacing="0"/>
              <w:rPr>
                <w:rFonts w:hint="default" w:ascii="Times New Roman" w:hAnsi="Times New Roman" w:cs="Times New Roman"/>
                <w:color w:val="000000"/>
                <w:sz w:val="20"/>
                <w:szCs w:val="20"/>
              </w:rPr>
            </w:pPr>
          </w:p>
        </w:tc>
        <w:tc>
          <w:tcPr>
            <w:tcW w:w="1018" w:type="pct"/>
            <w:tcBorders>
              <w:top w:val="nil"/>
              <w:bottom w:val="nil"/>
            </w:tcBorders>
            <w:tcMar>
              <w:left w:w="108" w:type="dxa"/>
              <w:right w:w="108" w:type="dxa"/>
            </w:tcMar>
            <w:vAlign w:val="center"/>
          </w:tcPr>
          <w:p w14:paraId="308B8E5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LightGBM</w:t>
            </w:r>
          </w:p>
        </w:tc>
        <w:tc>
          <w:tcPr>
            <w:tcW w:w="1164" w:type="pct"/>
            <w:tcBorders>
              <w:top w:val="nil"/>
              <w:bottom w:val="nil"/>
            </w:tcBorders>
            <w:tcMar>
              <w:left w:w="108" w:type="dxa"/>
              <w:right w:w="108" w:type="dxa"/>
            </w:tcMar>
            <w:vAlign w:val="center"/>
          </w:tcPr>
          <w:p w14:paraId="74E02346">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0.740 (0.673</w:t>
            </w:r>
            <w:r>
              <w:rPr>
                <w:rFonts w:hint="default" w:ascii="Times New Roman" w:hAnsi="Times New Roman" w:cs="Times New Roman"/>
                <w:sz w:val="20"/>
                <w:szCs w:val="20"/>
              </w:rPr>
              <w:t>–0.806</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55B630CF">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0.696</w:t>
            </w:r>
          </w:p>
        </w:tc>
        <w:tc>
          <w:tcPr>
            <w:tcW w:w="664" w:type="pct"/>
            <w:tcBorders>
              <w:top w:val="nil"/>
              <w:bottom w:val="nil"/>
            </w:tcBorders>
            <w:tcMar>
              <w:left w:w="108" w:type="dxa"/>
              <w:right w:w="108" w:type="dxa"/>
            </w:tcMar>
            <w:vAlign w:val="center"/>
          </w:tcPr>
          <w:p w14:paraId="497B631E">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0.523</w:t>
            </w:r>
          </w:p>
        </w:tc>
        <w:tc>
          <w:tcPr>
            <w:tcW w:w="664" w:type="pct"/>
            <w:tcBorders>
              <w:top w:val="nil"/>
              <w:bottom w:val="nil"/>
            </w:tcBorders>
            <w:tcMar>
              <w:left w:w="108" w:type="dxa"/>
              <w:right w:w="108" w:type="dxa"/>
            </w:tcMar>
            <w:vAlign w:val="center"/>
          </w:tcPr>
          <w:p w14:paraId="1D9661A6">
            <w:pPr>
              <w:pStyle w:val="4"/>
              <w:widowControl/>
              <w:spacing w:beforeAutospacing="0" w:afterAutospacing="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0.817</w:t>
            </w:r>
          </w:p>
        </w:tc>
      </w:tr>
      <w:tr w14:paraId="53817CC7">
        <w:tblPrEx>
          <w:tblCellMar>
            <w:top w:w="0" w:type="dxa"/>
            <w:left w:w="0" w:type="dxa"/>
            <w:bottom w:w="0" w:type="dxa"/>
            <w:right w:w="0" w:type="dxa"/>
          </w:tblCellMar>
        </w:tblPrEx>
        <w:trPr>
          <w:trHeight w:val="320" w:hRule="atLeast"/>
          <w:jc w:val="center"/>
        </w:trPr>
        <w:tc>
          <w:tcPr>
            <w:tcW w:w="824" w:type="pct"/>
            <w:vMerge w:val="restart"/>
            <w:tcBorders>
              <w:top w:val="nil"/>
              <w:bottom w:val="nil"/>
            </w:tcBorders>
            <w:tcMar>
              <w:left w:w="108" w:type="dxa"/>
              <w:right w:w="108" w:type="dxa"/>
            </w:tcMar>
            <w:vAlign w:val="center"/>
          </w:tcPr>
          <w:p w14:paraId="2C778D23">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sz w:val="20"/>
                <w:szCs w:val="20"/>
              </w:rPr>
              <w:t>Radiomics</w:t>
            </w:r>
          </w:p>
        </w:tc>
        <w:tc>
          <w:tcPr>
            <w:tcW w:w="1018" w:type="pct"/>
            <w:tcBorders>
              <w:top w:val="nil"/>
              <w:bottom w:val="nil"/>
            </w:tcBorders>
            <w:tcMar>
              <w:left w:w="108" w:type="dxa"/>
              <w:right w:w="108" w:type="dxa"/>
            </w:tcMar>
            <w:vAlign w:val="center"/>
          </w:tcPr>
          <w:p w14:paraId="016E52C2">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LR</w:t>
            </w:r>
          </w:p>
        </w:tc>
        <w:tc>
          <w:tcPr>
            <w:tcW w:w="1164" w:type="pct"/>
            <w:tcBorders>
              <w:top w:val="nil"/>
              <w:bottom w:val="nil"/>
            </w:tcBorders>
            <w:tcMar>
              <w:left w:w="108" w:type="dxa"/>
              <w:right w:w="108" w:type="dxa"/>
            </w:tcMar>
            <w:vAlign w:val="center"/>
          </w:tcPr>
          <w:p w14:paraId="0069843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0.754</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0.688</w:t>
            </w:r>
            <w:r>
              <w:rPr>
                <w:rFonts w:hint="default" w:ascii="Times New Roman" w:hAnsi="Times New Roman" w:cs="Times New Roman"/>
                <w:sz w:val="20"/>
                <w:szCs w:val="20"/>
              </w:rPr>
              <w:t>–</w:t>
            </w:r>
            <w:r>
              <w:rPr>
                <w:rFonts w:hint="default" w:ascii="Times New Roman" w:hAnsi="Times New Roman" w:cs="Times New Roman"/>
                <w:color w:val="000000"/>
                <w:sz w:val="20"/>
                <w:szCs w:val="20"/>
              </w:rPr>
              <w:t>0.820</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6B01099E">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0.706</w:t>
            </w:r>
          </w:p>
        </w:tc>
        <w:tc>
          <w:tcPr>
            <w:tcW w:w="664" w:type="pct"/>
            <w:tcBorders>
              <w:top w:val="nil"/>
              <w:bottom w:val="nil"/>
            </w:tcBorders>
            <w:tcMar>
              <w:left w:w="108" w:type="dxa"/>
              <w:right w:w="108" w:type="dxa"/>
            </w:tcMar>
            <w:vAlign w:val="center"/>
          </w:tcPr>
          <w:p w14:paraId="21DAD21F">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0.727</w:t>
            </w:r>
          </w:p>
        </w:tc>
        <w:tc>
          <w:tcPr>
            <w:tcW w:w="664" w:type="pct"/>
            <w:tcBorders>
              <w:top w:val="nil"/>
              <w:bottom w:val="nil"/>
            </w:tcBorders>
            <w:tcMar>
              <w:left w:w="108" w:type="dxa"/>
              <w:right w:w="108" w:type="dxa"/>
            </w:tcMar>
            <w:vAlign w:val="center"/>
          </w:tcPr>
          <w:p w14:paraId="62BBA3A3">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0.690</w:t>
            </w:r>
          </w:p>
        </w:tc>
      </w:tr>
      <w:tr w14:paraId="273AC5DF">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299CD2F5">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0055D3BB">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SVM</w:t>
            </w:r>
          </w:p>
        </w:tc>
        <w:tc>
          <w:tcPr>
            <w:tcW w:w="1164" w:type="pct"/>
            <w:tcBorders>
              <w:top w:val="nil"/>
              <w:bottom w:val="nil"/>
            </w:tcBorders>
            <w:tcMar>
              <w:left w:w="108" w:type="dxa"/>
              <w:right w:w="108" w:type="dxa"/>
            </w:tcMar>
            <w:vAlign w:val="center"/>
          </w:tcPr>
          <w:p w14:paraId="77A84E6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0.826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0.767</w:t>
            </w:r>
            <w:r>
              <w:rPr>
                <w:rFonts w:hint="default" w:ascii="Times New Roman" w:hAnsi="Times New Roman" w:cs="Times New Roman"/>
                <w:sz w:val="20"/>
                <w:szCs w:val="20"/>
              </w:rPr>
              <w:t>–</w:t>
            </w:r>
            <w:r>
              <w:rPr>
                <w:rFonts w:hint="default" w:ascii="Times New Roman" w:hAnsi="Times New Roman" w:cs="Times New Roman"/>
                <w:color w:val="000000"/>
                <w:sz w:val="20"/>
                <w:szCs w:val="20"/>
              </w:rPr>
              <w:t>0.885</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0ED58CD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0.785</w:t>
            </w:r>
          </w:p>
        </w:tc>
        <w:tc>
          <w:tcPr>
            <w:tcW w:w="664" w:type="pct"/>
            <w:tcBorders>
              <w:top w:val="nil"/>
              <w:bottom w:val="nil"/>
            </w:tcBorders>
            <w:tcMar>
              <w:left w:w="108" w:type="dxa"/>
              <w:right w:w="108" w:type="dxa"/>
            </w:tcMar>
            <w:vAlign w:val="center"/>
          </w:tcPr>
          <w:p w14:paraId="31898CF2">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0.727</w:t>
            </w:r>
          </w:p>
        </w:tc>
        <w:tc>
          <w:tcPr>
            <w:tcW w:w="664" w:type="pct"/>
            <w:tcBorders>
              <w:top w:val="nil"/>
              <w:bottom w:val="nil"/>
            </w:tcBorders>
            <w:tcMar>
              <w:left w:w="108" w:type="dxa"/>
              <w:right w:w="108" w:type="dxa"/>
            </w:tcMar>
            <w:vAlign w:val="center"/>
          </w:tcPr>
          <w:p w14:paraId="04F0DC2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0.825</w:t>
            </w:r>
          </w:p>
        </w:tc>
      </w:tr>
      <w:tr w14:paraId="174F0AD1">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14C5BF9A">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01542448">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RF</w:t>
            </w:r>
          </w:p>
        </w:tc>
        <w:tc>
          <w:tcPr>
            <w:tcW w:w="1164" w:type="pct"/>
            <w:tcBorders>
              <w:top w:val="nil"/>
              <w:bottom w:val="nil"/>
            </w:tcBorders>
            <w:tcMar>
              <w:left w:w="108" w:type="dxa"/>
              <w:right w:w="108" w:type="dxa"/>
            </w:tcMar>
            <w:vAlign w:val="center"/>
          </w:tcPr>
          <w:p w14:paraId="14008D8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0.870</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0.823</w:t>
            </w:r>
            <w:r>
              <w:rPr>
                <w:rFonts w:hint="default" w:ascii="Times New Roman" w:hAnsi="Times New Roman" w:cs="Times New Roman"/>
                <w:sz w:val="20"/>
                <w:szCs w:val="20"/>
              </w:rPr>
              <w:t>–</w:t>
            </w:r>
            <w:r>
              <w:rPr>
                <w:rFonts w:hint="default" w:ascii="Times New Roman" w:hAnsi="Times New Roman" w:cs="Times New Roman"/>
                <w:color w:val="000000"/>
                <w:sz w:val="20"/>
                <w:szCs w:val="20"/>
              </w:rPr>
              <w:t>0.918</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441ACA2">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0.776</w:t>
            </w:r>
          </w:p>
        </w:tc>
        <w:tc>
          <w:tcPr>
            <w:tcW w:w="664" w:type="pct"/>
            <w:tcBorders>
              <w:top w:val="nil"/>
              <w:bottom w:val="nil"/>
            </w:tcBorders>
            <w:tcMar>
              <w:left w:w="108" w:type="dxa"/>
              <w:right w:w="108" w:type="dxa"/>
            </w:tcMar>
            <w:vAlign w:val="center"/>
          </w:tcPr>
          <w:p w14:paraId="1688CA96">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0.875</w:t>
            </w:r>
          </w:p>
        </w:tc>
        <w:tc>
          <w:tcPr>
            <w:tcW w:w="664" w:type="pct"/>
            <w:tcBorders>
              <w:top w:val="nil"/>
              <w:bottom w:val="nil"/>
            </w:tcBorders>
            <w:tcMar>
              <w:left w:w="108" w:type="dxa"/>
              <w:right w:w="108" w:type="dxa"/>
            </w:tcMar>
            <w:vAlign w:val="center"/>
          </w:tcPr>
          <w:p w14:paraId="18D0A4CD">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0.706</w:t>
            </w:r>
          </w:p>
        </w:tc>
      </w:tr>
      <w:tr w14:paraId="0CCAFB10">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4E5EAC32">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2100E3D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LightGBM</w:t>
            </w:r>
          </w:p>
        </w:tc>
        <w:tc>
          <w:tcPr>
            <w:tcW w:w="1164" w:type="pct"/>
            <w:tcBorders>
              <w:top w:val="nil"/>
              <w:bottom w:val="nil"/>
            </w:tcBorders>
            <w:tcMar>
              <w:left w:w="108" w:type="dxa"/>
              <w:right w:w="108" w:type="dxa"/>
            </w:tcMar>
            <w:vAlign w:val="center"/>
          </w:tcPr>
          <w:p w14:paraId="3A3080BF">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0.813</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0.757</w:t>
            </w:r>
            <w:r>
              <w:rPr>
                <w:rFonts w:hint="default" w:ascii="Times New Roman" w:hAnsi="Times New Roman" w:cs="Times New Roman"/>
                <w:sz w:val="20"/>
                <w:szCs w:val="20"/>
              </w:rPr>
              <w:t>–</w:t>
            </w:r>
            <w:r>
              <w:rPr>
                <w:rFonts w:hint="default" w:ascii="Times New Roman" w:hAnsi="Times New Roman" w:cs="Times New Roman"/>
                <w:color w:val="000000"/>
                <w:sz w:val="20"/>
                <w:szCs w:val="20"/>
              </w:rPr>
              <w:t>0.870</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1C80596">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0.757</w:t>
            </w:r>
          </w:p>
        </w:tc>
        <w:tc>
          <w:tcPr>
            <w:tcW w:w="664" w:type="pct"/>
            <w:tcBorders>
              <w:top w:val="nil"/>
              <w:bottom w:val="nil"/>
            </w:tcBorders>
            <w:tcMar>
              <w:left w:w="108" w:type="dxa"/>
              <w:right w:w="108" w:type="dxa"/>
            </w:tcMar>
            <w:vAlign w:val="center"/>
          </w:tcPr>
          <w:p w14:paraId="218B4268">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0.705</w:t>
            </w:r>
          </w:p>
        </w:tc>
        <w:tc>
          <w:tcPr>
            <w:tcW w:w="664" w:type="pct"/>
            <w:tcBorders>
              <w:top w:val="nil"/>
              <w:bottom w:val="nil"/>
            </w:tcBorders>
            <w:tcMar>
              <w:left w:w="108" w:type="dxa"/>
              <w:right w:w="108" w:type="dxa"/>
            </w:tcMar>
            <w:vAlign w:val="center"/>
          </w:tcPr>
          <w:p w14:paraId="767F4D72">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0.794</w:t>
            </w:r>
          </w:p>
        </w:tc>
      </w:tr>
      <w:tr w14:paraId="1C4C359E">
        <w:tblPrEx>
          <w:tblCellMar>
            <w:top w:w="0" w:type="dxa"/>
            <w:left w:w="0" w:type="dxa"/>
            <w:bottom w:w="0" w:type="dxa"/>
            <w:right w:w="0" w:type="dxa"/>
          </w:tblCellMar>
        </w:tblPrEx>
        <w:trPr>
          <w:trHeight w:val="320" w:hRule="atLeast"/>
          <w:jc w:val="center"/>
        </w:trPr>
        <w:tc>
          <w:tcPr>
            <w:tcW w:w="824" w:type="pct"/>
            <w:vMerge w:val="restart"/>
            <w:tcBorders>
              <w:top w:val="nil"/>
              <w:bottom w:val="nil"/>
            </w:tcBorders>
            <w:tcMar>
              <w:left w:w="108" w:type="dxa"/>
              <w:right w:w="108" w:type="dxa"/>
            </w:tcMar>
            <w:vAlign w:val="center"/>
          </w:tcPr>
          <w:p w14:paraId="620E56F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sz w:val="20"/>
                <w:szCs w:val="20"/>
              </w:rPr>
              <w:t>Radiomics–ResNet50</w:t>
            </w:r>
          </w:p>
        </w:tc>
        <w:tc>
          <w:tcPr>
            <w:tcW w:w="1018" w:type="pct"/>
            <w:tcBorders>
              <w:top w:val="nil"/>
              <w:bottom w:val="nil"/>
            </w:tcBorders>
            <w:tcMar>
              <w:left w:w="108" w:type="dxa"/>
              <w:right w:w="108" w:type="dxa"/>
            </w:tcMar>
            <w:vAlign w:val="center"/>
          </w:tcPr>
          <w:p w14:paraId="5B2B773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LR</w:t>
            </w:r>
          </w:p>
        </w:tc>
        <w:tc>
          <w:tcPr>
            <w:tcW w:w="1164" w:type="pct"/>
            <w:tcBorders>
              <w:top w:val="nil"/>
              <w:bottom w:val="nil"/>
            </w:tcBorders>
            <w:tcMar>
              <w:left w:w="108" w:type="dxa"/>
              <w:right w:w="108" w:type="dxa"/>
            </w:tcMar>
            <w:vAlign w:val="center"/>
          </w:tcPr>
          <w:p w14:paraId="2D89038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0.876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0.828</w:t>
            </w:r>
            <w:r>
              <w:rPr>
                <w:rFonts w:hint="default" w:ascii="Times New Roman" w:hAnsi="Times New Roman" w:cs="Times New Roman"/>
                <w:sz w:val="20"/>
                <w:szCs w:val="20"/>
              </w:rPr>
              <w:t>–</w:t>
            </w:r>
            <w:r>
              <w:rPr>
                <w:rFonts w:hint="default" w:ascii="Times New Roman" w:hAnsi="Times New Roman" w:cs="Times New Roman"/>
                <w:color w:val="000000"/>
                <w:sz w:val="20"/>
                <w:szCs w:val="20"/>
              </w:rPr>
              <w:t>0.924</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C59DCC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0.832</w:t>
            </w:r>
          </w:p>
        </w:tc>
        <w:tc>
          <w:tcPr>
            <w:tcW w:w="664" w:type="pct"/>
            <w:tcBorders>
              <w:top w:val="nil"/>
              <w:bottom w:val="nil"/>
            </w:tcBorders>
            <w:tcMar>
              <w:left w:w="108" w:type="dxa"/>
              <w:right w:w="108" w:type="dxa"/>
            </w:tcMar>
            <w:vAlign w:val="center"/>
          </w:tcPr>
          <w:p w14:paraId="1E77FD7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0.693</w:t>
            </w:r>
          </w:p>
        </w:tc>
        <w:tc>
          <w:tcPr>
            <w:tcW w:w="664" w:type="pct"/>
            <w:tcBorders>
              <w:top w:val="nil"/>
              <w:bottom w:val="nil"/>
            </w:tcBorders>
            <w:tcMar>
              <w:left w:w="108" w:type="dxa"/>
              <w:right w:w="108" w:type="dxa"/>
            </w:tcMar>
            <w:vAlign w:val="center"/>
          </w:tcPr>
          <w:p w14:paraId="7C42733F">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0.929</w:t>
            </w:r>
          </w:p>
        </w:tc>
      </w:tr>
      <w:tr w14:paraId="35241624">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32B1C072">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6830AB48">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SVM</w:t>
            </w:r>
          </w:p>
        </w:tc>
        <w:tc>
          <w:tcPr>
            <w:tcW w:w="1164" w:type="pct"/>
            <w:tcBorders>
              <w:top w:val="nil"/>
              <w:bottom w:val="nil"/>
            </w:tcBorders>
            <w:tcMar>
              <w:left w:w="108" w:type="dxa"/>
              <w:right w:w="108" w:type="dxa"/>
            </w:tcMar>
            <w:vAlign w:val="center"/>
          </w:tcPr>
          <w:p w14:paraId="2E27C92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0.896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0.853</w:t>
            </w:r>
            <w:r>
              <w:rPr>
                <w:rFonts w:hint="default" w:ascii="Times New Roman" w:hAnsi="Times New Roman" w:cs="Times New Roman"/>
                <w:sz w:val="20"/>
                <w:szCs w:val="20"/>
              </w:rPr>
              <w:t>–</w:t>
            </w:r>
            <w:r>
              <w:rPr>
                <w:rFonts w:hint="default" w:ascii="Times New Roman" w:hAnsi="Times New Roman" w:cs="Times New Roman"/>
                <w:color w:val="000000"/>
                <w:sz w:val="20"/>
                <w:szCs w:val="20"/>
              </w:rPr>
              <w:t>0.937</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475C37B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0.836</w:t>
            </w:r>
          </w:p>
        </w:tc>
        <w:tc>
          <w:tcPr>
            <w:tcW w:w="664" w:type="pct"/>
            <w:tcBorders>
              <w:top w:val="nil"/>
              <w:bottom w:val="nil"/>
            </w:tcBorders>
            <w:tcMar>
              <w:left w:w="108" w:type="dxa"/>
              <w:right w:w="108" w:type="dxa"/>
            </w:tcMar>
            <w:vAlign w:val="center"/>
          </w:tcPr>
          <w:p w14:paraId="37D1D52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0.852</w:t>
            </w:r>
          </w:p>
        </w:tc>
        <w:tc>
          <w:tcPr>
            <w:tcW w:w="664" w:type="pct"/>
            <w:tcBorders>
              <w:top w:val="nil"/>
              <w:bottom w:val="nil"/>
            </w:tcBorders>
            <w:tcMar>
              <w:left w:w="108" w:type="dxa"/>
              <w:right w:w="108" w:type="dxa"/>
            </w:tcMar>
            <w:vAlign w:val="center"/>
          </w:tcPr>
          <w:p w14:paraId="07E9F336">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0.825</w:t>
            </w:r>
          </w:p>
        </w:tc>
      </w:tr>
      <w:tr w14:paraId="1767EB5F">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44722D68">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6B44CFD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RF</w:t>
            </w:r>
          </w:p>
        </w:tc>
        <w:tc>
          <w:tcPr>
            <w:tcW w:w="1164" w:type="pct"/>
            <w:tcBorders>
              <w:top w:val="nil"/>
              <w:bottom w:val="nil"/>
            </w:tcBorders>
            <w:tcMar>
              <w:left w:w="108" w:type="dxa"/>
              <w:right w:w="108" w:type="dxa"/>
            </w:tcMar>
            <w:vAlign w:val="center"/>
          </w:tcPr>
          <w:p w14:paraId="49E5410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0.914</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0.875</w:t>
            </w:r>
            <w:r>
              <w:rPr>
                <w:rFonts w:hint="default" w:ascii="Times New Roman" w:hAnsi="Times New Roman" w:cs="Times New Roman"/>
                <w:sz w:val="20"/>
                <w:szCs w:val="20"/>
              </w:rPr>
              <w:t>–</w:t>
            </w:r>
            <w:r>
              <w:rPr>
                <w:rFonts w:hint="default" w:ascii="Times New Roman" w:hAnsi="Times New Roman" w:cs="Times New Roman"/>
                <w:color w:val="000000"/>
                <w:sz w:val="20"/>
                <w:szCs w:val="20"/>
              </w:rPr>
              <w:t>0.952</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AFC2A5D">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0.846</w:t>
            </w:r>
          </w:p>
        </w:tc>
        <w:tc>
          <w:tcPr>
            <w:tcW w:w="664" w:type="pct"/>
            <w:tcBorders>
              <w:top w:val="nil"/>
              <w:bottom w:val="nil"/>
            </w:tcBorders>
            <w:tcMar>
              <w:left w:w="108" w:type="dxa"/>
              <w:right w:w="108" w:type="dxa"/>
            </w:tcMar>
            <w:vAlign w:val="center"/>
          </w:tcPr>
          <w:p w14:paraId="36F231EA">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0.852</w:t>
            </w:r>
          </w:p>
        </w:tc>
        <w:tc>
          <w:tcPr>
            <w:tcW w:w="664" w:type="pct"/>
            <w:tcBorders>
              <w:top w:val="nil"/>
              <w:bottom w:val="nil"/>
            </w:tcBorders>
            <w:tcMar>
              <w:left w:w="108" w:type="dxa"/>
              <w:right w:w="108" w:type="dxa"/>
            </w:tcMar>
            <w:vAlign w:val="center"/>
          </w:tcPr>
          <w:p w14:paraId="0471A8DD">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0.841</w:t>
            </w:r>
          </w:p>
        </w:tc>
      </w:tr>
      <w:tr w14:paraId="558ED433">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08BD6120">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6443B24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LightGBM</w:t>
            </w:r>
          </w:p>
        </w:tc>
        <w:tc>
          <w:tcPr>
            <w:tcW w:w="1164" w:type="pct"/>
            <w:tcBorders>
              <w:top w:val="nil"/>
              <w:bottom w:val="nil"/>
            </w:tcBorders>
            <w:tcMar>
              <w:left w:w="108" w:type="dxa"/>
              <w:right w:w="108" w:type="dxa"/>
            </w:tcMar>
            <w:vAlign w:val="center"/>
          </w:tcPr>
          <w:p w14:paraId="141B741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0.892</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0.848</w:t>
            </w:r>
            <w:r>
              <w:rPr>
                <w:rFonts w:hint="default" w:ascii="Times New Roman" w:hAnsi="Times New Roman" w:cs="Times New Roman"/>
                <w:sz w:val="20"/>
                <w:szCs w:val="20"/>
              </w:rPr>
              <w:t>–</w:t>
            </w:r>
            <w:r>
              <w:rPr>
                <w:rFonts w:hint="default" w:ascii="Times New Roman" w:hAnsi="Times New Roman" w:cs="Times New Roman"/>
                <w:color w:val="000000"/>
                <w:sz w:val="20"/>
                <w:szCs w:val="20"/>
              </w:rPr>
              <w:t>0.937</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C403F9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0.836</w:t>
            </w:r>
          </w:p>
        </w:tc>
        <w:tc>
          <w:tcPr>
            <w:tcW w:w="664" w:type="pct"/>
            <w:tcBorders>
              <w:top w:val="nil"/>
              <w:bottom w:val="nil"/>
            </w:tcBorders>
            <w:tcMar>
              <w:left w:w="108" w:type="dxa"/>
              <w:right w:w="108" w:type="dxa"/>
            </w:tcMar>
            <w:vAlign w:val="center"/>
          </w:tcPr>
          <w:p w14:paraId="47D52D8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0.807</w:t>
            </w:r>
          </w:p>
        </w:tc>
        <w:tc>
          <w:tcPr>
            <w:tcW w:w="664" w:type="pct"/>
            <w:tcBorders>
              <w:top w:val="nil"/>
              <w:bottom w:val="nil"/>
            </w:tcBorders>
            <w:tcMar>
              <w:left w:w="108" w:type="dxa"/>
              <w:right w:w="108" w:type="dxa"/>
            </w:tcMar>
            <w:vAlign w:val="center"/>
          </w:tcPr>
          <w:p w14:paraId="584120A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0.857</w:t>
            </w:r>
          </w:p>
        </w:tc>
      </w:tr>
      <w:tr w14:paraId="6EAE5953">
        <w:tblPrEx>
          <w:tblCellMar>
            <w:top w:w="0" w:type="dxa"/>
            <w:left w:w="0" w:type="dxa"/>
            <w:bottom w:w="0" w:type="dxa"/>
            <w:right w:w="0" w:type="dxa"/>
          </w:tblCellMar>
        </w:tblPrEx>
        <w:trPr>
          <w:trHeight w:val="320" w:hRule="atLeast"/>
          <w:jc w:val="center"/>
        </w:trPr>
        <w:tc>
          <w:tcPr>
            <w:tcW w:w="824" w:type="pct"/>
            <w:vMerge w:val="restart"/>
            <w:tcBorders>
              <w:top w:val="nil"/>
              <w:bottom w:val="nil"/>
            </w:tcBorders>
            <w:tcMar>
              <w:left w:w="108" w:type="dxa"/>
              <w:right w:w="108" w:type="dxa"/>
            </w:tcMar>
            <w:vAlign w:val="center"/>
          </w:tcPr>
          <w:p w14:paraId="636F9C7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sz w:val="20"/>
                <w:szCs w:val="20"/>
              </w:rPr>
              <w:t>Radiomics–ResNet101</w:t>
            </w:r>
          </w:p>
        </w:tc>
        <w:tc>
          <w:tcPr>
            <w:tcW w:w="1018" w:type="pct"/>
            <w:tcBorders>
              <w:top w:val="nil"/>
              <w:bottom w:val="nil"/>
            </w:tcBorders>
            <w:tcMar>
              <w:left w:w="108" w:type="dxa"/>
              <w:right w:w="108" w:type="dxa"/>
            </w:tcMar>
            <w:vAlign w:val="center"/>
          </w:tcPr>
          <w:p w14:paraId="4BD174D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LR</w:t>
            </w:r>
          </w:p>
        </w:tc>
        <w:tc>
          <w:tcPr>
            <w:tcW w:w="1164" w:type="pct"/>
            <w:tcBorders>
              <w:top w:val="nil"/>
              <w:bottom w:val="nil"/>
            </w:tcBorders>
            <w:tcMar>
              <w:left w:w="108" w:type="dxa"/>
              <w:right w:w="108" w:type="dxa"/>
            </w:tcMar>
            <w:vAlign w:val="center"/>
          </w:tcPr>
          <w:p w14:paraId="3D7B40A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0.930</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0.896</w:t>
            </w:r>
            <w:r>
              <w:rPr>
                <w:rFonts w:hint="default" w:ascii="Times New Roman" w:hAnsi="Times New Roman" w:cs="Times New Roman"/>
                <w:sz w:val="20"/>
                <w:szCs w:val="20"/>
              </w:rPr>
              <w:t>–</w:t>
            </w:r>
            <w:r>
              <w:rPr>
                <w:rFonts w:hint="default" w:ascii="Times New Roman" w:hAnsi="Times New Roman" w:cs="Times New Roman"/>
                <w:color w:val="000000"/>
                <w:sz w:val="20"/>
                <w:szCs w:val="20"/>
              </w:rPr>
              <w:t>0.965</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3C6B3E0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0.864</w:t>
            </w:r>
          </w:p>
        </w:tc>
        <w:tc>
          <w:tcPr>
            <w:tcW w:w="664" w:type="pct"/>
            <w:tcBorders>
              <w:top w:val="nil"/>
              <w:bottom w:val="nil"/>
            </w:tcBorders>
            <w:tcMar>
              <w:left w:w="108" w:type="dxa"/>
              <w:right w:w="108" w:type="dxa"/>
            </w:tcMar>
            <w:vAlign w:val="center"/>
          </w:tcPr>
          <w:p w14:paraId="793653D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0.795</w:t>
            </w:r>
          </w:p>
        </w:tc>
        <w:tc>
          <w:tcPr>
            <w:tcW w:w="664" w:type="pct"/>
            <w:tcBorders>
              <w:top w:val="nil"/>
              <w:bottom w:val="nil"/>
            </w:tcBorders>
            <w:tcMar>
              <w:left w:w="108" w:type="dxa"/>
              <w:right w:w="108" w:type="dxa"/>
            </w:tcMar>
            <w:vAlign w:val="center"/>
          </w:tcPr>
          <w:p w14:paraId="343BA178">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0.913</w:t>
            </w:r>
          </w:p>
        </w:tc>
      </w:tr>
      <w:tr w14:paraId="429BDC40">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31A5B219">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3CAE471E">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SVM</w:t>
            </w:r>
          </w:p>
        </w:tc>
        <w:tc>
          <w:tcPr>
            <w:tcW w:w="1164" w:type="pct"/>
            <w:tcBorders>
              <w:top w:val="nil"/>
              <w:bottom w:val="nil"/>
            </w:tcBorders>
            <w:tcMar>
              <w:left w:w="108" w:type="dxa"/>
              <w:right w:w="108" w:type="dxa"/>
            </w:tcMar>
            <w:vAlign w:val="center"/>
          </w:tcPr>
          <w:p w14:paraId="04EB222B">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0.903</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0.861</w:t>
            </w:r>
            <w:r>
              <w:rPr>
                <w:rFonts w:hint="default" w:ascii="Times New Roman" w:hAnsi="Times New Roman" w:cs="Times New Roman"/>
                <w:sz w:val="20"/>
                <w:szCs w:val="20"/>
              </w:rPr>
              <w:t>–</w:t>
            </w:r>
            <w:r>
              <w:rPr>
                <w:rFonts w:hint="default" w:ascii="Times New Roman" w:hAnsi="Times New Roman" w:cs="Times New Roman"/>
                <w:color w:val="000000"/>
                <w:sz w:val="20"/>
                <w:szCs w:val="20"/>
              </w:rPr>
              <w:t>0.946</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4B8A7E0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0.832</w:t>
            </w:r>
          </w:p>
        </w:tc>
        <w:tc>
          <w:tcPr>
            <w:tcW w:w="664" w:type="pct"/>
            <w:tcBorders>
              <w:top w:val="nil"/>
              <w:bottom w:val="nil"/>
            </w:tcBorders>
            <w:tcMar>
              <w:left w:w="108" w:type="dxa"/>
              <w:right w:w="108" w:type="dxa"/>
            </w:tcMar>
            <w:vAlign w:val="center"/>
          </w:tcPr>
          <w:p w14:paraId="1B12759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0.852</w:t>
            </w:r>
          </w:p>
        </w:tc>
        <w:tc>
          <w:tcPr>
            <w:tcW w:w="664" w:type="pct"/>
            <w:tcBorders>
              <w:top w:val="nil"/>
              <w:bottom w:val="nil"/>
            </w:tcBorders>
            <w:tcMar>
              <w:left w:w="108" w:type="dxa"/>
              <w:right w:w="108" w:type="dxa"/>
            </w:tcMar>
            <w:vAlign w:val="center"/>
          </w:tcPr>
          <w:p w14:paraId="2E35020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0.817</w:t>
            </w:r>
          </w:p>
        </w:tc>
      </w:tr>
      <w:tr w14:paraId="001F4902">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705D59F0">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4850527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RF</w:t>
            </w:r>
          </w:p>
        </w:tc>
        <w:tc>
          <w:tcPr>
            <w:tcW w:w="1164" w:type="pct"/>
            <w:tcBorders>
              <w:top w:val="nil"/>
              <w:bottom w:val="nil"/>
            </w:tcBorders>
            <w:tcMar>
              <w:left w:w="108" w:type="dxa"/>
              <w:right w:w="108" w:type="dxa"/>
            </w:tcMar>
            <w:vAlign w:val="center"/>
          </w:tcPr>
          <w:p w14:paraId="4C783F86">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0.883</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0.837</w:t>
            </w:r>
            <w:r>
              <w:rPr>
                <w:rFonts w:hint="default" w:ascii="Times New Roman" w:hAnsi="Times New Roman" w:cs="Times New Roman"/>
                <w:sz w:val="20"/>
                <w:szCs w:val="20"/>
              </w:rPr>
              <w:t>–</w:t>
            </w:r>
            <w:r>
              <w:rPr>
                <w:rFonts w:hint="default" w:ascii="Times New Roman" w:hAnsi="Times New Roman" w:cs="Times New Roman"/>
                <w:color w:val="000000"/>
                <w:sz w:val="20"/>
                <w:szCs w:val="20"/>
              </w:rPr>
              <w:t>0.929</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3C29DC8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0.822</w:t>
            </w:r>
          </w:p>
        </w:tc>
        <w:tc>
          <w:tcPr>
            <w:tcW w:w="664" w:type="pct"/>
            <w:tcBorders>
              <w:top w:val="nil"/>
              <w:bottom w:val="nil"/>
            </w:tcBorders>
            <w:tcMar>
              <w:left w:w="108" w:type="dxa"/>
              <w:right w:w="108" w:type="dxa"/>
            </w:tcMar>
            <w:vAlign w:val="center"/>
          </w:tcPr>
          <w:p w14:paraId="2CFE39FB">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0.773</w:t>
            </w:r>
          </w:p>
        </w:tc>
        <w:tc>
          <w:tcPr>
            <w:tcW w:w="664" w:type="pct"/>
            <w:tcBorders>
              <w:top w:val="nil"/>
              <w:bottom w:val="nil"/>
            </w:tcBorders>
            <w:tcMar>
              <w:left w:w="108" w:type="dxa"/>
              <w:right w:w="108" w:type="dxa"/>
            </w:tcMar>
            <w:vAlign w:val="center"/>
          </w:tcPr>
          <w:p w14:paraId="30030D3A">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0.857</w:t>
            </w:r>
          </w:p>
        </w:tc>
      </w:tr>
      <w:tr w14:paraId="30C11C23">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4B408A86">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060F0463">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LightGBM</w:t>
            </w:r>
          </w:p>
        </w:tc>
        <w:tc>
          <w:tcPr>
            <w:tcW w:w="1164" w:type="pct"/>
            <w:tcBorders>
              <w:top w:val="nil"/>
              <w:bottom w:val="nil"/>
            </w:tcBorders>
            <w:tcMar>
              <w:left w:w="108" w:type="dxa"/>
              <w:right w:w="108" w:type="dxa"/>
            </w:tcMar>
            <w:vAlign w:val="center"/>
          </w:tcPr>
          <w:p w14:paraId="0927F35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0.919</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0.880</w:t>
            </w:r>
            <w:r>
              <w:rPr>
                <w:rFonts w:hint="default" w:ascii="Times New Roman" w:hAnsi="Times New Roman" w:cs="Times New Roman"/>
                <w:sz w:val="20"/>
                <w:szCs w:val="20"/>
              </w:rPr>
              <w:t>–</w:t>
            </w:r>
            <w:r>
              <w:rPr>
                <w:rFonts w:hint="default" w:ascii="Times New Roman" w:hAnsi="Times New Roman" w:cs="Times New Roman"/>
                <w:color w:val="000000"/>
                <w:sz w:val="20"/>
                <w:szCs w:val="20"/>
              </w:rPr>
              <w:t>0.958</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5CAE9B2E">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0.864</w:t>
            </w:r>
          </w:p>
        </w:tc>
        <w:tc>
          <w:tcPr>
            <w:tcW w:w="664" w:type="pct"/>
            <w:tcBorders>
              <w:top w:val="nil"/>
              <w:bottom w:val="nil"/>
            </w:tcBorders>
            <w:tcMar>
              <w:left w:w="108" w:type="dxa"/>
              <w:right w:w="108" w:type="dxa"/>
            </w:tcMar>
            <w:vAlign w:val="center"/>
          </w:tcPr>
          <w:p w14:paraId="3184205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0.864</w:t>
            </w:r>
          </w:p>
        </w:tc>
        <w:tc>
          <w:tcPr>
            <w:tcW w:w="664" w:type="pct"/>
            <w:tcBorders>
              <w:top w:val="nil"/>
              <w:bottom w:val="nil"/>
            </w:tcBorders>
            <w:tcMar>
              <w:left w:w="108" w:type="dxa"/>
              <w:right w:w="108" w:type="dxa"/>
            </w:tcMar>
            <w:vAlign w:val="center"/>
          </w:tcPr>
          <w:p w14:paraId="34DA2B6F">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0.865</w:t>
            </w:r>
          </w:p>
        </w:tc>
      </w:tr>
      <w:tr w14:paraId="1D36D498">
        <w:tblPrEx>
          <w:tblCellMar>
            <w:top w:w="0" w:type="dxa"/>
            <w:left w:w="0" w:type="dxa"/>
            <w:bottom w:w="0" w:type="dxa"/>
            <w:right w:w="0" w:type="dxa"/>
          </w:tblCellMar>
        </w:tblPrEx>
        <w:trPr>
          <w:trHeight w:val="320" w:hRule="atLeast"/>
          <w:jc w:val="center"/>
        </w:trPr>
        <w:tc>
          <w:tcPr>
            <w:tcW w:w="824" w:type="pct"/>
            <w:vMerge w:val="restart"/>
            <w:tcBorders>
              <w:top w:val="nil"/>
              <w:bottom w:val="nil"/>
            </w:tcBorders>
            <w:tcMar>
              <w:left w:w="108" w:type="dxa"/>
              <w:right w:w="108" w:type="dxa"/>
            </w:tcMar>
            <w:vAlign w:val="center"/>
          </w:tcPr>
          <w:p w14:paraId="7B614A3F">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sz w:val="20"/>
                <w:szCs w:val="20"/>
              </w:rPr>
              <w:t>Radiomics–ResNet152</w:t>
            </w:r>
          </w:p>
        </w:tc>
        <w:tc>
          <w:tcPr>
            <w:tcW w:w="1018" w:type="pct"/>
            <w:tcBorders>
              <w:top w:val="nil"/>
              <w:bottom w:val="nil"/>
            </w:tcBorders>
            <w:tcMar>
              <w:left w:w="108" w:type="dxa"/>
              <w:right w:w="108" w:type="dxa"/>
            </w:tcMar>
            <w:vAlign w:val="center"/>
          </w:tcPr>
          <w:p w14:paraId="5E6A436D">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LR</w:t>
            </w:r>
          </w:p>
        </w:tc>
        <w:tc>
          <w:tcPr>
            <w:tcW w:w="1164" w:type="pct"/>
            <w:tcBorders>
              <w:top w:val="nil"/>
              <w:bottom w:val="nil"/>
            </w:tcBorders>
            <w:tcMar>
              <w:left w:w="108" w:type="dxa"/>
              <w:right w:w="108" w:type="dxa"/>
            </w:tcMar>
            <w:vAlign w:val="center"/>
          </w:tcPr>
          <w:p w14:paraId="2DA9A63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0.906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0.864</w:t>
            </w:r>
            <w:r>
              <w:rPr>
                <w:rFonts w:hint="default" w:ascii="Times New Roman" w:hAnsi="Times New Roman" w:cs="Times New Roman"/>
                <w:sz w:val="20"/>
                <w:szCs w:val="20"/>
              </w:rPr>
              <w:t>–</w:t>
            </w:r>
            <w:r>
              <w:rPr>
                <w:rFonts w:hint="default" w:ascii="Times New Roman" w:hAnsi="Times New Roman" w:cs="Times New Roman"/>
                <w:color w:val="000000"/>
                <w:sz w:val="20"/>
                <w:szCs w:val="20"/>
              </w:rPr>
              <w:t>0.947</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605A1186">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0.855</w:t>
            </w:r>
          </w:p>
        </w:tc>
        <w:tc>
          <w:tcPr>
            <w:tcW w:w="664" w:type="pct"/>
            <w:tcBorders>
              <w:top w:val="nil"/>
              <w:bottom w:val="nil"/>
            </w:tcBorders>
            <w:tcMar>
              <w:left w:w="108" w:type="dxa"/>
              <w:right w:w="108" w:type="dxa"/>
            </w:tcMar>
            <w:vAlign w:val="center"/>
          </w:tcPr>
          <w:p w14:paraId="7A5F2C73">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0.795</w:t>
            </w:r>
          </w:p>
        </w:tc>
        <w:tc>
          <w:tcPr>
            <w:tcW w:w="664" w:type="pct"/>
            <w:tcBorders>
              <w:top w:val="nil"/>
              <w:bottom w:val="nil"/>
            </w:tcBorders>
            <w:tcMar>
              <w:left w:w="108" w:type="dxa"/>
              <w:right w:w="108" w:type="dxa"/>
            </w:tcMar>
            <w:vAlign w:val="center"/>
          </w:tcPr>
          <w:p w14:paraId="303931C3">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0.897</w:t>
            </w:r>
          </w:p>
        </w:tc>
      </w:tr>
      <w:tr w14:paraId="7E67400E">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5B867B06">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512A6AA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SVM</w:t>
            </w:r>
          </w:p>
        </w:tc>
        <w:tc>
          <w:tcPr>
            <w:tcW w:w="1164" w:type="pct"/>
            <w:tcBorders>
              <w:top w:val="nil"/>
              <w:bottom w:val="nil"/>
            </w:tcBorders>
            <w:tcMar>
              <w:left w:w="108" w:type="dxa"/>
              <w:right w:w="108" w:type="dxa"/>
            </w:tcMar>
            <w:vAlign w:val="center"/>
          </w:tcPr>
          <w:p w14:paraId="634B2BFD">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0.921</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0.884</w:t>
            </w:r>
            <w:r>
              <w:rPr>
                <w:rFonts w:hint="default" w:ascii="Times New Roman" w:hAnsi="Times New Roman" w:cs="Times New Roman"/>
                <w:sz w:val="20"/>
                <w:szCs w:val="20"/>
              </w:rPr>
              <w:t>–</w:t>
            </w:r>
            <w:r>
              <w:rPr>
                <w:rFonts w:hint="default" w:ascii="Times New Roman" w:hAnsi="Times New Roman" w:cs="Times New Roman"/>
                <w:color w:val="000000"/>
                <w:sz w:val="20"/>
                <w:szCs w:val="20"/>
              </w:rPr>
              <w:t>0.958</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55E36B2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0.869</w:t>
            </w:r>
          </w:p>
        </w:tc>
        <w:tc>
          <w:tcPr>
            <w:tcW w:w="664" w:type="pct"/>
            <w:tcBorders>
              <w:top w:val="nil"/>
              <w:bottom w:val="nil"/>
            </w:tcBorders>
            <w:tcMar>
              <w:left w:w="108" w:type="dxa"/>
              <w:right w:w="108" w:type="dxa"/>
            </w:tcMar>
            <w:vAlign w:val="center"/>
          </w:tcPr>
          <w:p w14:paraId="109222F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0.830</w:t>
            </w:r>
          </w:p>
        </w:tc>
        <w:tc>
          <w:tcPr>
            <w:tcW w:w="664" w:type="pct"/>
            <w:tcBorders>
              <w:top w:val="nil"/>
              <w:bottom w:val="nil"/>
            </w:tcBorders>
            <w:tcMar>
              <w:left w:w="108" w:type="dxa"/>
              <w:right w:w="108" w:type="dxa"/>
            </w:tcMar>
            <w:vAlign w:val="center"/>
          </w:tcPr>
          <w:p w14:paraId="51532961">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0.897</w:t>
            </w:r>
          </w:p>
        </w:tc>
      </w:tr>
      <w:tr w14:paraId="2CC988F2">
        <w:tblPrEx>
          <w:tblCellMar>
            <w:top w:w="0" w:type="dxa"/>
            <w:left w:w="0" w:type="dxa"/>
            <w:bottom w:w="0" w:type="dxa"/>
            <w:right w:w="0" w:type="dxa"/>
          </w:tblCellMar>
        </w:tblPrEx>
        <w:trPr>
          <w:trHeight w:val="320" w:hRule="atLeast"/>
          <w:jc w:val="center"/>
        </w:trPr>
        <w:tc>
          <w:tcPr>
            <w:tcW w:w="824" w:type="pct"/>
            <w:vMerge w:val="continue"/>
            <w:tcBorders>
              <w:top w:val="nil"/>
              <w:bottom w:val="nil"/>
            </w:tcBorders>
            <w:tcMar>
              <w:left w:w="108" w:type="dxa"/>
              <w:right w:w="108" w:type="dxa"/>
            </w:tcMar>
            <w:vAlign w:val="center"/>
          </w:tcPr>
          <w:p w14:paraId="5A1166C6">
            <w:pPr>
              <w:jc w:val="left"/>
              <w:rPr>
                <w:rFonts w:hint="default" w:ascii="Times New Roman" w:hAnsi="Times New Roman" w:cs="Times New Roman"/>
                <w:sz w:val="20"/>
                <w:szCs w:val="20"/>
              </w:rPr>
            </w:pPr>
          </w:p>
        </w:tc>
        <w:tc>
          <w:tcPr>
            <w:tcW w:w="1018" w:type="pct"/>
            <w:tcBorders>
              <w:top w:val="nil"/>
              <w:bottom w:val="nil"/>
            </w:tcBorders>
            <w:tcMar>
              <w:left w:w="108" w:type="dxa"/>
              <w:right w:w="108" w:type="dxa"/>
            </w:tcMar>
            <w:vAlign w:val="center"/>
          </w:tcPr>
          <w:p w14:paraId="68A0A659">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RF</w:t>
            </w:r>
          </w:p>
        </w:tc>
        <w:tc>
          <w:tcPr>
            <w:tcW w:w="1164" w:type="pct"/>
            <w:tcBorders>
              <w:top w:val="nil"/>
              <w:bottom w:val="nil"/>
            </w:tcBorders>
            <w:tcMar>
              <w:left w:w="108" w:type="dxa"/>
              <w:right w:w="108" w:type="dxa"/>
            </w:tcMar>
            <w:vAlign w:val="center"/>
          </w:tcPr>
          <w:p w14:paraId="761A9E2A">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0.916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0.880</w:t>
            </w:r>
            <w:r>
              <w:rPr>
                <w:rFonts w:hint="default" w:ascii="Times New Roman" w:hAnsi="Times New Roman" w:cs="Times New Roman"/>
                <w:sz w:val="20"/>
                <w:szCs w:val="20"/>
              </w:rPr>
              <w:t>–</w:t>
            </w:r>
            <w:r>
              <w:rPr>
                <w:rFonts w:hint="default" w:ascii="Times New Roman" w:hAnsi="Times New Roman" w:cs="Times New Roman"/>
                <w:color w:val="000000"/>
                <w:sz w:val="20"/>
                <w:szCs w:val="20"/>
              </w:rPr>
              <w:t>0.952</w:t>
            </w:r>
            <w:r>
              <w:rPr>
                <w:rFonts w:hint="default" w:ascii="Times New Roman" w:hAnsi="Times New Roman" w:eastAsia="华文中宋" w:cs="Times New Roman"/>
                <w:color w:val="000000"/>
                <w:sz w:val="20"/>
                <w:szCs w:val="20"/>
              </w:rPr>
              <w:t>)</w:t>
            </w:r>
          </w:p>
        </w:tc>
        <w:tc>
          <w:tcPr>
            <w:tcW w:w="664" w:type="pct"/>
            <w:tcBorders>
              <w:top w:val="nil"/>
              <w:bottom w:val="nil"/>
            </w:tcBorders>
            <w:tcMar>
              <w:left w:w="108" w:type="dxa"/>
              <w:right w:w="108" w:type="dxa"/>
            </w:tcMar>
            <w:vAlign w:val="center"/>
          </w:tcPr>
          <w:p w14:paraId="7632986E">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0.836</w:t>
            </w:r>
          </w:p>
        </w:tc>
        <w:tc>
          <w:tcPr>
            <w:tcW w:w="664" w:type="pct"/>
            <w:tcBorders>
              <w:top w:val="nil"/>
              <w:bottom w:val="nil"/>
            </w:tcBorders>
            <w:tcMar>
              <w:left w:w="108" w:type="dxa"/>
              <w:right w:w="108" w:type="dxa"/>
            </w:tcMar>
            <w:vAlign w:val="center"/>
          </w:tcPr>
          <w:p w14:paraId="0E0EB8D0">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0.875</w:t>
            </w:r>
          </w:p>
        </w:tc>
        <w:tc>
          <w:tcPr>
            <w:tcW w:w="664" w:type="pct"/>
            <w:tcBorders>
              <w:top w:val="nil"/>
              <w:bottom w:val="nil"/>
            </w:tcBorders>
            <w:tcMar>
              <w:left w:w="108" w:type="dxa"/>
              <w:right w:w="108" w:type="dxa"/>
            </w:tcMar>
            <w:vAlign w:val="center"/>
          </w:tcPr>
          <w:p w14:paraId="65D4B8FC">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0.810</w:t>
            </w:r>
          </w:p>
        </w:tc>
      </w:tr>
      <w:tr w14:paraId="452BA876">
        <w:tblPrEx>
          <w:tblCellMar>
            <w:top w:w="0" w:type="dxa"/>
            <w:left w:w="0" w:type="dxa"/>
            <w:bottom w:w="0" w:type="dxa"/>
            <w:right w:w="0" w:type="dxa"/>
          </w:tblCellMar>
        </w:tblPrEx>
        <w:trPr>
          <w:trHeight w:val="320" w:hRule="atLeast"/>
          <w:jc w:val="center"/>
        </w:trPr>
        <w:tc>
          <w:tcPr>
            <w:tcW w:w="824" w:type="pct"/>
            <w:vMerge w:val="continue"/>
            <w:tcBorders>
              <w:top w:val="nil"/>
              <w:bottom w:val="single" w:color="auto" w:sz="8" w:space="0"/>
            </w:tcBorders>
            <w:tcMar>
              <w:left w:w="108" w:type="dxa"/>
              <w:right w:w="108" w:type="dxa"/>
            </w:tcMar>
            <w:vAlign w:val="center"/>
          </w:tcPr>
          <w:p w14:paraId="4A9766E2">
            <w:pPr>
              <w:jc w:val="left"/>
              <w:rPr>
                <w:rFonts w:hint="default" w:ascii="Times New Roman" w:hAnsi="Times New Roman" w:cs="Times New Roman"/>
                <w:sz w:val="20"/>
                <w:szCs w:val="20"/>
              </w:rPr>
            </w:pPr>
          </w:p>
        </w:tc>
        <w:tc>
          <w:tcPr>
            <w:tcW w:w="1018" w:type="pct"/>
            <w:tcBorders>
              <w:top w:val="nil"/>
              <w:bottom w:val="single" w:color="auto" w:sz="8" w:space="0"/>
            </w:tcBorders>
            <w:tcMar>
              <w:left w:w="108" w:type="dxa"/>
              <w:right w:w="108" w:type="dxa"/>
            </w:tcMar>
            <w:vAlign w:val="center"/>
          </w:tcPr>
          <w:p w14:paraId="2D52C412">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LightGBM</w:t>
            </w:r>
          </w:p>
        </w:tc>
        <w:tc>
          <w:tcPr>
            <w:tcW w:w="1164" w:type="pct"/>
            <w:tcBorders>
              <w:top w:val="nil"/>
              <w:bottom w:val="single" w:color="auto" w:sz="8" w:space="0"/>
            </w:tcBorders>
            <w:tcMar>
              <w:left w:w="108" w:type="dxa"/>
              <w:right w:w="108" w:type="dxa"/>
            </w:tcMar>
            <w:vAlign w:val="center"/>
          </w:tcPr>
          <w:p w14:paraId="5B38A374">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0.906</w:t>
            </w:r>
            <w:r>
              <w:rPr>
                <w:rFonts w:hint="default" w:ascii="Times New Roman" w:hAnsi="Times New Roman" w:eastAsia="华文中宋" w:cs="Times New Roman"/>
                <w:color w:val="000000"/>
                <w:sz w:val="20"/>
                <w:szCs w:val="20"/>
              </w:rPr>
              <w:t xml:space="preserve"> (</w:t>
            </w:r>
            <w:r>
              <w:rPr>
                <w:rFonts w:hint="default" w:ascii="Times New Roman" w:hAnsi="Times New Roman" w:cs="Times New Roman"/>
                <w:color w:val="000000"/>
                <w:sz w:val="20"/>
                <w:szCs w:val="20"/>
              </w:rPr>
              <w:t>0.867</w:t>
            </w:r>
            <w:r>
              <w:rPr>
                <w:rFonts w:hint="default" w:ascii="Times New Roman" w:hAnsi="Times New Roman" w:cs="Times New Roman"/>
                <w:sz w:val="20"/>
                <w:szCs w:val="20"/>
              </w:rPr>
              <w:t>–</w:t>
            </w:r>
            <w:r>
              <w:rPr>
                <w:rFonts w:hint="default" w:ascii="Times New Roman" w:hAnsi="Times New Roman" w:cs="Times New Roman"/>
                <w:color w:val="000000"/>
                <w:sz w:val="20"/>
                <w:szCs w:val="20"/>
              </w:rPr>
              <w:t>0.946</w:t>
            </w:r>
            <w:r>
              <w:rPr>
                <w:rFonts w:hint="default" w:ascii="Times New Roman" w:hAnsi="Times New Roman" w:eastAsia="华文中宋" w:cs="Times New Roman"/>
                <w:color w:val="000000"/>
                <w:sz w:val="20"/>
                <w:szCs w:val="20"/>
              </w:rPr>
              <w:t>)</w:t>
            </w:r>
          </w:p>
        </w:tc>
        <w:tc>
          <w:tcPr>
            <w:tcW w:w="664" w:type="pct"/>
            <w:tcBorders>
              <w:top w:val="nil"/>
              <w:bottom w:val="single" w:color="auto" w:sz="8" w:space="0"/>
            </w:tcBorders>
            <w:tcMar>
              <w:left w:w="108" w:type="dxa"/>
              <w:right w:w="108" w:type="dxa"/>
            </w:tcMar>
            <w:vAlign w:val="center"/>
          </w:tcPr>
          <w:p w14:paraId="26E38CD5">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0.836</w:t>
            </w:r>
          </w:p>
        </w:tc>
        <w:tc>
          <w:tcPr>
            <w:tcW w:w="664" w:type="pct"/>
            <w:tcBorders>
              <w:top w:val="nil"/>
              <w:bottom w:val="single" w:color="auto" w:sz="8" w:space="0"/>
            </w:tcBorders>
            <w:tcMar>
              <w:left w:w="108" w:type="dxa"/>
              <w:right w:w="108" w:type="dxa"/>
            </w:tcMar>
            <w:vAlign w:val="center"/>
          </w:tcPr>
          <w:p w14:paraId="029E8C3E">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0.818</w:t>
            </w:r>
          </w:p>
        </w:tc>
        <w:tc>
          <w:tcPr>
            <w:tcW w:w="664" w:type="pct"/>
            <w:tcBorders>
              <w:top w:val="nil"/>
              <w:bottom w:val="single" w:color="auto" w:sz="8" w:space="0"/>
            </w:tcBorders>
            <w:tcMar>
              <w:left w:w="108" w:type="dxa"/>
              <w:right w:w="108" w:type="dxa"/>
            </w:tcMar>
            <w:vAlign w:val="center"/>
          </w:tcPr>
          <w:p w14:paraId="1776D73B">
            <w:pPr>
              <w:pStyle w:val="4"/>
              <w:widowControl/>
              <w:spacing w:beforeAutospacing="0" w:afterAutospacing="0"/>
              <w:rPr>
                <w:rFonts w:hint="default" w:ascii="Times New Roman" w:hAnsi="Times New Roman" w:cs="Times New Roman"/>
                <w:sz w:val="20"/>
                <w:szCs w:val="20"/>
              </w:rPr>
            </w:pPr>
            <w:r>
              <w:rPr>
                <w:rFonts w:hint="default" w:ascii="Times New Roman" w:hAnsi="Times New Roman" w:cs="Times New Roman"/>
                <w:color w:val="000000"/>
                <w:sz w:val="20"/>
                <w:szCs w:val="20"/>
              </w:rPr>
              <w:t>0.849</w:t>
            </w:r>
          </w:p>
        </w:tc>
      </w:tr>
    </w:tbl>
    <w:p w14:paraId="36EA7FEC">
      <w:pPr>
        <w:rPr>
          <w:rFonts w:hint="default" w:ascii="Times New Roman" w:hAnsi="Times New Roman" w:eastAsia="华文中宋" w:cs="Times New Roman"/>
          <w:sz w:val="16"/>
          <w:szCs w:val="16"/>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华文中宋" w:cs="Times New Roman"/>
          <w:sz w:val="16"/>
          <w:szCs w:val="16"/>
        </w:rPr>
        <w:t>Abbreviations: AUC, area under the receiver operating characteristic curve; CI, confidence interval; LR, logistic regression; SVM, support vector machine; RF, random forest; LightGBM, Light Gradient Boosting Machine.</w:t>
      </w:r>
      <w:r>
        <w:rPr>
          <w:rFonts w:hint="default" w:ascii="Times New Roman" w:hAnsi="Times New Roman" w:eastAsia="华文中宋" w:cs="Times New Roman"/>
          <w:sz w:val="16"/>
          <w:szCs w:val="16"/>
        </w:rPr>
        <w:t xml:space="preserve"> Performance estimates were calculated from patient</w:t>
      </w:r>
      <w:r>
        <w:rPr>
          <w:rFonts w:hint="default" w:ascii="Times New Roman" w:hAnsi="Times New Roman" w:eastAsia="华文中宋" w:cs="Times New Roman"/>
          <w:sz w:val="16"/>
          <w:szCs w:val="16"/>
          <w:lang w:eastAsia="zh-CN"/>
        </w:rPr>
        <w:t>-</w:t>
      </w:r>
      <w:r>
        <w:rPr>
          <w:rFonts w:hint="default" w:ascii="Times New Roman" w:hAnsi="Times New Roman" w:eastAsia="华文中宋" w:cs="Times New Roman"/>
          <w:sz w:val="16"/>
          <w:szCs w:val="16"/>
        </w:rPr>
        <w:t>level out</w:t>
      </w:r>
      <w:r>
        <w:rPr>
          <w:rFonts w:hint="default" w:ascii="Times New Roman" w:hAnsi="Times New Roman" w:eastAsia="华文中宋" w:cs="Times New Roman"/>
          <w:sz w:val="16"/>
          <w:szCs w:val="16"/>
          <w:lang w:eastAsia="zh-CN"/>
        </w:rPr>
        <w:t>-</w:t>
      </w:r>
      <w:r>
        <w:rPr>
          <w:rFonts w:hint="default" w:ascii="Times New Roman" w:hAnsi="Times New Roman" w:eastAsia="华文中宋" w:cs="Times New Roman"/>
          <w:sz w:val="16"/>
          <w:szCs w:val="16"/>
        </w:rPr>
        <w:t>of</w:t>
      </w:r>
      <w:r>
        <w:rPr>
          <w:rFonts w:hint="default" w:ascii="Times New Roman" w:hAnsi="Times New Roman" w:eastAsia="华文中宋" w:cs="Times New Roman"/>
          <w:sz w:val="16"/>
          <w:szCs w:val="16"/>
          <w:lang w:eastAsia="zh-CN"/>
        </w:rPr>
        <w:t>-</w:t>
      </w:r>
      <w:r>
        <w:rPr>
          <w:rFonts w:hint="default" w:ascii="Times New Roman" w:hAnsi="Times New Roman" w:eastAsia="华文中宋" w:cs="Times New Roman"/>
          <w:sz w:val="16"/>
          <w:szCs w:val="16"/>
        </w:rPr>
        <w:t>fold predictions generated across five</w:t>
      </w:r>
      <w:r>
        <w:rPr>
          <w:rFonts w:hint="default" w:ascii="Times New Roman" w:hAnsi="Times New Roman" w:eastAsia="华文中宋" w:cs="Times New Roman"/>
          <w:sz w:val="16"/>
          <w:szCs w:val="16"/>
          <w:lang w:eastAsia="zh-CN"/>
        </w:rPr>
        <w:t>-</w:t>
      </w:r>
      <w:r>
        <w:rPr>
          <w:rFonts w:hint="default" w:ascii="Times New Roman" w:hAnsi="Times New Roman" w:eastAsia="华文中宋" w:cs="Times New Roman"/>
          <w:sz w:val="16"/>
          <w:szCs w:val="16"/>
        </w:rPr>
        <w:t>fold cross</w:t>
      </w:r>
      <w:r>
        <w:rPr>
          <w:rFonts w:hint="default" w:ascii="Times New Roman" w:hAnsi="Times New Roman" w:eastAsia="华文中宋" w:cs="Times New Roman"/>
          <w:sz w:val="16"/>
          <w:szCs w:val="16"/>
          <w:lang w:eastAsia="zh-CN"/>
        </w:rPr>
        <w:t>-</w:t>
      </w:r>
      <w:r>
        <w:rPr>
          <w:rFonts w:hint="default" w:ascii="Times New Roman" w:hAnsi="Times New Roman" w:eastAsia="华文中宋" w:cs="Times New Roman"/>
          <w:sz w:val="16"/>
          <w:szCs w:val="16"/>
        </w:rPr>
        <w:t>validation in the training cohort. For threshold–dependent classification metrics, the model–specific cutoff was determined in the training cohort using the Youden index.</w:t>
      </w:r>
    </w:p>
    <w:p w14:paraId="5D3A5E65">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S3. Pairwise AUC comparisons between the final fusion model and principal comparator models</w:t>
      </w:r>
    </w:p>
    <w:tbl>
      <w:tblPr>
        <w:tblStyle w:val="5"/>
        <w:tblW w:w="4996" w:type="pct"/>
        <w:jc w:val="center"/>
        <w:tblLayout w:type="autofit"/>
        <w:tblCellMar>
          <w:top w:w="0" w:type="dxa"/>
          <w:left w:w="0" w:type="dxa"/>
          <w:bottom w:w="0" w:type="dxa"/>
          <w:right w:w="0" w:type="dxa"/>
        </w:tblCellMar>
      </w:tblPr>
      <w:tblGrid>
        <w:gridCol w:w="2831"/>
        <w:gridCol w:w="3617"/>
        <w:gridCol w:w="3265"/>
        <w:gridCol w:w="2066"/>
        <w:gridCol w:w="2384"/>
      </w:tblGrid>
      <w:tr w14:paraId="67A4584B">
        <w:tblPrEx>
          <w:tblCellMar>
            <w:top w:w="0" w:type="dxa"/>
            <w:left w:w="0" w:type="dxa"/>
            <w:bottom w:w="0" w:type="dxa"/>
            <w:right w:w="0" w:type="dxa"/>
          </w:tblCellMar>
        </w:tblPrEx>
        <w:trPr>
          <w:trHeight w:val="493" w:hRule="atLeast"/>
          <w:jc w:val="center"/>
        </w:trPr>
        <w:tc>
          <w:tcPr>
            <w:tcW w:w="999" w:type="pct"/>
            <w:tcBorders>
              <w:top w:val="single" w:color="auto" w:sz="8" w:space="0"/>
              <w:left w:val="nil"/>
              <w:bottom w:val="single" w:color="auto" w:sz="8" w:space="0"/>
              <w:right w:val="nil"/>
            </w:tcBorders>
            <w:tcMar>
              <w:left w:w="108" w:type="dxa"/>
              <w:right w:w="108" w:type="dxa"/>
            </w:tcMar>
            <w:vAlign w:val="center"/>
          </w:tcPr>
          <w:p w14:paraId="2344247B">
            <w:pPr>
              <w:rPr>
                <w:rFonts w:hint="default" w:ascii="Times New Roman" w:hAnsi="Times New Roman" w:eastAsia="宋体" w:cs="Times New Roman"/>
                <w:b/>
                <w:bCs/>
                <w:sz w:val="20"/>
                <w:szCs w:val="20"/>
              </w:rPr>
            </w:pPr>
            <w:r>
              <w:rPr>
                <w:rFonts w:hint="default" w:ascii="Times New Roman" w:hAnsi="Times New Roman" w:cs="Times New Roman"/>
                <w:b/>
                <w:bCs/>
                <w:sz w:val="20"/>
                <w:szCs w:val="20"/>
              </w:rPr>
              <w:t>Cohort</w:t>
            </w:r>
          </w:p>
        </w:tc>
        <w:tc>
          <w:tcPr>
            <w:tcW w:w="1276" w:type="pct"/>
            <w:tcBorders>
              <w:top w:val="single" w:color="auto" w:sz="8" w:space="0"/>
              <w:left w:val="nil"/>
              <w:bottom w:val="single" w:color="auto" w:sz="8" w:space="0"/>
              <w:right w:val="nil"/>
            </w:tcBorders>
            <w:tcMar>
              <w:left w:w="108" w:type="dxa"/>
              <w:right w:w="108" w:type="dxa"/>
            </w:tcMar>
            <w:vAlign w:val="center"/>
          </w:tcPr>
          <w:p w14:paraId="083849B8">
            <w:pPr>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Comparison</w:t>
            </w:r>
          </w:p>
        </w:tc>
        <w:tc>
          <w:tcPr>
            <w:tcW w:w="1152" w:type="pct"/>
            <w:tcBorders>
              <w:top w:val="single" w:color="auto" w:sz="8" w:space="0"/>
              <w:left w:val="nil"/>
              <w:bottom w:val="single" w:color="auto" w:sz="8" w:space="0"/>
              <w:right w:val="nil"/>
            </w:tcBorders>
            <w:tcMar>
              <w:left w:w="108" w:type="dxa"/>
              <w:right w:w="108" w:type="dxa"/>
            </w:tcMar>
            <w:vAlign w:val="center"/>
          </w:tcPr>
          <w:p w14:paraId="7270D2CF">
            <w:pPr>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ΔAUC</w:t>
            </w:r>
            <w:r>
              <w:rPr>
                <w:rFonts w:hint="default" w:ascii="Times New Roman" w:hAnsi="Times New Roman" w:eastAsia="宋体" w:cs="Times New Roman"/>
                <w:b/>
                <w:bCs/>
                <w:sz w:val="20"/>
                <w:szCs w:val="20"/>
              </w:rPr>
              <w:t xml:space="preserve"> (</w:t>
            </w:r>
            <w:r>
              <w:rPr>
                <w:rFonts w:hint="default" w:ascii="Times New Roman" w:hAnsi="Times New Roman" w:eastAsia="宋体" w:cs="Times New Roman"/>
                <w:b/>
                <w:bCs/>
                <w:sz w:val="20"/>
                <w:szCs w:val="20"/>
              </w:rPr>
              <w:t>95% CI</w:t>
            </w:r>
            <w:r>
              <w:rPr>
                <w:rFonts w:hint="default" w:ascii="Times New Roman" w:hAnsi="Times New Roman" w:eastAsia="宋体" w:cs="Times New Roman"/>
                <w:b/>
                <w:bCs/>
                <w:sz w:val="20"/>
                <w:szCs w:val="20"/>
              </w:rPr>
              <w:t>)</w:t>
            </w:r>
          </w:p>
        </w:tc>
        <w:tc>
          <w:tcPr>
            <w:tcW w:w="729" w:type="pct"/>
            <w:tcBorders>
              <w:top w:val="single" w:color="auto" w:sz="8" w:space="0"/>
              <w:left w:val="nil"/>
              <w:bottom w:val="single" w:color="auto" w:sz="8" w:space="0"/>
              <w:right w:val="nil"/>
            </w:tcBorders>
            <w:tcMar>
              <w:left w:w="108" w:type="dxa"/>
              <w:right w:w="108" w:type="dxa"/>
            </w:tcMar>
            <w:vAlign w:val="center"/>
          </w:tcPr>
          <w:p w14:paraId="6D544D87">
            <w:pPr>
              <w:jc w:val="left"/>
              <w:rPr>
                <w:rFonts w:hint="default" w:ascii="Times New Roman" w:hAnsi="Times New Roman" w:eastAsia="宋体" w:cs="Times New Roman"/>
                <w:b/>
                <w:bCs/>
                <w:sz w:val="20"/>
                <w:szCs w:val="20"/>
              </w:rPr>
            </w:pPr>
            <w:r>
              <w:rPr>
                <w:rFonts w:hint="default" w:ascii="Times New Roman" w:hAnsi="Times New Roman" w:eastAsia="宋体" w:cs="Times New Roman"/>
                <w:b/>
                <w:bCs/>
                <w:i/>
                <w:iCs/>
                <w:sz w:val="20"/>
                <w:szCs w:val="20"/>
              </w:rPr>
              <w:t>P</w:t>
            </w:r>
            <w:r>
              <w:rPr>
                <w:rFonts w:hint="default" w:ascii="Times New Roman" w:hAnsi="Times New Roman" w:eastAsia="宋体" w:cs="Times New Roman"/>
                <w:b/>
                <w:bCs/>
                <w:sz w:val="20"/>
                <w:szCs w:val="20"/>
              </w:rPr>
              <w:t xml:space="preserve"> value</w:t>
            </w:r>
          </w:p>
        </w:tc>
        <w:tc>
          <w:tcPr>
            <w:tcW w:w="841" w:type="pct"/>
            <w:tcBorders>
              <w:top w:val="single" w:color="auto" w:sz="8" w:space="0"/>
              <w:left w:val="nil"/>
              <w:bottom w:val="single" w:color="auto" w:sz="8" w:space="0"/>
              <w:right w:val="nil"/>
            </w:tcBorders>
            <w:tcMar>
              <w:left w:w="108" w:type="dxa"/>
              <w:right w:w="108" w:type="dxa"/>
            </w:tcMar>
            <w:vAlign w:val="center"/>
          </w:tcPr>
          <w:p w14:paraId="562F1779">
            <w:pPr>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 xml:space="preserve">Holm–adjusted </w:t>
            </w:r>
            <w:r>
              <w:rPr>
                <w:rFonts w:hint="default" w:ascii="Times New Roman" w:hAnsi="Times New Roman" w:eastAsia="宋体" w:cs="Times New Roman"/>
                <w:b/>
                <w:bCs/>
                <w:i/>
                <w:iCs/>
                <w:sz w:val="20"/>
                <w:szCs w:val="20"/>
              </w:rPr>
              <w:t>P</w:t>
            </w:r>
            <w:r>
              <w:rPr>
                <w:rFonts w:hint="default" w:ascii="Times New Roman" w:hAnsi="Times New Roman" w:eastAsia="宋体" w:cs="Times New Roman"/>
                <w:b/>
                <w:bCs/>
                <w:sz w:val="20"/>
                <w:szCs w:val="20"/>
              </w:rPr>
              <w:t xml:space="preserve"> value</w:t>
            </w:r>
          </w:p>
        </w:tc>
      </w:tr>
      <w:tr w14:paraId="17004542">
        <w:tblPrEx>
          <w:tblCellMar>
            <w:top w:w="0" w:type="dxa"/>
            <w:left w:w="0" w:type="dxa"/>
            <w:bottom w:w="0" w:type="dxa"/>
            <w:right w:w="0" w:type="dxa"/>
          </w:tblCellMar>
        </w:tblPrEx>
        <w:trPr>
          <w:trHeight w:val="283" w:hRule="atLeast"/>
          <w:jc w:val="center"/>
        </w:trPr>
        <w:tc>
          <w:tcPr>
            <w:tcW w:w="999" w:type="pct"/>
            <w:vMerge w:val="restart"/>
            <w:tcBorders>
              <w:top w:val="single" w:color="auto" w:sz="8" w:space="0"/>
              <w:left w:val="nil"/>
              <w:right w:val="nil"/>
            </w:tcBorders>
            <w:tcMar>
              <w:left w:w="108" w:type="dxa"/>
              <w:right w:w="108" w:type="dxa"/>
            </w:tcMar>
            <w:vAlign w:val="center"/>
          </w:tcPr>
          <w:p w14:paraId="26DC1F32">
            <w:pPr>
              <w:rPr>
                <w:rFonts w:hint="default" w:ascii="Times New Roman" w:hAnsi="Times New Roman" w:eastAsia="宋体" w:cs="Times New Roman"/>
                <w:sz w:val="20"/>
                <w:szCs w:val="20"/>
              </w:rPr>
            </w:pPr>
            <w:r>
              <w:rPr>
                <w:rFonts w:hint="default" w:ascii="Times New Roman" w:hAnsi="Times New Roman" w:cs="Times New Roman"/>
                <w:sz w:val="20"/>
                <w:szCs w:val="20"/>
              </w:rPr>
              <w:t>Temporal test cohort</w:t>
            </w:r>
          </w:p>
        </w:tc>
        <w:tc>
          <w:tcPr>
            <w:tcW w:w="1276" w:type="pct"/>
            <w:tcBorders>
              <w:top w:val="single" w:color="auto" w:sz="8" w:space="0"/>
              <w:left w:val="nil"/>
              <w:bottom w:val="nil"/>
              <w:right w:val="nil"/>
            </w:tcBorders>
            <w:tcMar>
              <w:left w:w="108" w:type="dxa"/>
              <w:right w:w="108" w:type="dxa"/>
            </w:tcMar>
            <w:vAlign w:val="center"/>
          </w:tcPr>
          <w:p w14:paraId="65A594DB">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Clinical_RF</w:t>
            </w:r>
          </w:p>
        </w:tc>
        <w:tc>
          <w:tcPr>
            <w:tcW w:w="1152" w:type="pct"/>
            <w:tcBorders>
              <w:top w:val="single" w:color="auto" w:sz="8" w:space="0"/>
              <w:left w:val="nil"/>
              <w:bottom w:val="nil"/>
              <w:right w:val="nil"/>
            </w:tcBorders>
            <w:tcMar>
              <w:left w:w="108" w:type="dxa"/>
              <w:right w:w="108" w:type="dxa"/>
            </w:tcMar>
            <w:vAlign w:val="center"/>
          </w:tcPr>
          <w:p w14:paraId="1C4C91A4">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0.260</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0.064–0.456</w:t>
            </w:r>
            <w:r>
              <w:rPr>
                <w:rFonts w:hint="default" w:ascii="Times New Roman" w:hAnsi="Times New Roman" w:eastAsia="宋体" w:cs="Times New Roman"/>
                <w:sz w:val="20"/>
                <w:szCs w:val="20"/>
              </w:rPr>
              <w:t>)</w:t>
            </w:r>
          </w:p>
        </w:tc>
        <w:tc>
          <w:tcPr>
            <w:tcW w:w="729" w:type="pct"/>
            <w:tcBorders>
              <w:top w:val="single" w:color="auto" w:sz="8" w:space="0"/>
              <w:left w:val="nil"/>
              <w:bottom w:val="nil"/>
              <w:right w:val="nil"/>
            </w:tcBorders>
            <w:tcMar>
              <w:left w:w="108" w:type="dxa"/>
              <w:right w:w="108" w:type="dxa"/>
            </w:tcMar>
            <w:vAlign w:val="center"/>
          </w:tcPr>
          <w:p w14:paraId="407C12A0">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0.009</w:t>
            </w:r>
          </w:p>
        </w:tc>
        <w:tc>
          <w:tcPr>
            <w:tcW w:w="841" w:type="pct"/>
            <w:tcBorders>
              <w:top w:val="single" w:color="auto" w:sz="8" w:space="0"/>
              <w:left w:val="nil"/>
              <w:bottom w:val="nil"/>
              <w:right w:val="nil"/>
            </w:tcBorders>
            <w:tcMar>
              <w:left w:w="108" w:type="dxa"/>
              <w:right w:w="108" w:type="dxa"/>
            </w:tcMar>
            <w:vAlign w:val="center"/>
          </w:tcPr>
          <w:p w14:paraId="72E359FD">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0.055</w:t>
            </w:r>
          </w:p>
        </w:tc>
      </w:tr>
      <w:tr w14:paraId="58749FEE">
        <w:tblPrEx>
          <w:tblCellMar>
            <w:top w:w="0" w:type="dxa"/>
            <w:left w:w="0" w:type="dxa"/>
            <w:bottom w:w="0" w:type="dxa"/>
            <w:right w:w="0" w:type="dxa"/>
          </w:tblCellMar>
        </w:tblPrEx>
        <w:trPr>
          <w:trHeight w:val="283" w:hRule="atLeast"/>
          <w:jc w:val="center"/>
        </w:trPr>
        <w:tc>
          <w:tcPr>
            <w:tcW w:w="999" w:type="pct"/>
            <w:vMerge w:val="continue"/>
            <w:tcBorders>
              <w:left w:val="nil"/>
              <w:right w:val="nil"/>
            </w:tcBorders>
            <w:tcMar>
              <w:left w:w="108" w:type="dxa"/>
              <w:right w:w="108" w:type="dxa"/>
            </w:tcMar>
            <w:vAlign w:val="center"/>
          </w:tcPr>
          <w:p w14:paraId="006DC2AE">
            <w:pPr>
              <w:rPr>
                <w:rFonts w:hint="default" w:ascii="Times New Roman" w:hAnsi="Times New Roman" w:eastAsia="宋体" w:cs="Times New Roman"/>
                <w:sz w:val="20"/>
                <w:szCs w:val="20"/>
              </w:rPr>
            </w:pPr>
          </w:p>
        </w:tc>
        <w:tc>
          <w:tcPr>
            <w:tcW w:w="1276" w:type="pct"/>
            <w:tcBorders>
              <w:top w:val="nil"/>
              <w:left w:val="nil"/>
              <w:bottom w:val="nil"/>
              <w:right w:val="nil"/>
            </w:tcBorders>
            <w:tcMar>
              <w:left w:w="108" w:type="dxa"/>
              <w:right w:w="108" w:type="dxa"/>
            </w:tcMar>
            <w:vAlign w:val="center"/>
          </w:tcPr>
          <w:p w14:paraId="0DD24E8D">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Radiomics_RF</w:t>
            </w:r>
          </w:p>
        </w:tc>
        <w:tc>
          <w:tcPr>
            <w:tcW w:w="1152" w:type="pct"/>
            <w:tcBorders>
              <w:top w:val="nil"/>
              <w:left w:val="nil"/>
              <w:bottom w:val="nil"/>
              <w:right w:val="nil"/>
            </w:tcBorders>
            <w:tcMar>
              <w:left w:w="108" w:type="dxa"/>
              <w:right w:w="108" w:type="dxa"/>
            </w:tcMar>
            <w:vAlign w:val="center"/>
          </w:tcPr>
          <w:p w14:paraId="581C39AF">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0.083</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−0.054–0.219</w:t>
            </w:r>
            <w:r>
              <w:rPr>
                <w:rFonts w:hint="default" w:ascii="Times New Roman" w:hAnsi="Times New Roman" w:eastAsia="宋体" w:cs="Times New Roman"/>
                <w:sz w:val="20"/>
                <w:szCs w:val="20"/>
              </w:rPr>
              <w:t>)</w:t>
            </w:r>
          </w:p>
        </w:tc>
        <w:tc>
          <w:tcPr>
            <w:tcW w:w="729" w:type="pct"/>
            <w:tcBorders>
              <w:top w:val="nil"/>
              <w:left w:val="nil"/>
              <w:bottom w:val="nil"/>
              <w:right w:val="nil"/>
            </w:tcBorders>
            <w:tcMar>
              <w:left w:w="108" w:type="dxa"/>
              <w:right w:w="108" w:type="dxa"/>
            </w:tcMar>
            <w:vAlign w:val="center"/>
          </w:tcPr>
          <w:p w14:paraId="4DDDD856">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0.235</w:t>
            </w:r>
          </w:p>
        </w:tc>
        <w:tc>
          <w:tcPr>
            <w:tcW w:w="841" w:type="pct"/>
            <w:tcBorders>
              <w:top w:val="nil"/>
              <w:left w:val="nil"/>
              <w:bottom w:val="nil"/>
              <w:right w:val="nil"/>
            </w:tcBorders>
            <w:tcMar>
              <w:left w:w="108" w:type="dxa"/>
              <w:right w:w="108" w:type="dxa"/>
            </w:tcMar>
            <w:vAlign w:val="center"/>
          </w:tcPr>
          <w:p w14:paraId="52C130A9">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0.702</w:t>
            </w:r>
          </w:p>
        </w:tc>
      </w:tr>
      <w:tr w14:paraId="5E0E28AA">
        <w:tblPrEx>
          <w:tblCellMar>
            <w:top w:w="0" w:type="dxa"/>
            <w:left w:w="0" w:type="dxa"/>
            <w:bottom w:w="0" w:type="dxa"/>
            <w:right w:w="0" w:type="dxa"/>
          </w:tblCellMar>
        </w:tblPrEx>
        <w:trPr>
          <w:trHeight w:val="283" w:hRule="atLeast"/>
          <w:jc w:val="center"/>
        </w:trPr>
        <w:tc>
          <w:tcPr>
            <w:tcW w:w="999" w:type="pct"/>
            <w:vMerge w:val="continue"/>
            <w:tcBorders>
              <w:left w:val="nil"/>
              <w:bottom w:val="nil"/>
              <w:right w:val="nil"/>
            </w:tcBorders>
            <w:tcMar>
              <w:left w:w="108" w:type="dxa"/>
              <w:right w:w="108" w:type="dxa"/>
            </w:tcMar>
            <w:vAlign w:val="center"/>
          </w:tcPr>
          <w:p w14:paraId="0D2853D1">
            <w:pPr>
              <w:rPr>
                <w:rFonts w:hint="default" w:ascii="Times New Roman" w:hAnsi="Times New Roman" w:eastAsia="宋体" w:cs="Times New Roman"/>
                <w:sz w:val="20"/>
                <w:szCs w:val="20"/>
              </w:rPr>
            </w:pPr>
          </w:p>
        </w:tc>
        <w:tc>
          <w:tcPr>
            <w:tcW w:w="1276" w:type="pct"/>
            <w:tcBorders>
              <w:top w:val="nil"/>
              <w:left w:val="nil"/>
              <w:bottom w:val="nil"/>
              <w:right w:val="nil"/>
            </w:tcBorders>
            <w:tcMar>
              <w:left w:w="108" w:type="dxa"/>
              <w:right w:w="108" w:type="dxa"/>
            </w:tcMar>
            <w:vAlign w:val="center"/>
          </w:tcPr>
          <w:p w14:paraId="5F24310C">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ResNet101</w:t>
            </w:r>
          </w:p>
        </w:tc>
        <w:tc>
          <w:tcPr>
            <w:tcW w:w="1152" w:type="pct"/>
            <w:tcBorders>
              <w:top w:val="nil"/>
              <w:left w:val="nil"/>
              <w:bottom w:val="nil"/>
              <w:right w:val="nil"/>
            </w:tcBorders>
            <w:tcMar>
              <w:left w:w="108" w:type="dxa"/>
              <w:right w:w="108" w:type="dxa"/>
            </w:tcMar>
            <w:vAlign w:val="center"/>
          </w:tcPr>
          <w:p w14:paraId="0A7A7513">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0.070</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−0.045–0.185</w:t>
            </w:r>
            <w:r>
              <w:rPr>
                <w:rFonts w:hint="default" w:ascii="Times New Roman" w:hAnsi="Times New Roman" w:eastAsia="宋体" w:cs="Times New Roman"/>
                <w:sz w:val="20"/>
                <w:szCs w:val="20"/>
              </w:rPr>
              <w:t>)</w:t>
            </w:r>
          </w:p>
        </w:tc>
        <w:tc>
          <w:tcPr>
            <w:tcW w:w="729" w:type="pct"/>
            <w:tcBorders>
              <w:top w:val="nil"/>
              <w:left w:val="nil"/>
              <w:bottom w:val="nil"/>
              <w:right w:val="nil"/>
            </w:tcBorders>
            <w:tcMar>
              <w:left w:w="108" w:type="dxa"/>
              <w:right w:w="108" w:type="dxa"/>
            </w:tcMar>
            <w:vAlign w:val="center"/>
          </w:tcPr>
          <w:p w14:paraId="16EA19F8">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0.234</w:t>
            </w:r>
          </w:p>
        </w:tc>
        <w:tc>
          <w:tcPr>
            <w:tcW w:w="841" w:type="pct"/>
            <w:tcBorders>
              <w:top w:val="nil"/>
              <w:left w:val="nil"/>
              <w:bottom w:val="nil"/>
              <w:right w:val="nil"/>
            </w:tcBorders>
            <w:tcMar>
              <w:left w:w="108" w:type="dxa"/>
              <w:right w:w="108" w:type="dxa"/>
            </w:tcMar>
            <w:vAlign w:val="center"/>
          </w:tcPr>
          <w:p w14:paraId="2DF2FE2F">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0.702</w:t>
            </w:r>
          </w:p>
        </w:tc>
      </w:tr>
      <w:tr w14:paraId="3536D477">
        <w:tblPrEx>
          <w:tblCellMar>
            <w:top w:w="0" w:type="dxa"/>
            <w:left w:w="0" w:type="dxa"/>
            <w:bottom w:w="0" w:type="dxa"/>
            <w:right w:w="0" w:type="dxa"/>
          </w:tblCellMar>
        </w:tblPrEx>
        <w:trPr>
          <w:trHeight w:val="283" w:hRule="atLeast"/>
          <w:jc w:val="center"/>
        </w:trPr>
        <w:tc>
          <w:tcPr>
            <w:tcW w:w="999" w:type="pct"/>
            <w:vMerge w:val="restart"/>
            <w:tcBorders>
              <w:top w:val="nil"/>
              <w:left w:val="nil"/>
              <w:right w:val="nil"/>
            </w:tcBorders>
            <w:tcMar>
              <w:left w:w="108" w:type="dxa"/>
              <w:right w:w="108" w:type="dxa"/>
            </w:tcMar>
            <w:vAlign w:val="center"/>
          </w:tcPr>
          <w:p w14:paraId="603AE88F">
            <w:pPr>
              <w:rPr>
                <w:rFonts w:hint="default" w:ascii="Times New Roman" w:hAnsi="Times New Roman" w:eastAsia="宋体" w:cs="Times New Roman"/>
                <w:sz w:val="20"/>
                <w:szCs w:val="20"/>
              </w:rPr>
            </w:pPr>
            <w:r>
              <w:rPr>
                <w:rFonts w:hint="default" w:ascii="Times New Roman" w:hAnsi="Times New Roman" w:cs="Times New Roman"/>
                <w:sz w:val="20"/>
                <w:szCs w:val="20"/>
              </w:rPr>
              <w:t>External test cohort</w:t>
            </w:r>
          </w:p>
        </w:tc>
        <w:tc>
          <w:tcPr>
            <w:tcW w:w="1276" w:type="pct"/>
            <w:tcBorders>
              <w:top w:val="nil"/>
              <w:left w:val="nil"/>
              <w:bottom w:val="nil"/>
              <w:right w:val="nil"/>
            </w:tcBorders>
            <w:tcMar>
              <w:left w:w="108" w:type="dxa"/>
              <w:right w:w="108" w:type="dxa"/>
            </w:tcMar>
            <w:vAlign w:val="center"/>
          </w:tcPr>
          <w:p w14:paraId="4EF897E1">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Clinical_RF</w:t>
            </w:r>
          </w:p>
        </w:tc>
        <w:tc>
          <w:tcPr>
            <w:tcW w:w="1152" w:type="pct"/>
            <w:tcBorders>
              <w:top w:val="nil"/>
              <w:left w:val="nil"/>
              <w:bottom w:val="nil"/>
              <w:right w:val="nil"/>
            </w:tcBorders>
            <w:tcMar>
              <w:left w:w="108" w:type="dxa"/>
              <w:right w:w="108" w:type="dxa"/>
            </w:tcMar>
            <w:vAlign w:val="center"/>
          </w:tcPr>
          <w:p w14:paraId="31E77C17">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0.140</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−0.008–0.288</w:t>
            </w:r>
            <w:r>
              <w:rPr>
                <w:rFonts w:hint="default" w:ascii="Times New Roman" w:hAnsi="Times New Roman" w:eastAsia="宋体" w:cs="Times New Roman"/>
                <w:sz w:val="20"/>
                <w:szCs w:val="20"/>
              </w:rPr>
              <w:t>)</w:t>
            </w:r>
          </w:p>
        </w:tc>
        <w:tc>
          <w:tcPr>
            <w:tcW w:w="729" w:type="pct"/>
            <w:tcBorders>
              <w:top w:val="nil"/>
              <w:left w:val="nil"/>
              <w:bottom w:val="nil"/>
              <w:right w:val="nil"/>
            </w:tcBorders>
            <w:tcMar>
              <w:left w:w="108" w:type="dxa"/>
              <w:right w:w="108" w:type="dxa"/>
            </w:tcMar>
            <w:vAlign w:val="center"/>
          </w:tcPr>
          <w:p w14:paraId="189040AB">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0.063</w:t>
            </w:r>
          </w:p>
        </w:tc>
        <w:tc>
          <w:tcPr>
            <w:tcW w:w="841" w:type="pct"/>
            <w:tcBorders>
              <w:top w:val="nil"/>
              <w:left w:val="nil"/>
              <w:bottom w:val="nil"/>
              <w:right w:val="nil"/>
            </w:tcBorders>
            <w:tcMar>
              <w:left w:w="108" w:type="dxa"/>
              <w:right w:w="108" w:type="dxa"/>
            </w:tcMar>
            <w:vAlign w:val="center"/>
          </w:tcPr>
          <w:p w14:paraId="710DB071">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0.316</w:t>
            </w:r>
          </w:p>
        </w:tc>
      </w:tr>
      <w:tr w14:paraId="37593C26">
        <w:tblPrEx>
          <w:tblCellMar>
            <w:top w:w="0" w:type="dxa"/>
            <w:left w:w="0" w:type="dxa"/>
            <w:bottom w:w="0" w:type="dxa"/>
            <w:right w:w="0" w:type="dxa"/>
          </w:tblCellMar>
        </w:tblPrEx>
        <w:trPr>
          <w:trHeight w:val="283" w:hRule="atLeast"/>
          <w:jc w:val="center"/>
        </w:trPr>
        <w:tc>
          <w:tcPr>
            <w:tcW w:w="999" w:type="pct"/>
            <w:vMerge w:val="continue"/>
            <w:tcBorders>
              <w:left w:val="nil"/>
              <w:right w:val="nil"/>
            </w:tcBorders>
            <w:tcMar>
              <w:left w:w="108" w:type="dxa"/>
              <w:right w:w="108" w:type="dxa"/>
            </w:tcMar>
            <w:vAlign w:val="center"/>
          </w:tcPr>
          <w:p w14:paraId="1381A4FC">
            <w:pPr>
              <w:rPr>
                <w:rFonts w:hint="default" w:ascii="Times New Roman" w:hAnsi="Times New Roman" w:eastAsia="宋体" w:cs="Times New Roman"/>
                <w:sz w:val="20"/>
                <w:szCs w:val="20"/>
              </w:rPr>
            </w:pPr>
          </w:p>
        </w:tc>
        <w:tc>
          <w:tcPr>
            <w:tcW w:w="1276" w:type="pct"/>
            <w:tcBorders>
              <w:top w:val="nil"/>
              <w:left w:val="nil"/>
              <w:bottom w:val="nil"/>
              <w:right w:val="nil"/>
            </w:tcBorders>
            <w:tcMar>
              <w:left w:w="108" w:type="dxa"/>
              <w:right w:w="108" w:type="dxa"/>
            </w:tcMar>
            <w:vAlign w:val="center"/>
          </w:tcPr>
          <w:p w14:paraId="6FA32386">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Radiomics_RF</w:t>
            </w:r>
          </w:p>
        </w:tc>
        <w:tc>
          <w:tcPr>
            <w:tcW w:w="1152" w:type="pct"/>
            <w:tcBorders>
              <w:top w:val="nil"/>
              <w:left w:val="nil"/>
              <w:bottom w:val="nil"/>
              <w:right w:val="nil"/>
            </w:tcBorders>
            <w:tcMar>
              <w:left w:w="108" w:type="dxa"/>
              <w:right w:w="108" w:type="dxa"/>
            </w:tcMar>
            <w:vAlign w:val="center"/>
          </w:tcPr>
          <w:p w14:paraId="6096AC8F">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0.121</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−0.025–0.267</w:t>
            </w:r>
            <w:r>
              <w:rPr>
                <w:rFonts w:hint="default" w:ascii="Times New Roman" w:hAnsi="Times New Roman" w:eastAsia="宋体" w:cs="Times New Roman"/>
                <w:sz w:val="20"/>
                <w:szCs w:val="20"/>
              </w:rPr>
              <w:t>)</w:t>
            </w:r>
          </w:p>
        </w:tc>
        <w:tc>
          <w:tcPr>
            <w:tcW w:w="729" w:type="pct"/>
            <w:tcBorders>
              <w:top w:val="nil"/>
              <w:left w:val="nil"/>
              <w:bottom w:val="nil"/>
              <w:right w:val="nil"/>
            </w:tcBorders>
            <w:tcMar>
              <w:left w:w="108" w:type="dxa"/>
              <w:right w:w="108" w:type="dxa"/>
            </w:tcMar>
            <w:vAlign w:val="center"/>
          </w:tcPr>
          <w:p w14:paraId="0F66E4E9">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0.104</w:t>
            </w:r>
          </w:p>
        </w:tc>
        <w:tc>
          <w:tcPr>
            <w:tcW w:w="841" w:type="pct"/>
            <w:tcBorders>
              <w:top w:val="nil"/>
              <w:left w:val="nil"/>
              <w:bottom w:val="nil"/>
              <w:right w:val="nil"/>
            </w:tcBorders>
            <w:tcMar>
              <w:left w:w="108" w:type="dxa"/>
              <w:right w:w="108" w:type="dxa"/>
            </w:tcMar>
            <w:vAlign w:val="center"/>
          </w:tcPr>
          <w:p w14:paraId="796874E4">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0.415</w:t>
            </w:r>
          </w:p>
        </w:tc>
      </w:tr>
      <w:tr w14:paraId="397BFC6B">
        <w:tblPrEx>
          <w:tblCellMar>
            <w:top w:w="0" w:type="dxa"/>
            <w:left w:w="0" w:type="dxa"/>
            <w:bottom w:w="0" w:type="dxa"/>
            <w:right w:w="0" w:type="dxa"/>
          </w:tblCellMar>
        </w:tblPrEx>
        <w:trPr>
          <w:trHeight w:val="283" w:hRule="atLeast"/>
          <w:jc w:val="center"/>
        </w:trPr>
        <w:tc>
          <w:tcPr>
            <w:tcW w:w="999" w:type="pct"/>
            <w:vMerge w:val="continue"/>
            <w:tcBorders>
              <w:left w:val="nil"/>
              <w:bottom w:val="single" w:color="auto" w:sz="8" w:space="0"/>
              <w:right w:val="nil"/>
            </w:tcBorders>
            <w:tcMar>
              <w:left w:w="108" w:type="dxa"/>
              <w:right w:w="108" w:type="dxa"/>
            </w:tcMar>
            <w:vAlign w:val="center"/>
          </w:tcPr>
          <w:p w14:paraId="7565583D">
            <w:pPr>
              <w:rPr>
                <w:rFonts w:hint="default" w:ascii="Times New Roman" w:hAnsi="Times New Roman" w:eastAsia="Times New Roman" w:cs="Times New Roman"/>
                <w:sz w:val="20"/>
                <w:szCs w:val="20"/>
              </w:rPr>
            </w:pPr>
          </w:p>
        </w:tc>
        <w:tc>
          <w:tcPr>
            <w:tcW w:w="1276" w:type="pct"/>
            <w:tcBorders>
              <w:top w:val="nil"/>
              <w:left w:val="nil"/>
              <w:bottom w:val="single" w:color="auto" w:sz="8" w:space="0"/>
              <w:right w:val="nil"/>
            </w:tcBorders>
            <w:tcMar>
              <w:left w:w="108" w:type="dxa"/>
              <w:right w:w="108" w:type="dxa"/>
            </w:tcMar>
            <w:vAlign w:val="center"/>
          </w:tcPr>
          <w:p w14:paraId="4BF72594">
            <w:pP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R101_LR vs ResNet101</w:t>
            </w:r>
          </w:p>
        </w:tc>
        <w:tc>
          <w:tcPr>
            <w:tcW w:w="1152" w:type="pct"/>
            <w:tcBorders>
              <w:top w:val="nil"/>
              <w:left w:val="nil"/>
              <w:bottom w:val="single" w:color="auto" w:sz="8" w:space="0"/>
              <w:right w:val="nil"/>
            </w:tcBorders>
            <w:tcMar>
              <w:left w:w="108" w:type="dxa"/>
              <w:right w:w="108" w:type="dxa"/>
            </w:tcMar>
            <w:vAlign w:val="center"/>
          </w:tcPr>
          <w:p w14:paraId="63697DB3">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0.053</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rPr>
              <w:t>−0.084–0.190</w:t>
            </w:r>
            <w:r>
              <w:rPr>
                <w:rFonts w:hint="default" w:ascii="Times New Roman" w:hAnsi="Times New Roman" w:eastAsia="宋体" w:cs="Times New Roman"/>
                <w:sz w:val="20"/>
                <w:szCs w:val="20"/>
              </w:rPr>
              <w:t>)</w:t>
            </w:r>
          </w:p>
        </w:tc>
        <w:tc>
          <w:tcPr>
            <w:tcW w:w="729" w:type="pct"/>
            <w:tcBorders>
              <w:top w:val="nil"/>
              <w:left w:val="nil"/>
              <w:bottom w:val="single" w:color="auto" w:sz="8" w:space="0"/>
              <w:right w:val="nil"/>
            </w:tcBorders>
            <w:tcMar>
              <w:left w:w="108" w:type="dxa"/>
              <w:right w:w="108" w:type="dxa"/>
            </w:tcMar>
            <w:vAlign w:val="center"/>
          </w:tcPr>
          <w:p w14:paraId="61081B2F">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0.447</w:t>
            </w:r>
          </w:p>
        </w:tc>
        <w:tc>
          <w:tcPr>
            <w:tcW w:w="841" w:type="pct"/>
            <w:tcBorders>
              <w:top w:val="nil"/>
              <w:left w:val="nil"/>
              <w:bottom w:val="single" w:color="auto" w:sz="8" w:space="0"/>
              <w:right w:val="nil"/>
            </w:tcBorders>
            <w:tcMar>
              <w:left w:w="108" w:type="dxa"/>
              <w:right w:w="108" w:type="dxa"/>
            </w:tcMar>
            <w:vAlign w:val="center"/>
          </w:tcPr>
          <w:p w14:paraId="0F07CE24">
            <w:pPr>
              <w:jc w:val="left"/>
              <w:rPr>
                <w:rFonts w:hint="default" w:ascii="Times New Roman" w:hAnsi="Times New Roman" w:eastAsia="Times New Roman" w:cs="Times New Roman"/>
                <w:sz w:val="20"/>
                <w:szCs w:val="20"/>
              </w:rPr>
            </w:pPr>
            <w:r>
              <w:rPr>
                <w:rFonts w:hint="default" w:ascii="Times New Roman" w:hAnsi="Times New Roman" w:eastAsia="宋体" w:cs="Times New Roman"/>
                <w:sz w:val="20"/>
                <w:szCs w:val="20"/>
              </w:rPr>
              <w:t>0.702</w:t>
            </w:r>
          </w:p>
        </w:tc>
      </w:tr>
    </w:tbl>
    <w:p w14:paraId="648F5755">
      <w:pPr>
        <w:rPr>
          <w:rFonts w:hint="default" w:ascii="Times New Roman" w:hAnsi="Times New Roman" w:cs="Times New Roman"/>
          <w:sz w:val="16"/>
          <w:szCs w:val="16"/>
        </w:rPr>
        <w:sectPr>
          <w:pgSz w:w="16838" w:h="11906" w:orient="landscape"/>
          <w:pgMar w:top="1803" w:right="1440" w:bottom="1803" w:left="1440" w:header="851" w:footer="992" w:gutter="0"/>
          <w:cols w:space="0" w:num="1"/>
          <w:docGrid w:type="lines" w:linePitch="319" w:charSpace="0"/>
        </w:sectPr>
      </w:pPr>
      <w:r>
        <w:rPr>
          <w:rFonts w:hint="default" w:ascii="Times New Roman" w:hAnsi="Times New Roman" w:cs="Times New Roman"/>
          <w:sz w:val="16"/>
          <w:szCs w:val="16"/>
        </w:rPr>
        <w:t xml:space="preserve">Abbreviations: AUC, area under the receiver operating characteristic curve; CI, confidence interval; RF, random forest; LR, logistic regression. ΔAUC was calculated as AUC(R101_LR) − AUC(comparator). </w:t>
      </w:r>
      <w:r>
        <w:rPr>
          <w:rFonts w:hint="default" w:ascii="Times New Roman" w:hAnsi="Times New Roman" w:cs="Times New Roman"/>
          <w:i/>
          <w:iCs/>
          <w:sz w:val="16"/>
          <w:szCs w:val="16"/>
        </w:rPr>
        <w:t>P</w:t>
      </w:r>
      <w:r>
        <w:rPr>
          <w:rFonts w:hint="default" w:ascii="Times New Roman" w:hAnsi="Times New Roman" w:cs="Times New Roman"/>
          <w:sz w:val="16"/>
          <w:szCs w:val="16"/>
        </w:rPr>
        <w:t xml:space="preserve"> values were derived from paired DeLong tests and adjusted for six planned comparisons using the Holm method.</w:t>
      </w:r>
    </w:p>
    <w:p w14:paraId="6A163623">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S4. Calibration intercepts and slopes of the principal models</w:t>
      </w:r>
    </w:p>
    <w:tbl>
      <w:tblPr>
        <w:tblStyle w:val="5"/>
        <w:tblW w:w="4999" w:type="pct"/>
        <w:jc w:val="center"/>
        <w:tblLayout w:type="autofit"/>
        <w:tblCellMar>
          <w:top w:w="0" w:type="dxa"/>
          <w:left w:w="0" w:type="dxa"/>
          <w:bottom w:w="0" w:type="dxa"/>
          <w:right w:w="0" w:type="dxa"/>
        </w:tblCellMar>
      </w:tblPr>
      <w:tblGrid>
        <w:gridCol w:w="3539"/>
        <w:gridCol w:w="3541"/>
        <w:gridCol w:w="3544"/>
        <w:gridCol w:w="3547"/>
      </w:tblGrid>
      <w:tr w14:paraId="130C87D5">
        <w:tblPrEx>
          <w:tblCellMar>
            <w:top w:w="0" w:type="dxa"/>
            <w:left w:w="0" w:type="dxa"/>
            <w:bottom w:w="0" w:type="dxa"/>
            <w:right w:w="0" w:type="dxa"/>
          </w:tblCellMar>
        </w:tblPrEx>
        <w:trPr>
          <w:trHeight w:val="493" w:hRule="atLeast"/>
          <w:jc w:val="center"/>
        </w:trPr>
        <w:tc>
          <w:tcPr>
            <w:tcW w:w="1248" w:type="pct"/>
            <w:tcBorders>
              <w:top w:val="single" w:color="auto" w:sz="8" w:space="0"/>
              <w:left w:val="nil"/>
              <w:bottom w:val="single" w:color="auto" w:sz="8" w:space="0"/>
              <w:right w:val="nil"/>
            </w:tcBorders>
            <w:tcMar>
              <w:left w:w="108" w:type="dxa"/>
              <w:right w:w="108" w:type="dxa"/>
            </w:tcMar>
            <w:vAlign w:val="center"/>
          </w:tcPr>
          <w:p w14:paraId="7127C9E2">
            <w:pPr>
              <w:jc w:val="left"/>
              <w:rPr>
                <w:rFonts w:hint="default" w:ascii="Times New Roman" w:hAnsi="Times New Roman" w:eastAsia="宋体" w:cs="Times New Roman"/>
                <w:b/>
                <w:bCs/>
                <w:sz w:val="20"/>
                <w:szCs w:val="20"/>
              </w:rPr>
            </w:pPr>
            <w:r>
              <w:rPr>
                <w:rFonts w:hint="default" w:ascii="Times New Roman" w:hAnsi="Times New Roman" w:cs="Times New Roman"/>
                <w:b/>
                <w:bCs/>
                <w:sz w:val="20"/>
                <w:szCs w:val="20"/>
              </w:rPr>
              <w:t>Cohort</w:t>
            </w:r>
          </w:p>
        </w:tc>
        <w:tc>
          <w:tcPr>
            <w:tcW w:w="1249" w:type="pct"/>
            <w:tcBorders>
              <w:top w:val="single" w:color="auto" w:sz="8" w:space="0"/>
              <w:left w:val="nil"/>
              <w:bottom w:val="single" w:color="auto" w:sz="8" w:space="0"/>
              <w:right w:val="nil"/>
            </w:tcBorders>
            <w:tcMar>
              <w:left w:w="108" w:type="dxa"/>
              <w:right w:w="108" w:type="dxa"/>
            </w:tcMar>
            <w:vAlign w:val="center"/>
          </w:tcPr>
          <w:p w14:paraId="1E78D5E5">
            <w:pPr>
              <w:jc w:val="left"/>
              <w:rPr>
                <w:rFonts w:hint="default" w:ascii="Times New Roman" w:hAnsi="Times New Roman" w:eastAsia="宋体" w:cs="Times New Roman"/>
                <w:b/>
                <w:bCs/>
                <w:sz w:val="20"/>
                <w:szCs w:val="20"/>
              </w:rPr>
            </w:pPr>
            <w:r>
              <w:rPr>
                <w:rFonts w:hint="default" w:ascii="Times New Roman" w:hAnsi="Times New Roman" w:cs="Times New Roman"/>
                <w:b/>
                <w:bCs/>
                <w:sz w:val="20"/>
                <w:szCs w:val="20"/>
              </w:rPr>
              <w:t>Model</w:t>
            </w:r>
          </w:p>
        </w:tc>
        <w:tc>
          <w:tcPr>
            <w:tcW w:w="1250" w:type="pct"/>
            <w:tcBorders>
              <w:top w:val="single" w:color="auto" w:sz="8" w:space="0"/>
              <w:left w:val="nil"/>
              <w:bottom w:val="single" w:color="auto" w:sz="8" w:space="0"/>
              <w:right w:val="nil"/>
            </w:tcBorders>
            <w:tcMar>
              <w:left w:w="108" w:type="dxa"/>
              <w:right w:w="108" w:type="dxa"/>
            </w:tcMar>
            <w:vAlign w:val="center"/>
          </w:tcPr>
          <w:p w14:paraId="1CB27029">
            <w:pPr>
              <w:jc w:val="left"/>
              <w:rPr>
                <w:rFonts w:hint="default" w:ascii="Times New Roman" w:hAnsi="Times New Roman" w:eastAsia="宋体" w:cs="Times New Roman"/>
                <w:b/>
                <w:bCs/>
                <w:sz w:val="20"/>
                <w:szCs w:val="20"/>
              </w:rPr>
            </w:pPr>
            <w:r>
              <w:rPr>
                <w:rFonts w:hint="default" w:ascii="Times New Roman" w:hAnsi="Times New Roman" w:cs="Times New Roman"/>
                <w:b/>
                <w:bCs/>
                <w:sz w:val="20"/>
                <w:szCs w:val="20"/>
              </w:rPr>
              <w:t>Calibration intercept</w:t>
            </w:r>
          </w:p>
        </w:tc>
        <w:tc>
          <w:tcPr>
            <w:tcW w:w="1251" w:type="pct"/>
            <w:tcBorders>
              <w:top w:val="single" w:color="auto" w:sz="8" w:space="0"/>
              <w:left w:val="nil"/>
              <w:bottom w:val="single" w:color="auto" w:sz="8" w:space="0"/>
              <w:right w:val="nil"/>
            </w:tcBorders>
            <w:tcMar>
              <w:left w:w="108" w:type="dxa"/>
              <w:right w:w="108" w:type="dxa"/>
            </w:tcMar>
            <w:vAlign w:val="center"/>
          </w:tcPr>
          <w:p w14:paraId="048590B1">
            <w:pPr>
              <w:jc w:val="left"/>
              <w:rPr>
                <w:rFonts w:hint="default" w:ascii="Times New Roman" w:hAnsi="Times New Roman" w:eastAsia="宋体" w:cs="Times New Roman"/>
                <w:b/>
                <w:bCs/>
                <w:sz w:val="20"/>
                <w:szCs w:val="20"/>
              </w:rPr>
            </w:pPr>
            <w:r>
              <w:rPr>
                <w:rFonts w:hint="default" w:ascii="Times New Roman" w:hAnsi="Times New Roman" w:cs="Times New Roman"/>
                <w:b/>
                <w:bCs/>
                <w:sz w:val="20"/>
                <w:szCs w:val="20"/>
              </w:rPr>
              <w:t>Calibration</w:t>
            </w:r>
            <w:r>
              <w:rPr>
                <w:rFonts w:hint="default" w:ascii="Times New Roman" w:hAnsi="Times New Roman" w:cs="Times New Roman"/>
                <w:b/>
                <w:bCs/>
                <w:sz w:val="20"/>
                <w:szCs w:val="20"/>
              </w:rPr>
              <w:t xml:space="preserve"> slope</w:t>
            </w:r>
          </w:p>
        </w:tc>
      </w:tr>
      <w:tr w14:paraId="0704DAAC">
        <w:tblPrEx>
          <w:tblCellMar>
            <w:top w:w="0" w:type="dxa"/>
            <w:left w:w="0" w:type="dxa"/>
            <w:bottom w:w="0" w:type="dxa"/>
            <w:right w:w="0" w:type="dxa"/>
          </w:tblCellMar>
        </w:tblPrEx>
        <w:trPr>
          <w:trHeight w:val="283" w:hRule="atLeast"/>
          <w:jc w:val="center"/>
        </w:trPr>
        <w:tc>
          <w:tcPr>
            <w:tcW w:w="1248" w:type="pct"/>
            <w:vMerge w:val="restart"/>
            <w:tcBorders>
              <w:top w:val="single" w:color="auto" w:sz="8" w:space="0"/>
              <w:left w:val="nil"/>
              <w:bottom w:val="nil"/>
              <w:right w:val="nil"/>
            </w:tcBorders>
            <w:tcMar>
              <w:left w:w="108" w:type="dxa"/>
              <w:right w:w="108" w:type="dxa"/>
            </w:tcMar>
            <w:vAlign w:val="center"/>
          </w:tcPr>
          <w:p w14:paraId="62C3AC53">
            <w:pPr>
              <w:jc w:val="left"/>
              <w:rPr>
                <w:rFonts w:hint="default" w:ascii="Times New Roman" w:hAnsi="Times New Roman" w:eastAsia="宋体" w:cs="Times New Roman"/>
                <w:sz w:val="20"/>
                <w:szCs w:val="20"/>
              </w:rPr>
            </w:pPr>
            <w:r>
              <w:rPr>
                <w:rFonts w:hint="default" w:ascii="Times New Roman" w:hAnsi="Times New Roman" w:cs="Times New Roman"/>
                <w:sz w:val="20"/>
                <w:szCs w:val="20"/>
              </w:rPr>
              <w:t>Temporal test cohort</w:t>
            </w:r>
          </w:p>
        </w:tc>
        <w:tc>
          <w:tcPr>
            <w:tcW w:w="1249" w:type="pct"/>
            <w:tcBorders>
              <w:top w:val="single" w:color="auto" w:sz="8" w:space="0"/>
              <w:left w:val="nil"/>
              <w:bottom w:val="nil"/>
              <w:right w:val="nil"/>
            </w:tcBorders>
            <w:tcMar>
              <w:left w:w="108" w:type="dxa"/>
              <w:right w:w="108" w:type="dxa"/>
            </w:tcMar>
            <w:vAlign w:val="center"/>
          </w:tcPr>
          <w:p w14:paraId="07B6E3F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Clinical_RF</w:t>
            </w:r>
          </w:p>
        </w:tc>
        <w:tc>
          <w:tcPr>
            <w:tcW w:w="1250" w:type="pct"/>
            <w:tcBorders>
              <w:top w:val="single" w:color="auto" w:sz="8" w:space="0"/>
              <w:left w:val="nil"/>
              <w:bottom w:val="nil"/>
              <w:right w:val="nil"/>
            </w:tcBorders>
            <w:tcMar>
              <w:left w:w="108" w:type="dxa"/>
              <w:right w:w="108" w:type="dxa"/>
            </w:tcMar>
            <w:vAlign w:val="center"/>
          </w:tcPr>
          <w:p w14:paraId="0E543F38">
            <w:pPr>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w:t>
            </w:r>
            <w:r>
              <w:rPr>
                <w:rFonts w:hint="default" w:ascii="Times New Roman" w:hAnsi="Times New Roman" w:eastAsia="Times New Roman" w:cs="Times New Roman"/>
                <w:sz w:val="20"/>
                <w:szCs w:val="20"/>
              </w:rPr>
              <w:t>0.011</w:t>
            </w:r>
          </w:p>
        </w:tc>
        <w:tc>
          <w:tcPr>
            <w:tcW w:w="1251" w:type="pct"/>
            <w:tcBorders>
              <w:top w:val="single" w:color="auto" w:sz="8" w:space="0"/>
              <w:left w:val="nil"/>
              <w:bottom w:val="nil"/>
              <w:right w:val="nil"/>
            </w:tcBorders>
            <w:tcMar>
              <w:left w:w="108" w:type="dxa"/>
              <w:right w:w="108" w:type="dxa"/>
            </w:tcMar>
            <w:vAlign w:val="center"/>
          </w:tcPr>
          <w:p w14:paraId="5109FB91">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0.855</w:t>
            </w:r>
          </w:p>
        </w:tc>
      </w:tr>
      <w:tr w14:paraId="2783882C">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nil"/>
              <w:right w:val="nil"/>
            </w:tcBorders>
            <w:tcMar>
              <w:left w:w="108" w:type="dxa"/>
              <w:right w:w="108" w:type="dxa"/>
            </w:tcMar>
            <w:vAlign w:val="center"/>
          </w:tcPr>
          <w:p w14:paraId="6045A8A9">
            <w:pPr>
              <w:jc w:val="left"/>
              <w:rPr>
                <w:rFonts w:hint="default" w:ascii="Times New Roman" w:hAnsi="Times New Roman" w:eastAsia="宋体" w:cs="Times New Roman"/>
                <w:sz w:val="20"/>
                <w:szCs w:val="20"/>
              </w:rPr>
            </w:pPr>
          </w:p>
        </w:tc>
        <w:tc>
          <w:tcPr>
            <w:tcW w:w="1249" w:type="pct"/>
            <w:tcBorders>
              <w:top w:val="nil"/>
              <w:left w:val="nil"/>
              <w:bottom w:val="nil"/>
              <w:right w:val="nil"/>
            </w:tcBorders>
            <w:tcMar>
              <w:left w:w="108" w:type="dxa"/>
              <w:right w:w="108" w:type="dxa"/>
            </w:tcMar>
            <w:vAlign w:val="center"/>
          </w:tcPr>
          <w:p w14:paraId="6B6453B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Radiomics_RF</w:t>
            </w:r>
          </w:p>
        </w:tc>
        <w:tc>
          <w:tcPr>
            <w:tcW w:w="1250" w:type="pct"/>
            <w:tcBorders>
              <w:top w:val="nil"/>
              <w:left w:val="nil"/>
              <w:bottom w:val="nil"/>
              <w:right w:val="nil"/>
            </w:tcBorders>
            <w:tcMar>
              <w:left w:w="108" w:type="dxa"/>
              <w:right w:w="108" w:type="dxa"/>
            </w:tcMar>
            <w:vAlign w:val="center"/>
          </w:tcPr>
          <w:p w14:paraId="02ECFBD6">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0.696</w:t>
            </w:r>
          </w:p>
        </w:tc>
        <w:tc>
          <w:tcPr>
            <w:tcW w:w="1251" w:type="pct"/>
            <w:tcBorders>
              <w:top w:val="nil"/>
              <w:left w:val="nil"/>
              <w:bottom w:val="nil"/>
              <w:right w:val="nil"/>
            </w:tcBorders>
            <w:tcMar>
              <w:left w:w="108" w:type="dxa"/>
              <w:right w:w="108" w:type="dxa"/>
            </w:tcMar>
            <w:vAlign w:val="center"/>
          </w:tcPr>
          <w:p w14:paraId="5885FE8F">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1.926</w:t>
            </w:r>
          </w:p>
        </w:tc>
      </w:tr>
      <w:tr w14:paraId="62C88725">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nil"/>
              <w:right w:val="nil"/>
            </w:tcBorders>
            <w:tcMar>
              <w:left w:w="108" w:type="dxa"/>
              <w:right w:w="108" w:type="dxa"/>
            </w:tcMar>
            <w:vAlign w:val="center"/>
          </w:tcPr>
          <w:p w14:paraId="7C0BD0C1">
            <w:pPr>
              <w:jc w:val="left"/>
              <w:rPr>
                <w:rFonts w:hint="default" w:ascii="Times New Roman" w:hAnsi="Times New Roman" w:eastAsia="宋体" w:cs="Times New Roman"/>
                <w:sz w:val="20"/>
                <w:szCs w:val="20"/>
              </w:rPr>
            </w:pPr>
          </w:p>
        </w:tc>
        <w:tc>
          <w:tcPr>
            <w:tcW w:w="1249" w:type="pct"/>
            <w:tcBorders>
              <w:top w:val="nil"/>
              <w:left w:val="nil"/>
              <w:bottom w:val="nil"/>
              <w:right w:val="nil"/>
            </w:tcBorders>
            <w:tcMar>
              <w:left w:w="108" w:type="dxa"/>
              <w:right w:w="108" w:type="dxa"/>
            </w:tcMar>
            <w:vAlign w:val="center"/>
          </w:tcPr>
          <w:p w14:paraId="6C5474F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ResNet101</w:t>
            </w:r>
          </w:p>
        </w:tc>
        <w:tc>
          <w:tcPr>
            <w:tcW w:w="1250" w:type="pct"/>
            <w:tcBorders>
              <w:top w:val="nil"/>
              <w:left w:val="nil"/>
              <w:bottom w:val="nil"/>
              <w:right w:val="nil"/>
            </w:tcBorders>
            <w:tcMar>
              <w:left w:w="108" w:type="dxa"/>
              <w:right w:w="108" w:type="dxa"/>
            </w:tcMar>
            <w:vAlign w:val="center"/>
          </w:tcPr>
          <w:p w14:paraId="7F184DD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0.873</w:t>
            </w:r>
          </w:p>
        </w:tc>
        <w:tc>
          <w:tcPr>
            <w:tcW w:w="1251" w:type="pct"/>
            <w:tcBorders>
              <w:top w:val="nil"/>
              <w:left w:val="nil"/>
              <w:bottom w:val="nil"/>
              <w:right w:val="nil"/>
            </w:tcBorders>
            <w:tcMar>
              <w:left w:w="108" w:type="dxa"/>
              <w:right w:w="108" w:type="dxa"/>
            </w:tcMar>
            <w:vAlign w:val="center"/>
          </w:tcPr>
          <w:p w14:paraId="626F4C21">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0.902</w:t>
            </w:r>
          </w:p>
        </w:tc>
      </w:tr>
      <w:tr w14:paraId="1A35032A">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nil"/>
              <w:right w:val="nil"/>
            </w:tcBorders>
            <w:tcMar>
              <w:left w:w="108" w:type="dxa"/>
              <w:right w:w="108" w:type="dxa"/>
            </w:tcMar>
            <w:vAlign w:val="center"/>
          </w:tcPr>
          <w:p w14:paraId="41F58BA1">
            <w:pPr>
              <w:jc w:val="left"/>
              <w:rPr>
                <w:rFonts w:hint="default" w:ascii="Times New Roman" w:hAnsi="Times New Roman" w:eastAsia="宋体" w:cs="Times New Roman"/>
                <w:sz w:val="20"/>
                <w:szCs w:val="20"/>
              </w:rPr>
            </w:pPr>
          </w:p>
        </w:tc>
        <w:tc>
          <w:tcPr>
            <w:tcW w:w="1249" w:type="pct"/>
            <w:tcBorders>
              <w:top w:val="nil"/>
              <w:left w:val="nil"/>
              <w:bottom w:val="nil"/>
              <w:right w:val="nil"/>
            </w:tcBorders>
            <w:tcMar>
              <w:left w:w="108" w:type="dxa"/>
              <w:right w:w="108" w:type="dxa"/>
            </w:tcMar>
            <w:vAlign w:val="center"/>
          </w:tcPr>
          <w:p w14:paraId="03FA7CA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R101_LR</w:t>
            </w:r>
          </w:p>
        </w:tc>
        <w:tc>
          <w:tcPr>
            <w:tcW w:w="1250" w:type="pct"/>
            <w:tcBorders>
              <w:top w:val="nil"/>
              <w:left w:val="nil"/>
              <w:bottom w:val="nil"/>
              <w:right w:val="nil"/>
            </w:tcBorders>
            <w:tcMar>
              <w:left w:w="108" w:type="dxa"/>
              <w:right w:w="108" w:type="dxa"/>
            </w:tcMar>
            <w:vAlign w:val="center"/>
          </w:tcPr>
          <w:p w14:paraId="3B8BD77F">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0.413</w:t>
            </w:r>
          </w:p>
        </w:tc>
        <w:tc>
          <w:tcPr>
            <w:tcW w:w="1251" w:type="pct"/>
            <w:tcBorders>
              <w:top w:val="nil"/>
              <w:left w:val="nil"/>
              <w:bottom w:val="nil"/>
              <w:right w:val="nil"/>
            </w:tcBorders>
            <w:tcMar>
              <w:left w:w="108" w:type="dxa"/>
              <w:right w:w="108" w:type="dxa"/>
            </w:tcMar>
            <w:vAlign w:val="center"/>
          </w:tcPr>
          <w:p w14:paraId="7ED70703">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1.286</w:t>
            </w:r>
          </w:p>
        </w:tc>
      </w:tr>
      <w:tr w14:paraId="2BA84524">
        <w:tblPrEx>
          <w:tblCellMar>
            <w:top w:w="0" w:type="dxa"/>
            <w:left w:w="0" w:type="dxa"/>
            <w:bottom w:w="0" w:type="dxa"/>
            <w:right w:w="0" w:type="dxa"/>
          </w:tblCellMar>
        </w:tblPrEx>
        <w:trPr>
          <w:trHeight w:val="283" w:hRule="atLeast"/>
          <w:jc w:val="center"/>
        </w:trPr>
        <w:tc>
          <w:tcPr>
            <w:tcW w:w="1248" w:type="pct"/>
            <w:vMerge w:val="restart"/>
            <w:tcBorders>
              <w:top w:val="nil"/>
              <w:left w:val="nil"/>
              <w:bottom w:val="nil"/>
              <w:right w:val="nil"/>
            </w:tcBorders>
            <w:tcMar>
              <w:left w:w="108" w:type="dxa"/>
              <w:right w:w="108" w:type="dxa"/>
            </w:tcMar>
            <w:vAlign w:val="center"/>
          </w:tcPr>
          <w:p w14:paraId="7EC72C82">
            <w:pPr>
              <w:jc w:val="left"/>
              <w:rPr>
                <w:rFonts w:hint="default" w:ascii="Times New Roman" w:hAnsi="Times New Roman" w:eastAsia="宋体" w:cs="Times New Roman"/>
                <w:sz w:val="20"/>
                <w:szCs w:val="20"/>
              </w:rPr>
            </w:pPr>
            <w:r>
              <w:rPr>
                <w:rFonts w:hint="default" w:ascii="Times New Roman" w:hAnsi="Times New Roman" w:cs="Times New Roman"/>
                <w:sz w:val="20"/>
                <w:szCs w:val="20"/>
              </w:rPr>
              <w:t>External test cohort</w:t>
            </w:r>
          </w:p>
        </w:tc>
        <w:tc>
          <w:tcPr>
            <w:tcW w:w="1249" w:type="pct"/>
            <w:tcBorders>
              <w:top w:val="nil"/>
              <w:left w:val="nil"/>
              <w:bottom w:val="nil"/>
              <w:right w:val="nil"/>
            </w:tcBorders>
            <w:tcMar>
              <w:left w:w="108" w:type="dxa"/>
              <w:right w:w="108" w:type="dxa"/>
            </w:tcMar>
            <w:vAlign w:val="center"/>
          </w:tcPr>
          <w:p w14:paraId="3A0377A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Clinical_RF</w:t>
            </w:r>
          </w:p>
        </w:tc>
        <w:tc>
          <w:tcPr>
            <w:tcW w:w="1250" w:type="pct"/>
            <w:tcBorders>
              <w:top w:val="nil"/>
              <w:left w:val="nil"/>
              <w:bottom w:val="nil"/>
              <w:right w:val="nil"/>
            </w:tcBorders>
            <w:tcMar>
              <w:left w:w="108" w:type="dxa"/>
              <w:right w:w="108" w:type="dxa"/>
            </w:tcMar>
            <w:vAlign w:val="center"/>
          </w:tcPr>
          <w:p w14:paraId="32122865">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0.305</w:t>
            </w:r>
          </w:p>
        </w:tc>
        <w:tc>
          <w:tcPr>
            <w:tcW w:w="1251" w:type="pct"/>
            <w:tcBorders>
              <w:top w:val="nil"/>
              <w:left w:val="nil"/>
              <w:bottom w:val="nil"/>
              <w:right w:val="nil"/>
            </w:tcBorders>
            <w:tcMar>
              <w:left w:w="108" w:type="dxa"/>
              <w:right w:w="108" w:type="dxa"/>
            </w:tcMar>
            <w:vAlign w:val="center"/>
          </w:tcPr>
          <w:p w14:paraId="7DA485A7">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2.109</w:t>
            </w:r>
          </w:p>
        </w:tc>
      </w:tr>
      <w:tr w14:paraId="14129337">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nil"/>
              <w:right w:val="nil"/>
            </w:tcBorders>
            <w:tcMar>
              <w:left w:w="108" w:type="dxa"/>
              <w:right w:w="108" w:type="dxa"/>
            </w:tcMar>
            <w:vAlign w:val="center"/>
          </w:tcPr>
          <w:p w14:paraId="71713816">
            <w:pPr>
              <w:jc w:val="left"/>
              <w:rPr>
                <w:rFonts w:hint="default" w:ascii="Times New Roman" w:hAnsi="Times New Roman" w:eastAsia="宋体" w:cs="Times New Roman"/>
                <w:sz w:val="20"/>
                <w:szCs w:val="20"/>
              </w:rPr>
            </w:pPr>
          </w:p>
        </w:tc>
        <w:tc>
          <w:tcPr>
            <w:tcW w:w="1249" w:type="pct"/>
            <w:tcBorders>
              <w:top w:val="nil"/>
              <w:left w:val="nil"/>
              <w:bottom w:val="nil"/>
              <w:right w:val="nil"/>
            </w:tcBorders>
            <w:tcMar>
              <w:left w:w="108" w:type="dxa"/>
              <w:right w:w="108" w:type="dxa"/>
            </w:tcMar>
            <w:vAlign w:val="center"/>
          </w:tcPr>
          <w:p w14:paraId="1F81A52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Radiomics_RF</w:t>
            </w:r>
          </w:p>
        </w:tc>
        <w:tc>
          <w:tcPr>
            <w:tcW w:w="1250" w:type="pct"/>
            <w:tcBorders>
              <w:top w:val="nil"/>
              <w:left w:val="nil"/>
              <w:bottom w:val="nil"/>
              <w:right w:val="nil"/>
            </w:tcBorders>
            <w:tcMar>
              <w:left w:w="108" w:type="dxa"/>
              <w:right w:w="108" w:type="dxa"/>
            </w:tcMar>
            <w:vAlign w:val="center"/>
          </w:tcPr>
          <w:p w14:paraId="4BAA422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0.552</w:t>
            </w:r>
          </w:p>
        </w:tc>
        <w:tc>
          <w:tcPr>
            <w:tcW w:w="1251" w:type="pct"/>
            <w:tcBorders>
              <w:top w:val="nil"/>
              <w:left w:val="nil"/>
              <w:bottom w:val="nil"/>
              <w:right w:val="nil"/>
            </w:tcBorders>
            <w:tcMar>
              <w:left w:w="108" w:type="dxa"/>
              <w:right w:w="108" w:type="dxa"/>
            </w:tcMar>
            <w:vAlign w:val="center"/>
          </w:tcPr>
          <w:p w14:paraId="5DB8C2B5">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1.703</w:t>
            </w:r>
          </w:p>
        </w:tc>
      </w:tr>
      <w:tr w14:paraId="0136E352">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nil"/>
              <w:right w:val="nil"/>
            </w:tcBorders>
            <w:tcMar>
              <w:left w:w="108" w:type="dxa"/>
              <w:right w:w="108" w:type="dxa"/>
            </w:tcMar>
            <w:vAlign w:val="center"/>
          </w:tcPr>
          <w:p w14:paraId="27A66951">
            <w:pPr>
              <w:jc w:val="left"/>
              <w:rPr>
                <w:rFonts w:hint="default" w:ascii="Times New Roman" w:hAnsi="Times New Roman" w:eastAsia="Times New Roman" w:cs="Times New Roman"/>
                <w:sz w:val="20"/>
                <w:szCs w:val="20"/>
              </w:rPr>
            </w:pPr>
          </w:p>
        </w:tc>
        <w:tc>
          <w:tcPr>
            <w:tcW w:w="1249" w:type="pct"/>
            <w:tcBorders>
              <w:top w:val="nil"/>
              <w:left w:val="nil"/>
              <w:bottom w:val="nil"/>
              <w:right w:val="nil"/>
            </w:tcBorders>
            <w:tcMar>
              <w:left w:w="108" w:type="dxa"/>
              <w:right w:w="108" w:type="dxa"/>
            </w:tcMar>
            <w:vAlign w:val="center"/>
          </w:tcPr>
          <w:p w14:paraId="36231514">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ResNet101</w:t>
            </w:r>
          </w:p>
        </w:tc>
        <w:tc>
          <w:tcPr>
            <w:tcW w:w="1250" w:type="pct"/>
            <w:tcBorders>
              <w:top w:val="nil"/>
              <w:left w:val="nil"/>
              <w:bottom w:val="nil"/>
              <w:right w:val="nil"/>
            </w:tcBorders>
            <w:tcMar>
              <w:left w:w="108" w:type="dxa"/>
              <w:right w:w="108" w:type="dxa"/>
            </w:tcMar>
            <w:vAlign w:val="center"/>
          </w:tcPr>
          <w:p w14:paraId="7AEC7322">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1.244</w:t>
            </w:r>
          </w:p>
        </w:tc>
        <w:tc>
          <w:tcPr>
            <w:tcW w:w="1251" w:type="pct"/>
            <w:tcBorders>
              <w:top w:val="nil"/>
              <w:left w:val="nil"/>
              <w:bottom w:val="nil"/>
              <w:right w:val="nil"/>
            </w:tcBorders>
            <w:tcMar>
              <w:left w:w="108" w:type="dxa"/>
              <w:right w:w="108" w:type="dxa"/>
            </w:tcMar>
            <w:vAlign w:val="center"/>
          </w:tcPr>
          <w:p w14:paraId="5C09DB82">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1.037</w:t>
            </w:r>
          </w:p>
        </w:tc>
      </w:tr>
      <w:tr w14:paraId="6C72E5D4">
        <w:tblPrEx>
          <w:tblCellMar>
            <w:top w:w="0" w:type="dxa"/>
            <w:left w:w="0" w:type="dxa"/>
            <w:bottom w:w="0" w:type="dxa"/>
            <w:right w:w="0" w:type="dxa"/>
          </w:tblCellMar>
        </w:tblPrEx>
        <w:trPr>
          <w:trHeight w:val="283" w:hRule="atLeast"/>
          <w:jc w:val="center"/>
        </w:trPr>
        <w:tc>
          <w:tcPr>
            <w:tcW w:w="1248" w:type="pct"/>
            <w:vMerge w:val="continue"/>
            <w:tcBorders>
              <w:top w:val="nil"/>
              <w:left w:val="nil"/>
              <w:bottom w:val="single" w:color="auto" w:sz="8" w:space="0"/>
              <w:right w:val="nil"/>
            </w:tcBorders>
            <w:tcMar>
              <w:left w:w="108" w:type="dxa"/>
              <w:right w:w="108" w:type="dxa"/>
            </w:tcMar>
            <w:vAlign w:val="center"/>
          </w:tcPr>
          <w:p w14:paraId="31BB7324">
            <w:pPr>
              <w:jc w:val="left"/>
              <w:rPr>
                <w:rFonts w:hint="default" w:ascii="Times New Roman" w:hAnsi="Times New Roman" w:eastAsia="Times New Roman" w:cs="Times New Roman"/>
                <w:sz w:val="20"/>
                <w:szCs w:val="20"/>
              </w:rPr>
            </w:pPr>
          </w:p>
        </w:tc>
        <w:tc>
          <w:tcPr>
            <w:tcW w:w="1249" w:type="pct"/>
            <w:tcBorders>
              <w:top w:val="nil"/>
              <w:left w:val="nil"/>
              <w:bottom w:val="single" w:color="auto" w:sz="8" w:space="0"/>
              <w:right w:val="nil"/>
            </w:tcBorders>
            <w:tcMar>
              <w:left w:w="108" w:type="dxa"/>
              <w:right w:w="108" w:type="dxa"/>
            </w:tcMar>
            <w:vAlign w:val="center"/>
          </w:tcPr>
          <w:p w14:paraId="7F3D0850">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R101_LR</w:t>
            </w:r>
          </w:p>
        </w:tc>
        <w:tc>
          <w:tcPr>
            <w:tcW w:w="1250" w:type="pct"/>
            <w:tcBorders>
              <w:top w:val="nil"/>
              <w:left w:val="nil"/>
              <w:bottom w:val="single" w:color="auto" w:sz="8" w:space="0"/>
              <w:right w:val="nil"/>
            </w:tcBorders>
            <w:tcMar>
              <w:left w:w="108" w:type="dxa"/>
              <w:right w:w="108" w:type="dxa"/>
            </w:tcMar>
            <w:vAlign w:val="center"/>
          </w:tcPr>
          <w:p w14:paraId="6374E16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0.945</w:t>
            </w:r>
          </w:p>
        </w:tc>
        <w:tc>
          <w:tcPr>
            <w:tcW w:w="1251" w:type="pct"/>
            <w:tcBorders>
              <w:top w:val="nil"/>
              <w:left w:val="nil"/>
              <w:bottom w:val="single" w:color="auto" w:sz="8" w:space="0"/>
              <w:right w:val="nil"/>
            </w:tcBorders>
            <w:tcMar>
              <w:left w:w="108" w:type="dxa"/>
              <w:right w:w="108" w:type="dxa"/>
            </w:tcMar>
            <w:vAlign w:val="center"/>
          </w:tcPr>
          <w:p w14:paraId="15F82A13">
            <w:pPr>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1.546</w:t>
            </w:r>
          </w:p>
        </w:tc>
      </w:tr>
    </w:tbl>
    <w:p w14:paraId="0EE7E86F">
      <w:pPr>
        <w:rPr>
          <w:rFonts w:hint="default" w:ascii="Times New Roman" w:hAnsi="Times New Roman" w:cs="Times New Roman"/>
          <w:sz w:val="16"/>
          <w:szCs w:val="16"/>
        </w:rPr>
        <w:sectPr>
          <w:pgSz w:w="16838" w:h="11906" w:orient="landscape"/>
          <w:pgMar w:top="1803" w:right="1440" w:bottom="1803" w:left="1440" w:header="851" w:footer="992" w:gutter="0"/>
          <w:cols w:space="0" w:num="1"/>
          <w:docGrid w:type="lines" w:linePitch="319" w:charSpace="0"/>
        </w:sectPr>
      </w:pPr>
      <w:r>
        <w:rPr>
          <w:rFonts w:hint="default" w:ascii="Times New Roman" w:hAnsi="Times New Roman" w:cs="Times New Roman"/>
          <w:sz w:val="16"/>
          <w:szCs w:val="16"/>
        </w:rPr>
        <w:t>Abbreviations: RF, random forest; LR, logistic regression. Calibration intercepts and slopes were estimated from the original model–predicted probabilities without post–hoc recalibration.</w:t>
      </w:r>
    </w:p>
    <w:p w14:paraId="71CCABE2">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S5. Feature</w:t>
      </w:r>
      <w:r>
        <w:rPr>
          <w:rFonts w:hint="default" w:ascii="Times New Roman" w:hAnsi="Times New Roman" w:cs="Times New Roman"/>
          <w:sz w:val="20"/>
          <w:szCs w:val="20"/>
        </w:rPr>
        <w:t>–</w:t>
      </w:r>
      <w:r>
        <w:rPr>
          <w:rFonts w:hint="default" w:ascii="Times New Roman" w:hAnsi="Times New Roman" w:cs="Times New Roman"/>
          <w:b/>
          <w:bCs/>
          <w:sz w:val="20"/>
          <w:szCs w:val="20"/>
        </w:rPr>
        <w:t>name mapping for the SHAP summary plot of the final R101_LR model</w:t>
      </w:r>
    </w:p>
    <w:tbl>
      <w:tblPr>
        <w:tblStyle w:val="5"/>
        <w:tblW w:w="4996" w:type="pct"/>
        <w:jc w:val="center"/>
        <w:tblLayout w:type="autofit"/>
        <w:tblCellMar>
          <w:top w:w="0" w:type="dxa"/>
          <w:left w:w="0" w:type="dxa"/>
          <w:bottom w:w="0" w:type="dxa"/>
          <w:right w:w="0" w:type="dxa"/>
        </w:tblCellMar>
      </w:tblPr>
      <w:tblGrid>
        <w:gridCol w:w="2708"/>
        <w:gridCol w:w="4199"/>
        <w:gridCol w:w="7256"/>
      </w:tblGrid>
      <w:tr w14:paraId="6EA99B5C">
        <w:tblPrEx>
          <w:tblCellMar>
            <w:top w:w="0" w:type="dxa"/>
            <w:left w:w="0" w:type="dxa"/>
            <w:bottom w:w="0" w:type="dxa"/>
            <w:right w:w="0" w:type="dxa"/>
          </w:tblCellMar>
        </w:tblPrEx>
        <w:trPr>
          <w:trHeight w:val="493" w:hRule="atLeast"/>
          <w:jc w:val="center"/>
        </w:trPr>
        <w:tc>
          <w:tcPr>
            <w:tcW w:w="956" w:type="pct"/>
            <w:tcBorders>
              <w:top w:val="single" w:color="auto" w:sz="8" w:space="0"/>
              <w:left w:val="nil"/>
              <w:bottom w:val="single" w:color="auto" w:sz="8" w:space="0"/>
              <w:right w:val="nil"/>
            </w:tcBorders>
            <w:tcMar>
              <w:left w:w="108" w:type="dxa"/>
              <w:right w:w="108" w:type="dxa"/>
            </w:tcMar>
            <w:vAlign w:val="center"/>
          </w:tcPr>
          <w:p w14:paraId="53EAFAD5">
            <w:pPr>
              <w:jc w:val="left"/>
              <w:rPr>
                <w:rFonts w:hint="default" w:ascii="Times New Roman" w:hAnsi="Times New Roman" w:eastAsia="宋体" w:cs="Times New Roman"/>
                <w:sz w:val="20"/>
                <w:szCs w:val="20"/>
              </w:rPr>
            </w:pPr>
            <w:r>
              <w:rPr>
                <w:rFonts w:hint="default" w:ascii="Times New Roman" w:hAnsi="Times New Roman" w:eastAsia="Times New Roman" w:cs="Times New Roman"/>
                <w:b/>
                <w:sz w:val="20"/>
                <w:szCs w:val="20"/>
              </w:rPr>
              <w:t>Feature family</w:t>
            </w:r>
          </w:p>
        </w:tc>
        <w:tc>
          <w:tcPr>
            <w:tcW w:w="1482" w:type="pct"/>
            <w:tcBorders>
              <w:top w:val="single" w:color="auto" w:sz="8" w:space="0"/>
              <w:left w:val="nil"/>
              <w:bottom w:val="single" w:color="auto" w:sz="8" w:space="0"/>
              <w:right w:val="nil"/>
            </w:tcBorders>
            <w:tcMar>
              <w:left w:w="108" w:type="dxa"/>
              <w:right w:w="108" w:type="dxa"/>
            </w:tcMar>
            <w:vAlign w:val="center"/>
          </w:tcPr>
          <w:p w14:paraId="78A58F6C">
            <w:pPr>
              <w:jc w:val="left"/>
              <w:rPr>
                <w:rFonts w:hint="default" w:ascii="Times New Roman" w:hAnsi="Times New Roman" w:eastAsia="宋体" w:cs="Times New Roman"/>
                <w:sz w:val="20"/>
                <w:szCs w:val="20"/>
              </w:rPr>
            </w:pPr>
            <w:r>
              <w:rPr>
                <w:rFonts w:hint="default" w:ascii="Times New Roman" w:hAnsi="Times New Roman" w:eastAsia="Times New Roman" w:cs="Times New Roman"/>
                <w:b/>
                <w:sz w:val="20"/>
                <w:szCs w:val="20"/>
              </w:rPr>
              <w:t xml:space="preserve">Display label in Figure </w:t>
            </w:r>
            <w:r>
              <w:rPr>
                <w:rFonts w:hint="default" w:ascii="Times New Roman" w:hAnsi="Times New Roman" w:eastAsia="宋体" w:cs="Times New Roman"/>
                <w:b/>
                <w:sz w:val="20"/>
                <w:szCs w:val="20"/>
              </w:rPr>
              <w:t>4</w:t>
            </w:r>
            <w:r>
              <w:rPr>
                <w:rFonts w:hint="default" w:ascii="Times New Roman" w:hAnsi="Times New Roman" w:eastAsia="Times New Roman" w:cs="Times New Roman"/>
                <w:b/>
                <w:sz w:val="20"/>
                <w:szCs w:val="20"/>
              </w:rPr>
              <w:t>A</w:t>
            </w:r>
          </w:p>
        </w:tc>
        <w:tc>
          <w:tcPr>
            <w:tcW w:w="2561" w:type="pct"/>
            <w:tcBorders>
              <w:top w:val="single" w:color="auto" w:sz="8" w:space="0"/>
              <w:left w:val="nil"/>
              <w:bottom w:val="single" w:color="auto" w:sz="8" w:space="0"/>
              <w:right w:val="nil"/>
            </w:tcBorders>
            <w:tcMar>
              <w:left w:w="108" w:type="dxa"/>
              <w:right w:w="108" w:type="dxa"/>
            </w:tcMar>
            <w:vAlign w:val="center"/>
          </w:tcPr>
          <w:p w14:paraId="027C1E78">
            <w:pPr>
              <w:jc w:val="left"/>
              <w:rPr>
                <w:rFonts w:hint="default" w:ascii="Times New Roman" w:hAnsi="Times New Roman" w:eastAsia="宋体" w:cs="Times New Roman"/>
                <w:sz w:val="20"/>
                <w:szCs w:val="20"/>
              </w:rPr>
            </w:pPr>
            <w:r>
              <w:rPr>
                <w:rFonts w:hint="default" w:ascii="Times New Roman" w:hAnsi="Times New Roman" w:eastAsia="Times New Roman" w:cs="Times New Roman"/>
                <w:b/>
                <w:sz w:val="20"/>
                <w:szCs w:val="20"/>
              </w:rPr>
              <w:t>Original feature name</w:t>
            </w:r>
          </w:p>
        </w:tc>
      </w:tr>
      <w:tr w14:paraId="68823195">
        <w:tblPrEx>
          <w:tblCellMar>
            <w:top w:w="0" w:type="dxa"/>
            <w:left w:w="0" w:type="dxa"/>
            <w:bottom w:w="0" w:type="dxa"/>
            <w:right w:w="0" w:type="dxa"/>
          </w:tblCellMar>
        </w:tblPrEx>
        <w:trPr>
          <w:trHeight w:val="283" w:hRule="atLeast"/>
          <w:jc w:val="center"/>
        </w:trPr>
        <w:tc>
          <w:tcPr>
            <w:tcW w:w="956" w:type="pct"/>
            <w:tcBorders>
              <w:top w:val="single" w:color="auto" w:sz="8" w:space="0"/>
              <w:left w:val="nil"/>
              <w:bottom w:val="nil"/>
              <w:right w:val="nil"/>
            </w:tcBorders>
            <w:tcMar>
              <w:left w:w="108" w:type="dxa"/>
              <w:right w:w="108" w:type="dxa"/>
            </w:tcMar>
            <w:vAlign w:val="center"/>
          </w:tcPr>
          <w:p w14:paraId="7BBA1A59">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single" w:color="auto" w:sz="8" w:space="0"/>
              <w:left w:val="nil"/>
              <w:bottom w:val="nil"/>
              <w:right w:val="nil"/>
            </w:tcBorders>
            <w:tcMar>
              <w:left w:w="108" w:type="dxa"/>
              <w:right w:w="108" w:type="dxa"/>
            </w:tcMar>
            <w:vAlign w:val="center"/>
          </w:tcPr>
          <w:p w14:paraId="2D91B7E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1</w:t>
            </w:r>
          </w:p>
        </w:tc>
        <w:tc>
          <w:tcPr>
            <w:tcW w:w="2561" w:type="pct"/>
            <w:tcBorders>
              <w:top w:val="single" w:color="auto" w:sz="8" w:space="0"/>
              <w:left w:val="nil"/>
              <w:bottom w:val="nil"/>
              <w:right w:val="nil"/>
            </w:tcBorders>
            <w:tcMar>
              <w:left w:w="108" w:type="dxa"/>
              <w:right w:w="108" w:type="dxa"/>
            </w:tcMar>
            <w:vAlign w:val="center"/>
          </w:tcPr>
          <w:p w14:paraId="4A48DE3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DL_1</w:t>
            </w:r>
          </w:p>
        </w:tc>
      </w:tr>
      <w:tr w14:paraId="79938E50">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65B50B2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6D79B1D4">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0</w:t>
            </w:r>
          </w:p>
        </w:tc>
        <w:tc>
          <w:tcPr>
            <w:tcW w:w="2561" w:type="pct"/>
            <w:tcBorders>
              <w:top w:val="nil"/>
              <w:left w:val="nil"/>
              <w:bottom w:val="nil"/>
              <w:right w:val="nil"/>
            </w:tcBorders>
            <w:tcMar>
              <w:left w:w="108" w:type="dxa"/>
              <w:right w:w="108" w:type="dxa"/>
            </w:tcMar>
            <w:vAlign w:val="center"/>
          </w:tcPr>
          <w:p w14:paraId="70A809F9">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DL_0</w:t>
            </w:r>
          </w:p>
        </w:tc>
      </w:tr>
      <w:tr w14:paraId="0CA8C49B">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2CC792D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7F582A39">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3</w:t>
            </w:r>
          </w:p>
        </w:tc>
        <w:tc>
          <w:tcPr>
            <w:tcW w:w="2561" w:type="pct"/>
            <w:tcBorders>
              <w:top w:val="nil"/>
              <w:left w:val="nil"/>
              <w:bottom w:val="nil"/>
              <w:right w:val="nil"/>
            </w:tcBorders>
            <w:tcMar>
              <w:left w:w="108" w:type="dxa"/>
              <w:right w:w="108" w:type="dxa"/>
            </w:tcMar>
            <w:vAlign w:val="center"/>
          </w:tcPr>
          <w:p w14:paraId="7458C5C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DL_3</w:t>
            </w:r>
          </w:p>
        </w:tc>
      </w:tr>
      <w:tr w14:paraId="5EC440CD">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418B2947">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12BB60C3">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w:t>
            </w:r>
            <w:r>
              <w:rPr>
                <w:rFonts w:hint="default" w:ascii="Times New Roman" w:hAnsi="Times New Roman" w:eastAsia="宋体" w:cs="Times New Roman"/>
                <w:sz w:val="20"/>
                <w:szCs w:val="20"/>
              </w:rPr>
              <w:t>–</w:t>
            </w:r>
            <w:r>
              <w:rPr>
                <w:rFonts w:hint="default" w:ascii="Times New Roman" w:hAnsi="Times New Roman" w:eastAsia="Times New Roman" w:cs="Times New Roman"/>
                <w:sz w:val="20"/>
                <w:szCs w:val="20"/>
              </w:rPr>
              <w:t>LLH GLDM DNUN</w:t>
            </w:r>
          </w:p>
        </w:tc>
        <w:tc>
          <w:tcPr>
            <w:tcW w:w="2561" w:type="pct"/>
            <w:tcBorders>
              <w:top w:val="nil"/>
              <w:left w:val="nil"/>
              <w:bottom w:val="nil"/>
              <w:right w:val="nil"/>
            </w:tcBorders>
            <w:tcMar>
              <w:left w:w="108" w:type="dxa"/>
              <w:right w:w="108" w:type="dxa"/>
            </w:tcMar>
            <w:vAlign w:val="center"/>
          </w:tcPr>
          <w:p w14:paraId="397BD5C2">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wavelet_LLH_gldm_DependenceNonUniformityNormalized</w:t>
            </w:r>
          </w:p>
        </w:tc>
      </w:tr>
      <w:tr w14:paraId="11668648">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29F6E3B2">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7F89FAB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235</w:t>
            </w:r>
          </w:p>
        </w:tc>
        <w:tc>
          <w:tcPr>
            <w:tcW w:w="2561" w:type="pct"/>
            <w:tcBorders>
              <w:top w:val="nil"/>
              <w:left w:val="nil"/>
              <w:bottom w:val="nil"/>
              <w:right w:val="nil"/>
            </w:tcBorders>
            <w:tcMar>
              <w:left w:w="108" w:type="dxa"/>
              <w:right w:w="108" w:type="dxa"/>
            </w:tcMar>
            <w:vAlign w:val="center"/>
          </w:tcPr>
          <w:p w14:paraId="6B64B45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DL_235</w:t>
            </w:r>
          </w:p>
        </w:tc>
      </w:tr>
      <w:tr w14:paraId="7E37FBB2">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253A3F9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46A5551F">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66</w:t>
            </w:r>
          </w:p>
        </w:tc>
        <w:tc>
          <w:tcPr>
            <w:tcW w:w="2561" w:type="pct"/>
            <w:tcBorders>
              <w:top w:val="nil"/>
              <w:left w:val="nil"/>
              <w:bottom w:val="nil"/>
              <w:right w:val="nil"/>
            </w:tcBorders>
            <w:tcMar>
              <w:left w:w="108" w:type="dxa"/>
              <w:right w:w="108" w:type="dxa"/>
            </w:tcMar>
            <w:vAlign w:val="center"/>
          </w:tcPr>
          <w:p w14:paraId="4FBF6FF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DL_66</w:t>
            </w:r>
          </w:p>
        </w:tc>
      </w:tr>
      <w:tr w14:paraId="0ABCD722">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44BFE41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109ED72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5</w:t>
            </w:r>
          </w:p>
        </w:tc>
        <w:tc>
          <w:tcPr>
            <w:tcW w:w="2561" w:type="pct"/>
            <w:tcBorders>
              <w:top w:val="nil"/>
              <w:left w:val="nil"/>
              <w:bottom w:val="nil"/>
              <w:right w:val="nil"/>
            </w:tcBorders>
            <w:tcMar>
              <w:left w:w="108" w:type="dxa"/>
              <w:right w:w="108" w:type="dxa"/>
            </w:tcMar>
            <w:vAlign w:val="center"/>
          </w:tcPr>
          <w:p w14:paraId="38B17406">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DL_5</w:t>
            </w:r>
          </w:p>
        </w:tc>
      </w:tr>
      <w:tr w14:paraId="6B57C64F">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0995FBB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59E7209B">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w:t>
            </w:r>
            <w:r>
              <w:rPr>
                <w:rFonts w:hint="default" w:ascii="Times New Roman" w:hAnsi="Times New Roman" w:cs="Times New Roman"/>
                <w:sz w:val="20"/>
                <w:szCs w:val="20"/>
              </w:rPr>
              <w:t>–</w:t>
            </w:r>
            <w:r>
              <w:rPr>
                <w:rFonts w:hint="default" w:ascii="Times New Roman" w:hAnsi="Times New Roman" w:eastAsia="Times New Roman" w:cs="Times New Roman"/>
                <w:sz w:val="20"/>
                <w:szCs w:val="20"/>
              </w:rPr>
              <w:t>GLRLM low gray</w:t>
            </w:r>
            <w:r>
              <w:rPr>
                <w:rFonts w:hint="default" w:ascii="Times New Roman" w:hAnsi="Times New Roman" w:eastAsia="宋体" w:cs="Times New Roman"/>
                <w:sz w:val="20"/>
                <w:szCs w:val="20"/>
              </w:rPr>
              <w:t>–</w:t>
            </w:r>
            <w:r>
              <w:rPr>
                <w:rFonts w:hint="default" w:ascii="Times New Roman" w:hAnsi="Times New Roman" w:eastAsia="Times New Roman" w:cs="Times New Roman"/>
                <w:sz w:val="20"/>
                <w:szCs w:val="20"/>
              </w:rPr>
              <w:t>level run emphasis</w:t>
            </w:r>
          </w:p>
        </w:tc>
        <w:tc>
          <w:tcPr>
            <w:tcW w:w="2561" w:type="pct"/>
            <w:tcBorders>
              <w:top w:val="nil"/>
              <w:left w:val="nil"/>
              <w:bottom w:val="nil"/>
              <w:right w:val="nil"/>
            </w:tcBorders>
            <w:tcMar>
              <w:left w:w="108" w:type="dxa"/>
              <w:right w:w="108" w:type="dxa"/>
            </w:tcMar>
            <w:vAlign w:val="center"/>
          </w:tcPr>
          <w:p w14:paraId="12DAB4D3">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log_sigma_1_0_mm_3D_glrlm_LowGrayLevelRunEmphasis</w:t>
            </w:r>
          </w:p>
        </w:tc>
      </w:tr>
      <w:tr w14:paraId="6E19D245">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215FC5B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72314250">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Logarithm GLSZM SAE</w:t>
            </w:r>
          </w:p>
        </w:tc>
        <w:tc>
          <w:tcPr>
            <w:tcW w:w="2561" w:type="pct"/>
            <w:tcBorders>
              <w:top w:val="nil"/>
              <w:left w:val="nil"/>
              <w:bottom w:val="nil"/>
              <w:right w:val="nil"/>
            </w:tcBorders>
            <w:tcMar>
              <w:left w:w="108" w:type="dxa"/>
              <w:right w:w="108" w:type="dxa"/>
            </w:tcMar>
            <w:vAlign w:val="center"/>
          </w:tcPr>
          <w:p w14:paraId="66C9FDC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logarithm_glszm_SmallAreaEmphasis</w:t>
            </w:r>
          </w:p>
        </w:tc>
      </w:tr>
      <w:tr w14:paraId="30B5EE36">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6FA4A17E">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19D4458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w:t>
            </w:r>
            <w:r>
              <w:rPr>
                <w:rFonts w:hint="default" w:ascii="Times New Roman" w:hAnsi="Times New Roman" w:eastAsia="宋体" w:cs="Times New Roman"/>
                <w:sz w:val="20"/>
                <w:szCs w:val="20"/>
              </w:rPr>
              <w:t>–</w:t>
            </w:r>
            <w:r>
              <w:rPr>
                <w:rFonts w:hint="default" w:ascii="Times New Roman" w:hAnsi="Times New Roman" w:eastAsia="Times New Roman" w:cs="Times New Roman"/>
                <w:sz w:val="20"/>
                <w:szCs w:val="20"/>
              </w:rPr>
              <w:t>LLH GLSZM zone entropy</w:t>
            </w:r>
          </w:p>
        </w:tc>
        <w:tc>
          <w:tcPr>
            <w:tcW w:w="2561" w:type="pct"/>
            <w:tcBorders>
              <w:top w:val="nil"/>
              <w:left w:val="nil"/>
              <w:bottom w:val="nil"/>
              <w:right w:val="nil"/>
            </w:tcBorders>
            <w:tcMar>
              <w:left w:w="108" w:type="dxa"/>
              <w:right w:w="108" w:type="dxa"/>
            </w:tcMar>
            <w:vAlign w:val="center"/>
          </w:tcPr>
          <w:p w14:paraId="7F7B1A89">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wavelet_LLH_glszm_ZoneEntropy</w:t>
            </w:r>
          </w:p>
        </w:tc>
      </w:tr>
      <w:tr w14:paraId="260D1D75">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4E804B95">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Deep learning</w:t>
            </w:r>
          </w:p>
        </w:tc>
        <w:tc>
          <w:tcPr>
            <w:tcW w:w="1482" w:type="pct"/>
            <w:tcBorders>
              <w:top w:val="nil"/>
              <w:left w:val="nil"/>
              <w:bottom w:val="nil"/>
              <w:right w:val="nil"/>
            </w:tcBorders>
            <w:tcMar>
              <w:left w:w="108" w:type="dxa"/>
              <w:right w:w="108" w:type="dxa"/>
            </w:tcMar>
            <w:vAlign w:val="center"/>
          </w:tcPr>
          <w:p w14:paraId="2AE07549">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 feature 109</w:t>
            </w:r>
          </w:p>
        </w:tc>
        <w:tc>
          <w:tcPr>
            <w:tcW w:w="2561" w:type="pct"/>
            <w:tcBorders>
              <w:top w:val="nil"/>
              <w:left w:val="nil"/>
              <w:bottom w:val="nil"/>
              <w:right w:val="nil"/>
            </w:tcBorders>
            <w:tcMar>
              <w:left w:w="108" w:type="dxa"/>
              <w:right w:w="108" w:type="dxa"/>
            </w:tcMar>
            <w:vAlign w:val="center"/>
          </w:tcPr>
          <w:p w14:paraId="0000496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DL_109</w:t>
            </w:r>
          </w:p>
        </w:tc>
      </w:tr>
      <w:tr w14:paraId="11BA997F">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602FE2F3">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28227CEA">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Original GLSZM SAHGLE</w:t>
            </w:r>
          </w:p>
        </w:tc>
        <w:tc>
          <w:tcPr>
            <w:tcW w:w="2561" w:type="pct"/>
            <w:tcBorders>
              <w:top w:val="nil"/>
              <w:left w:val="nil"/>
              <w:bottom w:val="nil"/>
              <w:right w:val="nil"/>
            </w:tcBorders>
            <w:tcMar>
              <w:left w:w="108" w:type="dxa"/>
              <w:right w:w="108" w:type="dxa"/>
            </w:tcMar>
            <w:vAlign w:val="center"/>
          </w:tcPr>
          <w:p w14:paraId="4E1EE16B">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original_glszm_SmallAreaHighGrayLevelEmphasis</w:t>
            </w:r>
          </w:p>
        </w:tc>
      </w:tr>
      <w:tr w14:paraId="6B8D18BB">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3E9F4586">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7F3AFBD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Original NGTDM contrast</w:t>
            </w:r>
          </w:p>
        </w:tc>
        <w:tc>
          <w:tcPr>
            <w:tcW w:w="2561" w:type="pct"/>
            <w:tcBorders>
              <w:top w:val="nil"/>
              <w:left w:val="nil"/>
              <w:bottom w:val="nil"/>
              <w:right w:val="nil"/>
            </w:tcBorders>
            <w:tcMar>
              <w:left w:w="108" w:type="dxa"/>
              <w:right w:w="108" w:type="dxa"/>
            </w:tcMar>
            <w:vAlign w:val="center"/>
          </w:tcPr>
          <w:p w14:paraId="14DC8954">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original_ngtdm_Contrast</w:t>
            </w:r>
          </w:p>
        </w:tc>
      </w:tr>
      <w:tr w14:paraId="3BF31C09">
        <w:tblPrEx>
          <w:tblCellMar>
            <w:top w:w="0" w:type="dxa"/>
            <w:left w:w="0" w:type="dxa"/>
            <w:bottom w:w="0" w:type="dxa"/>
            <w:right w:w="0" w:type="dxa"/>
          </w:tblCellMar>
        </w:tblPrEx>
        <w:trPr>
          <w:trHeight w:val="283" w:hRule="atLeast"/>
          <w:jc w:val="center"/>
        </w:trPr>
        <w:tc>
          <w:tcPr>
            <w:tcW w:w="956" w:type="pct"/>
            <w:tcBorders>
              <w:top w:val="nil"/>
              <w:left w:val="nil"/>
              <w:bottom w:val="nil"/>
              <w:right w:val="nil"/>
            </w:tcBorders>
            <w:tcMar>
              <w:left w:w="108" w:type="dxa"/>
              <w:right w:w="108" w:type="dxa"/>
            </w:tcMar>
            <w:vAlign w:val="center"/>
          </w:tcPr>
          <w:p w14:paraId="1EFAA723">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nil"/>
              <w:right w:val="nil"/>
            </w:tcBorders>
            <w:tcMar>
              <w:left w:w="108" w:type="dxa"/>
              <w:right w:w="108" w:type="dxa"/>
            </w:tcMar>
            <w:vAlign w:val="center"/>
          </w:tcPr>
          <w:p w14:paraId="10EA9E18">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 (1.0 mm) GLCM IMC2</w:t>
            </w:r>
          </w:p>
        </w:tc>
        <w:tc>
          <w:tcPr>
            <w:tcW w:w="2561" w:type="pct"/>
            <w:tcBorders>
              <w:top w:val="nil"/>
              <w:left w:val="nil"/>
              <w:bottom w:val="nil"/>
              <w:right w:val="nil"/>
            </w:tcBorders>
            <w:tcMar>
              <w:left w:w="108" w:type="dxa"/>
              <w:right w:w="108" w:type="dxa"/>
            </w:tcMar>
            <w:vAlign w:val="center"/>
          </w:tcPr>
          <w:p w14:paraId="13BFB0EC">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log_sigma_1_0_mm_3D_glcm_Imc2</w:t>
            </w:r>
          </w:p>
        </w:tc>
      </w:tr>
      <w:tr w14:paraId="6DE513D4">
        <w:tblPrEx>
          <w:tblCellMar>
            <w:top w:w="0" w:type="dxa"/>
            <w:left w:w="0" w:type="dxa"/>
            <w:bottom w:w="0" w:type="dxa"/>
            <w:right w:w="0" w:type="dxa"/>
          </w:tblCellMar>
        </w:tblPrEx>
        <w:trPr>
          <w:trHeight w:val="283" w:hRule="atLeast"/>
          <w:jc w:val="center"/>
        </w:trPr>
        <w:tc>
          <w:tcPr>
            <w:tcW w:w="956" w:type="pct"/>
            <w:tcBorders>
              <w:top w:val="nil"/>
              <w:left w:val="nil"/>
              <w:bottom w:val="single" w:color="auto" w:sz="8" w:space="0"/>
              <w:right w:val="nil"/>
            </w:tcBorders>
            <w:tcMar>
              <w:left w:w="108" w:type="dxa"/>
              <w:right w:w="108" w:type="dxa"/>
            </w:tcMar>
            <w:vAlign w:val="center"/>
          </w:tcPr>
          <w:p w14:paraId="788757FD">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Radiomics</w:t>
            </w:r>
          </w:p>
        </w:tc>
        <w:tc>
          <w:tcPr>
            <w:tcW w:w="1482" w:type="pct"/>
            <w:tcBorders>
              <w:top w:val="nil"/>
              <w:left w:val="nil"/>
              <w:bottom w:val="single" w:color="auto" w:sz="8" w:space="0"/>
              <w:right w:val="nil"/>
            </w:tcBorders>
            <w:tcMar>
              <w:left w:w="108" w:type="dxa"/>
              <w:right w:w="108" w:type="dxa"/>
            </w:tcMar>
            <w:vAlign w:val="center"/>
          </w:tcPr>
          <w:p w14:paraId="7B477320">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w:t>
            </w:r>
            <w:r>
              <w:rPr>
                <w:rFonts w:hint="default" w:ascii="Times New Roman" w:hAnsi="Times New Roman" w:eastAsia="宋体" w:cs="Times New Roman"/>
                <w:sz w:val="20"/>
                <w:szCs w:val="20"/>
              </w:rPr>
              <w:t>–</w:t>
            </w:r>
            <w:r>
              <w:rPr>
                <w:rFonts w:hint="default" w:ascii="Times New Roman" w:hAnsi="Times New Roman" w:eastAsia="Times New Roman" w:cs="Times New Roman"/>
                <w:sz w:val="20"/>
                <w:szCs w:val="20"/>
              </w:rPr>
              <w:t>LHL GLSZM SAE</w:t>
            </w:r>
          </w:p>
        </w:tc>
        <w:tc>
          <w:tcPr>
            <w:tcW w:w="2561" w:type="pct"/>
            <w:tcBorders>
              <w:top w:val="nil"/>
              <w:left w:val="nil"/>
              <w:bottom w:val="single" w:color="auto" w:sz="8" w:space="0"/>
              <w:right w:val="nil"/>
            </w:tcBorders>
            <w:tcMar>
              <w:left w:w="108" w:type="dxa"/>
              <w:right w:w="108" w:type="dxa"/>
            </w:tcMar>
            <w:vAlign w:val="center"/>
          </w:tcPr>
          <w:p w14:paraId="7F189A51">
            <w:pPr>
              <w:jc w:val="left"/>
              <w:rPr>
                <w:rFonts w:hint="default" w:ascii="Times New Roman" w:hAnsi="Times New Roman" w:eastAsia="宋体" w:cs="Times New Roman"/>
                <w:sz w:val="20"/>
                <w:szCs w:val="20"/>
              </w:rPr>
            </w:pPr>
            <w:r>
              <w:rPr>
                <w:rFonts w:hint="default" w:ascii="Times New Roman" w:hAnsi="Times New Roman" w:eastAsia="Times New Roman" w:cs="Times New Roman"/>
                <w:sz w:val="20"/>
                <w:szCs w:val="20"/>
              </w:rPr>
              <w:t>wavelet_LHL_glszm_SmallAreaEmphasis</w:t>
            </w:r>
          </w:p>
        </w:tc>
      </w:tr>
    </w:tbl>
    <w:p w14:paraId="08369658">
      <w:pPr>
        <w:rPr>
          <w:rFonts w:hint="default" w:ascii="Times New Roman" w:hAnsi="Times New Roman" w:cs="Times New Roman"/>
          <w:sz w:val="16"/>
          <w:szCs w:val="16"/>
        </w:rPr>
      </w:pPr>
      <w:r>
        <w:rPr>
          <w:rFonts w:hint="default" w:ascii="Times New Roman" w:hAnsi="Times New Roman" w:cs="Times New Roman"/>
          <w:sz w:val="16"/>
          <w:szCs w:val="16"/>
        </w:rPr>
        <w:t>Note: Feature names were shortened in Figure 4A for readability. “Other features” denotes the combined contribution of features not shown individually. Abbreviations: DL, deep–learning; SHAP, Shapley additive explanations; LoG, Laplacian of Gaussian; GLCM, gray–level co–occurrence matrix; GLDM, gray–level dependence matrix; GLRLM, gray–level run–length matrix; GLSZM, gray–level size–zone matrix; NGTDM, neighboring gray–tone difference matrix; DNUN, dependence non–uniformity normalized; SAE, small–area emphasis; SAHGLE, small–area high gray–level emphasis; IMC2, informational measure of correlation 2.</w:t>
      </w:r>
    </w:p>
    <w:p w14:paraId="313257DB">
      <w:pPr>
        <w:spacing w:line="480" w:lineRule="auto"/>
        <w:rPr>
          <w:rFonts w:hint="default" w:ascii="Times New Roman" w:hAnsi="Times New Roman" w:eastAsia="华文中宋" w:cs="Times New Roman"/>
          <w:sz w:val="20"/>
          <w:szCs w:val="2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821879FA-4682-47BE-9FE1-E15F5C3E2D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7C528">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9BCF7">
                          <w:pPr>
                            <w:pStyle w:val="2"/>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1A9BCF7">
                    <w:pPr>
                      <w:pStyle w:val="2"/>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0CB2"/>
    <w:multiLevelType w:val="singleLevel"/>
    <w:tmpl w:val="826C0CB2"/>
    <w:lvl w:ilvl="0" w:tentative="0">
      <w:start w:val="1"/>
      <w:numFmt w:val="decimal"/>
      <w:suff w:val="space"/>
      <w:lvlText w:val="%1."/>
      <w:lvlJc w:val="left"/>
    </w:lvl>
  </w:abstractNum>
  <w:abstractNum w:abstractNumId="1">
    <w:nsid w:val="FDE72CC4"/>
    <w:multiLevelType w:val="singleLevel"/>
    <w:tmpl w:val="FDE72CC4"/>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30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478"/>
    <w:rsid w:val="00033660"/>
    <w:rsid w:val="004E2611"/>
    <w:rsid w:val="00525EC6"/>
    <w:rsid w:val="00660BD0"/>
    <w:rsid w:val="006E0FF4"/>
    <w:rsid w:val="007352F3"/>
    <w:rsid w:val="008178EB"/>
    <w:rsid w:val="008E7D11"/>
    <w:rsid w:val="0097591B"/>
    <w:rsid w:val="00A363F6"/>
    <w:rsid w:val="00AF7AFC"/>
    <w:rsid w:val="00B1646E"/>
    <w:rsid w:val="00D779A6"/>
    <w:rsid w:val="00D82FAE"/>
    <w:rsid w:val="00D91478"/>
    <w:rsid w:val="00F16D5B"/>
    <w:rsid w:val="0142677D"/>
    <w:rsid w:val="0213345C"/>
    <w:rsid w:val="02253004"/>
    <w:rsid w:val="026C4C43"/>
    <w:rsid w:val="02B571DE"/>
    <w:rsid w:val="03223A5F"/>
    <w:rsid w:val="036E062E"/>
    <w:rsid w:val="0370574B"/>
    <w:rsid w:val="03FB1FF8"/>
    <w:rsid w:val="046248DD"/>
    <w:rsid w:val="04D2392E"/>
    <w:rsid w:val="04EE15D4"/>
    <w:rsid w:val="058D598A"/>
    <w:rsid w:val="05D15877"/>
    <w:rsid w:val="05DE60F3"/>
    <w:rsid w:val="064410D3"/>
    <w:rsid w:val="06704B45"/>
    <w:rsid w:val="06EA0922"/>
    <w:rsid w:val="078D7EC3"/>
    <w:rsid w:val="08337756"/>
    <w:rsid w:val="08421BC8"/>
    <w:rsid w:val="08805962"/>
    <w:rsid w:val="08A46510"/>
    <w:rsid w:val="08DC5A49"/>
    <w:rsid w:val="09B1272A"/>
    <w:rsid w:val="0A8E3333"/>
    <w:rsid w:val="0AD333BF"/>
    <w:rsid w:val="0B187AA4"/>
    <w:rsid w:val="0B345D7C"/>
    <w:rsid w:val="0B441B1D"/>
    <w:rsid w:val="0BFE1ECC"/>
    <w:rsid w:val="0C813E69"/>
    <w:rsid w:val="0CDE5F71"/>
    <w:rsid w:val="0D792E8C"/>
    <w:rsid w:val="0DFC6D88"/>
    <w:rsid w:val="0E1B6FD4"/>
    <w:rsid w:val="0E96765D"/>
    <w:rsid w:val="0EBB7828"/>
    <w:rsid w:val="0EC7484A"/>
    <w:rsid w:val="0ED91C40"/>
    <w:rsid w:val="0F5F0397"/>
    <w:rsid w:val="0FEB254E"/>
    <w:rsid w:val="0FF22CB1"/>
    <w:rsid w:val="100107CC"/>
    <w:rsid w:val="110D7C5F"/>
    <w:rsid w:val="11274EE5"/>
    <w:rsid w:val="12160D2A"/>
    <w:rsid w:val="13FD21A1"/>
    <w:rsid w:val="146E3D7C"/>
    <w:rsid w:val="15695ACC"/>
    <w:rsid w:val="15C153BB"/>
    <w:rsid w:val="1690297E"/>
    <w:rsid w:val="16E77900"/>
    <w:rsid w:val="16EC2F91"/>
    <w:rsid w:val="170610F8"/>
    <w:rsid w:val="177B3E6B"/>
    <w:rsid w:val="177C0EAF"/>
    <w:rsid w:val="192F5006"/>
    <w:rsid w:val="1A0832FB"/>
    <w:rsid w:val="1A6A0EBB"/>
    <w:rsid w:val="1ACC2EC5"/>
    <w:rsid w:val="1B0B4F2F"/>
    <w:rsid w:val="1B7F1479"/>
    <w:rsid w:val="1B9118D8"/>
    <w:rsid w:val="1BAF6202"/>
    <w:rsid w:val="1C844F99"/>
    <w:rsid w:val="1CC96E50"/>
    <w:rsid w:val="1CDA2A5C"/>
    <w:rsid w:val="1CDA671C"/>
    <w:rsid w:val="1D047E88"/>
    <w:rsid w:val="1D187DD7"/>
    <w:rsid w:val="1D7D279D"/>
    <w:rsid w:val="1D887F78"/>
    <w:rsid w:val="1D990EDF"/>
    <w:rsid w:val="1DE101C9"/>
    <w:rsid w:val="1E4F15D7"/>
    <w:rsid w:val="1F7A6B27"/>
    <w:rsid w:val="1F7E48A0"/>
    <w:rsid w:val="20523600"/>
    <w:rsid w:val="20B64517"/>
    <w:rsid w:val="2210515D"/>
    <w:rsid w:val="22AD4B1E"/>
    <w:rsid w:val="22C46A33"/>
    <w:rsid w:val="23026DF3"/>
    <w:rsid w:val="23A50652"/>
    <w:rsid w:val="23BC326A"/>
    <w:rsid w:val="24877D1C"/>
    <w:rsid w:val="24CE705B"/>
    <w:rsid w:val="251D242F"/>
    <w:rsid w:val="255F24D2"/>
    <w:rsid w:val="25687B28"/>
    <w:rsid w:val="25A475B0"/>
    <w:rsid w:val="25B111B0"/>
    <w:rsid w:val="26875DB5"/>
    <w:rsid w:val="26E57F38"/>
    <w:rsid w:val="2762237B"/>
    <w:rsid w:val="279177EC"/>
    <w:rsid w:val="27967DE8"/>
    <w:rsid w:val="27DE5D9F"/>
    <w:rsid w:val="2816138E"/>
    <w:rsid w:val="28710939"/>
    <w:rsid w:val="28996270"/>
    <w:rsid w:val="28C40225"/>
    <w:rsid w:val="28CD229B"/>
    <w:rsid w:val="291470F2"/>
    <w:rsid w:val="2AEA1678"/>
    <w:rsid w:val="2BBF5FEE"/>
    <w:rsid w:val="2BE83F94"/>
    <w:rsid w:val="2C0C4073"/>
    <w:rsid w:val="2C5518F5"/>
    <w:rsid w:val="2CAC57DB"/>
    <w:rsid w:val="2CAE5E0D"/>
    <w:rsid w:val="2CDF7FCA"/>
    <w:rsid w:val="2D915768"/>
    <w:rsid w:val="2DB843CA"/>
    <w:rsid w:val="2E12783C"/>
    <w:rsid w:val="2E696BE9"/>
    <w:rsid w:val="2EE351E2"/>
    <w:rsid w:val="2F260132"/>
    <w:rsid w:val="2FCE2CA3"/>
    <w:rsid w:val="30CB3B9B"/>
    <w:rsid w:val="30F304E8"/>
    <w:rsid w:val="311566B0"/>
    <w:rsid w:val="31E2087B"/>
    <w:rsid w:val="326E42CA"/>
    <w:rsid w:val="332826AD"/>
    <w:rsid w:val="337E053C"/>
    <w:rsid w:val="33837901"/>
    <w:rsid w:val="33956581"/>
    <w:rsid w:val="33E32A95"/>
    <w:rsid w:val="345207D5"/>
    <w:rsid w:val="34853B4C"/>
    <w:rsid w:val="36943185"/>
    <w:rsid w:val="36A8051F"/>
    <w:rsid w:val="36B10C29"/>
    <w:rsid w:val="375515B4"/>
    <w:rsid w:val="37E968C2"/>
    <w:rsid w:val="38F47237"/>
    <w:rsid w:val="39355B41"/>
    <w:rsid w:val="3951224F"/>
    <w:rsid w:val="395B1104"/>
    <w:rsid w:val="39704039"/>
    <w:rsid w:val="3970717B"/>
    <w:rsid w:val="39DD0225"/>
    <w:rsid w:val="3AB66EFF"/>
    <w:rsid w:val="3B1568FF"/>
    <w:rsid w:val="3B84690C"/>
    <w:rsid w:val="3B895CD0"/>
    <w:rsid w:val="3BF770DE"/>
    <w:rsid w:val="3CEF6007"/>
    <w:rsid w:val="3D4C3459"/>
    <w:rsid w:val="3D583F2F"/>
    <w:rsid w:val="3DE15BC8"/>
    <w:rsid w:val="3DEB2C72"/>
    <w:rsid w:val="3E896E31"/>
    <w:rsid w:val="3EEC3D0D"/>
    <w:rsid w:val="3FE11076"/>
    <w:rsid w:val="42813208"/>
    <w:rsid w:val="4292190E"/>
    <w:rsid w:val="42B126BC"/>
    <w:rsid w:val="42F73E67"/>
    <w:rsid w:val="43631C04"/>
    <w:rsid w:val="44050BA5"/>
    <w:rsid w:val="440C3942"/>
    <w:rsid w:val="441A075F"/>
    <w:rsid w:val="44250560"/>
    <w:rsid w:val="445A1DF6"/>
    <w:rsid w:val="44C935E1"/>
    <w:rsid w:val="44EF0A4F"/>
    <w:rsid w:val="458614D2"/>
    <w:rsid w:val="45A44B2C"/>
    <w:rsid w:val="45D82848"/>
    <w:rsid w:val="466E61EE"/>
    <w:rsid w:val="467A2DE5"/>
    <w:rsid w:val="469F042B"/>
    <w:rsid w:val="47BD70E3"/>
    <w:rsid w:val="48381158"/>
    <w:rsid w:val="4908075D"/>
    <w:rsid w:val="49311755"/>
    <w:rsid w:val="49CB789F"/>
    <w:rsid w:val="4A317C5F"/>
    <w:rsid w:val="4A375942"/>
    <w:rsid w:val="4A5C2802"/>
    <w:rsid w:val="4B212A60"/>
    <w:rsid w:val="4B9F731F"/>
    <w:rsid w:val="4BA54592"/>
    <w:rsid w:val="4C124497"/>
    <w:rsid w:val="4C7E2F03"/>
    <w:rsid w:val="4E234A2B"/>
    <w:rsid w:val="4E4B0880"/>
    <w:rsid w:val="4ECB0E82"/>
    <w:rsid w:val="4ECB6F00"/>
    <w:rsid w:val="4ED908C5"/>
    <w:rsid w:val="4FFD541D"/>
    <w:rsid w:val="50F52783"/>
    <w:rsid w:val="51BD5213"/>
    <w:rsid w:val="51FF6F7B"/>
    <w:rsid w:val="522E717A"/>
    <w:rsid w:val="52667ECC"/>
    <w:rsid w:val="52945922"/>
    <w:rsid w:val="53034AA4"/>
    <w:rsid w:val="533503D0"/>
    <w:rsid w:val="535D02A4"/>
    <w:rsid w:val="53A849CE"/>
    <w:rsid w:val="53DA60AF"/>
    <w:rsid w:val="53FD5056"/>
    <w:rsid w:val="545050AE"/>
    <w:rsid w:val="54560659"/>
    <w:rsid w:val="547F2161"/>
    <w:rsid w:val="54A62783"/>
    <w:rsid w:val="552F123F"/>
    <w:rsid w:val="562A0268"/>
    <w:rsid w:val="56440D1A"/>
    <w:rsid w:val="56586573"/>
    <w:rsid w:val="56A95021"/>
    <w:rsid w:val="571428B9"/>
    <w:rsid w:val="572A7F10"/>
    <w:rsid w:val="59164EB5"/>
    <w:rsid w:val="594F0101"/>
    <w:rsid w:val="5A497FAB"/>
    <w:rsid w:val="5A886241"/>
    <w:rsid w:val="5A92127B"/>
    <w:rsid w:val="5AE00395"/>
    <w:rsid w:val="5B3C1399"/>
    <w:rsid w:val="5B423677"/>
    <w:rsid w:val="5BC34FD5"/>
    <w:rsid w:val="5C5A5297"/>
    <w:rsid w:val="5CAC074B"/>
    <w:rsid w:val="5D0D359B"/>
    <w:rsid w:val="5D673399"/>
    <w:rsid w:val="5DC04D9B"/>
    <w:rsid w:val="5DD321CF"/>
    <w:rsid w:val="5E1E00A2"/>
    <w:rsid w:val="5E6071EA"/>
    <w:rsid w:val="5E7D126D"/>
    <w:rsid w:val="5E84136F"/>
    <w:rsid w:val="5E95615C"/>
    <w:rsid w:val="5ED52E57"/>
    <w:rsid w:val="5FF9437A"/>
    <w:rsid w:val="60121F64"/>
    <w:rsid w:val="60A24FBB"/>
    <w:rsid w:val="60F021CA"/>
    <w:rsid w:val="61970500"/>
    <w:rsid w:val="62E47B0C"/>
    <w:rsid w:val="631A52DC"/>
    <w:rsid w:val="63533D40"/>
    <w:rsid w:val="63AB4186"/>
    <w:rsid w:val="640C45BC"/>
    <w:rsid w:val="64B82FFF"/>
    <w:rsid w:val="64C36DAF"/>
    <w:rsid w:val="64D43BB1"/>
    <w:rsid w:val="64FB662D"/>
    <w:rsid w:val="65352114"/>
    <w:rsid w:val="656D441E"/>
    <w:rsid w:val="675B5EC3"/>
    <w:rsid w:val="67A74D89"/>
    <w:rsid w:val="688B33F0"/>
    <w:rsid w:val="688F22C8"/>
    <w:rsid w:val="68EB1CA7"/>
    <w:rsid w:val="6A2904FB"/>
    <w:rsid w:val="6A743729"/>
    <w:rsid w:val="6A7E5D72"/>
    <w:rsid w:val="6A933BC6"/>
    <w:rsid w:val="6B1E5B86"/>
    <w:rsid w:val="6BA10152"/>
    <w:rsid w:val="6C1F652C"/>
    <w:rsid w:val="6EED7548"/>
    <w:rsid w:val="6EFE7118"/>
    <w:rsid w:val="6F240401"/>
    <w:rsid w:val="6FA81399"/>
    <w:rsid w:val="6FEC6252"/>
    <w:rsid w:val="707A0C11"/>
    <w:rsid w:val="708C533F"/>
    <w:rsid w:val="70D32F6E"/>
    <w:rsid w:val="71056032"/>
    <w:rsid w:val="711D1F38"/>
    <w:rsid w:val="718801FD"/>
    <w:rsid w:val="71D074AE"/>
    <w:rsid w:val="73AB1F81"/>
    <w:rsid w:val="74AC5FB0"/>
    <w:rsid w:val="751D6EAE"/>
    <w:rsid w:val="759D6F61"/>
    <w:rsid w:val="75DD330F"/>
    <w:rsid w:val="76190CEE"/>
    <w:rsid w:val="796021D0"/>
    <w:rsid w:val="79C40F96"/>
    <w:rsid w:val="7A17211E"/>
    <w:rsid w:val="7A577BE2"/>
    <w:rsid w:val="7A967D4B"/>
    <w:rsid w:val="7B0303D2"/>
    <w:rsid w:val="7B4927AB"/>
    <w:rsid w:val="7B4A367A"/>
    <w:rsid w:val="7B4B7C01"/>
    <w:rsid w:val="7BEC370A"/>
    <w:rsid w:val="7C6155A9"/>
    <w:rsid w:val="7D67516A"/>
    <w:rsid w:val="7EDB5E98"/>
    <w:rsid w:val="7F1715F4"/>
    <w:rsid w:val="7F323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line number"/>
    <w:basedOn w:val="7"/>
    <w:qFormat/>
    <w:uiPriority w:val="0"/>
  </w:style>
  <w:style w:type="paragraph" w:customStyle="1" w:styleId="10">
    <w:name w:val="內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1725</Words>
  <Characters>11338</Characters>
  <Lines>470</Lines>
  <Paragraphs>381</Paragraphs>
  <TotalTime>23</TotalTime>
  <ScaleCrop>false</ScaleCrop>
  <LinksUpToDate>false</LinksUpToDate>
  <CharactersWithSpaces>12725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2025-09-15T02:35:00Z</dcterms:created>
  <dc:creator>NFH</dc:creator>
  <cp:lastModifiedBy>Sophi2pk</cp:lastModifiedBy>
  <dcterms:modified xsi:type="dcterms:W3CDTF">2026-10-06T03:14:46Z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eyJoZGlkIjoiNzUzNjdiM2M4NzNiOTA0Zjc1ZWE1NzNiNTUwZGEyMmUiLCJ1c2VySWQiOiIxMTMwMTEyOTQxIn0=</vt:lpwstr>
  </property>
  <property fmtid="{D5CDD505-2E9C-101B-9397-08002B2CF9AE}" pid="4" name="ICV">
    <vt:lpwstr>C0424C9D85EF461F998A39CAB9797590_13</vt:lpwstr>
  </property>
</Properties>
</file>