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CD2" w:rsidRPr="001D09AC" w:rsidRDefault="00230CD2" w:rsidP="00230CD2">
      <w:pPr>
        <w:spacing w:after="0" w:line="480" w:lineRule="auto"/>
        <w:rPr>
          <w:b/>
          <w:bCs/>
          <w:i/>
          <w:sz w:val="24"/>
          <w:szCs w:val="24"/>
          <w:lang w:val="en-GB"/>
        </w:rPr>
      </w:pPr>
      <w:bookmarkStart w:id="0" w:name="_Hlk495311692"/>
      <w:r w:rsidRPr="001D09AC">
        <w:rPr>
          <w:b/>
          <w:bCs/>
          <w:i/>
          <w:sz w:val="24"/>
          <w:szCs w:val="24"/>
          <w:lang w:val="en-GB"/>
        </w:rPr>
        <w:t>DNA extraction</w:t>
      </w:r>
      <w:r w:rsidR="006E60C8">
        <w:rPr>
          <w:b/>
          <w:bCs/>
          <w:i/>
          <w:sz w:val="24"/>
          <w:szCs w:val="24"/>
          <w:lang w:val="en-GB"/>
        </w:rPr>
        <w:t xml:space="preserve"> and sequencing</w:t>
      </w:r>
    </w:p>
    <w:p w:rsidR="00230CD2" w:rsidRPr="001D09AC" w:rsidRDefault="00230CD2" w:rsidP="00230CD2">
      <w:pPr>
        <w:spacing w:after="0" w:line="480" w:lineRule="auto"/>
        <w:ind w:firstLine="708"/>
        <w:rPr>
          <w:bCs/>
          <w:sz w:val="24"/>
          <w:szCs w:val="24"/>
          <w:lang w:val="en-GB"/>
        </w:rPr>
      </w:pPr>
      <w:bookmarkStart w:id="1" w:name="_Hlk495047684"/>
      <w:bookmarkEnd w:id="0"/>
      <w:r w:rsidRPr="001D09AC">
        <w:rPr>
          <w:bCs/>
          <w:sz w:val="24"/>
          <w:szCs w:val="24"/>
          <w:lang w:val="en-GB"/>
        </w:rPr>
        <w:t xml:space="preserve">Tissue specimens of </w:t>
      </w:r>
      <w:r w:rsidR="008C3CBE" w:rsidRPr="009A7C80">
        <w:rPr>
          <w:bCs/>
          <w:sz w:val="24"/>
          <w:szCs w:val="24"/>
          <w:lang w:val="en-GB"/>
        </w:rPr>
        <w:t xml:space="preserve">uterine </w:t>
      </w:r>
      <w:r w:rsidRPr="009A7C80">
        <w:rPr>
          <w:bCs/>
          <w:sz w:val="24"/>
          <w:szCs w:val="24"/>
          <w:lang w:val="en-GB"/>
        </w:rPr>
        <w:t xml:space="preserve">leiomyoma, endometrioma and a pulmonary metastasis from a single patient were collected during surgeries at Tartu University Hospital (Tartu, Estonia). The tissue specimens were fixed in 10 % neutral buffered formalin, dehydrated, embedded in paraffin and evaluated by the pathologist. Immunohistochemistry (IHC) analyses were performed at Tartu University Hospital’s Pathology Service. </w:t>
      </w:r>
      <w:r w:rsidRPr="009A7C80">
        <w:rPr>
          <w:sz w:val="24"/>
          <w:szCs w:val="24"/>
          <w:lang w:val="en-GB"/>
        </w:rPr>
        <w:t xml:space="preserve">The pulmonary metastasis was histologically estimated to consist mostly of </w:t>
      </w:r>
      <w:r w:rsidR="008C3CBE" w:rsidRPr="009A7C80">
        <w:rPr>
          <w:sz w:val="24"/>
          <w:szCs w:val="24"/>
          <w:lang w:val="en-GB"/>
        </w:rPr>
        <w:t>smooth muscle cells</w:t>
      </w:r>
      <w:r w:rsidRPr="009A7C80">
        <w:rPr>
          <w:sz w:val="24"/>
          <w:szCs w:val="24"/>
          <w:lang w:val="en-GB"/>
        </w:rPr>
        <w:t xml:space="preserve"> (&gt;90</w:t>
      </w:r>
      <w:r w:rsidRPr="001D09AC">
        <w:rPr>
          <w:sz w:val="24"/>
          <w:szCs w:val="24"/>
          <w:lang w:val="en-GB"/>
        </w:rPr>
        <w:t xml:space="preserve">%). </w:t>
      </w:r>
      <w:r w:rsidRPr="001D09AC">
        <w:rPr>
          <w:bCs/>
          <w:sz w:val="24"/>
          <w:szCs w:val="24"/>
          <w:lang w:val="en-GB"/>
        </w:rPr>
        <w:t>For DNA extraction, two to four 5 </w:t>
      </w:r>
      <w:proofErr w:type="spellStart"/>
      <w:r w:rsidRPr="001D09AC">
        <w:rPr>
          <w:bCs/>
          <w:sz w:val="24"/>
          <w:szCs w:val="24"/>
          <w:lang w:val="en-GB"/>
        </w:rPr>
        <w:t>μm</w:t>
      </w:r>
      <w:proofErr w:type="spellEnd"/>
      <w:r w:rsidRPr="001D09AC">
        <w:rPr>
          <w:bCs/>
          <w:sz w:val="24"/>
          <w:szCs w:val="24"/>
          <w:lang w:val="en-GB"/>
        </w:rPr>
        <w:t xml:space="preserve"> sections from archived formalin-fixed, paraffin-embedded (FFPE) tissue blocks were collected in 1.5 mL microcentrifuge tubes and DNA was extracted using </w:t>
      </w:r>
      <w:proofErr w:type="spellStart"/>
      <w:r w:rsidRPr="001D09AC">
        <w:rPr>
          <w:bCs/>
          <w:sz w:val="24"/>
          <w:szCs w:val="24"/>
          <w:lang w:val="en-GB"/>
        </w:rPr>
        <w:t>QIAamp</w:t>
      </w:r>
      <w:proofErr w:type="spellEnd"/>
      <w:r w:rsidRPr="001D09AC">
        <w:rPr>
          <w:bCs/>
          <w:sz w:val="24"/>
          <w:szCs w:val="24"/>
          <w:lang w:val="en-GB"/>
        </w:rPr>
        <w:t xml:space="preserve"> DNA FFPE Tissue Kit (Qiagen, Hilden, Germany). Blood DNA was extracted using </w:t>
      </w:r>
      <w:proofErr w:type="spellStart"/>
      <w:r w:rsidRPr="001D09AC">
        <w:rPr>
          <w:bCs/>
          <w:sz w:val="24"/>
          <w:szCs w:val="24"/>
          <w:lang w:val="en-GB"/>
        </w:rPr>
        <w:t>QIAamp</w:t>
      </w:r>
      <w:proofErr w:type="spellEnd"/>
      <w:r w:rsidRPr="001D09AC">
        <w:rPr>
          <w:bCs/>
          <w:sz w:val="24"/>
          <w:szCs w:val="24"/>
          <w:lang w:val="en-GB"/>
        </w:rPr>
        <w:t xml:space="preserve"> Blood Mini Kit (Qiagen) according to the manufacturer’s protocols. </w:t>
      </w:r>
    </w:p>
    <w:bookmarkEnd w:id="1"/>
    <w:p w:rsidR="00230CD2" w:rsidRPr="001D09AC" w:rsidRDefault="00230CD2" w:rsidP="00230CD2">
      <w:pPr>
        <w:spacing w:after="0" w:line="480" w:lineRule="auto"/>
        <w:ind w:firstLine="708"/>
        <w:rPr>
          <w:sz w:val="24"/>
          <w:szCs w:val="24"/>
          <w:lang w:val="en-GB"/>
        </w:rPr>
      </w:pPr>
      <w:r w:rsidRPr="001D09AC">
        <w:rPr>
          <w:sz w:val="24"/>
          <w:szCs w:val="24"/>
          <w:lang w:val="en-GB"/>
        </w:rPr>
        <w:t>For WES</w:t>
      </w:r>
      <w:r>
        <w:rPr>
          <w:sz w:val="24"/>
          <w:szCs w:val="24"/>
          <w:lang w:val="en-GB"/>
        </w:rPr>
        <w:t xml:space="preserve"> of blood and </w:t>
      </w:r>
      <w:r w:rsidRPr="001D09AC">
        <w:rPr>
          <w:bCs/>
          <w:sz w:val="24"/>
          <w:szCs w:val="24"/>
          <w:lang w:val="en-GB"/>
        </w:rPr>
        <w:t>pulmonary metastasis</w:t>
      </w:r>
      <w:r>
        <w:rPr>
          <w:bCs/>
          <w:sz w:val="24"/>
          <w:szCs w:val="24"/>
          <w:lang w:val="en-GB"/>
        </w:rPr>
        <w:t xml:space="preserve"> DNA</w:t>
      </w:r>
      <w:r w:rsidRPr="001D09AC">
        <w:rPr>
          <w:sz w:val="24"/>
          <w:szCs w:val="24"/>
          <w:lang w:val="en-GB"/>
        </w:rPr>
        <w:t xml:space="preserve">, the library construction and sequencing were performed by </w:t>
      </w:r>
      <w:proofErr w:type="spellStart"/>
      <w:r w:rsidRPr="001D09AC">
        <w:rPr>
          <w:sz w:val="24"/>
          <w:szCs w:val="24"/>
          <w:lang w:val="en-GB"/>
        </w:rPr>
        <w:t>Centogene</w:t>
      </w:r>
      <w:proofErr w:type="spellEnd"/>
      <w:r w:rsidRPr="001D09AC">
        <w:rPr>
          <w:sz w:val="24"/>
          <w:szCs w:val="24"/>
          <w:lang w:val="en-GB"/>
        </w:rPr>
        <w:t xml:space="preserve"> AG (Rostock, Germany). Whole exome libraries were prepared in accordance with </w:t>
      </w:r>
      <w:proofErr w:type="spellStart"/>
      <w:r w:rsidRPr="001D09AC">
        <w:rPr>
          <w:sz w:val="24"/>
          <w:szCs w:val="24"/>
          <w:lang w:val="en-GB"/>
        </w:rPr>
        <w:t>Nextera</w:t>
      </w:r>
      <w:proofErr w:type="spellEnd"/>
      <w:r w:rsidRPr="001D09AC">
        <w:rPr>
          <w:sz w:val="24"/>
          <w:szCs w:val="24"/>
          <w:lang w:val="en-GB"/>
        </w:rPr>
        <w:t xml:space="preserve"> Rapid Capture </w:t>
      </w:r>
      <w:proofErr w:type="spellStart"/>
      <w:r w:rsidRPr="001D09AC">
        <w:rPr>
          <w:sz w:val="24"/>
          <w:szCs w:val="24"/>
          <w:lang w:val="en-GB"/>
        </w:rPr>
        <w:t>Exome</w:t>
      </w:r>
      <w:proofErr w:type="spellEnd"/>
      <w:r w:rsidRPr="001D09AC">
        <w:rPr>
          <w:sz w:val="24"/>
          <w:szCs w:val="24"/>
          <w:lang w:val="en-GB"/>
        </w:rPr>
        <w:t xml:space="preserve"> Enrichment protocol and sequenced using </w:t>
      </w:r>
      <w:proofErr w:type="spellStart"/>
      <w:r w:rsidRPr="001D09AC">
        <w:rPr>
          <w:sz w:val="24"/>
          <w:szCs w:val="24"/>
          <w:lang w:val="en-GB"/>
        </w:rPr>
        <w:t>Illumina</w:t>
      </w:r>
      <w:proofErr w:type="spellEnd"/>
      <w:r w:rsidRPr="001D09AC">
        <w:rPr>
          <w:sz w:val="24"/>
          <w:szCs w:val="24"/>
          <w:lang w:val="en-GB"/>
        </w:rPr>
        <w:t xml:space="preserve"> </w:t>
      </w:r>
      <w:proofErr w:type="spellStart"/>
      <w:r w:rsidRPr="001D09AC">
        <w:rPr>
          <w:sz w:val="24"/>
          <w:szCs w:val="24"/>
          <w:lang w:val="en-GB"/>
        </w:rPr>
        <w:t>HiSeq</w:t>
      </w:r>
      <w:proofErr w:type="spellEnd"/>
      <w:r w:rsidRPr="001D09AC">
        <w:rPr>
          <w:sz w:val="24"/>
          <w:szCs w:val="24"/>
          <w:lang w:val="en-GB"/>
        </w:rPr>
        <w:t xml:space="preserve"> system (</w:t>
      </w:r>
      <w:proofErr w:type="spellStart"/>
      <w:r w:rsidRPr="001D09AC">
        <w:rPr>
          <w:sz w:val="24"/>
          <w:szCs w:val="24"/>
          <w:lang w:val="en-GB"/>
        </w:rPr>
        <w:t>Illumina</w:t>
      </w:r>
      <w:proofErr w:type="spellEnd"/>
      <w:r w:rsidRPr="001D09AC">
        <w:rPr>
          <w:sz w:val="24"/>
          <w:szCs w:val="24"/>
          <w:lang w:val="en-GB"/>
        </w:rPr>
        <w:t xml:space="preserve">, USA). The quality control of raw sequencing data was performed using </w:t>
      </w:r>
      <w:proofErr w:type="spellStart"/>
      <w:r w:rsidRPr="001D09AC">
        <w:rPr>
          <w:sz w:val="24"/>
          <w:szCs w:val="24"/>
          <w:lang w:val="en-GB"/>
        </w:rPr>
        <w:t>FastQC</w:t>
      </w:r>
      <w:proofErr w:type="spellEnd"/>
      <w:r w:rsidRPr="001D09AC">
        <w:rPr>
          <w:sz w:val="24"/>
          <w:szCs w:val="24"/>
          <w:lang w:val="en-GB"/>
        </w:rPr>
        <w:t xml:space="preserve"> version 0.11.5</w:t>
      </w:r>
      <w:r w:rsidR="0008585E">
        <w:rPr>
          <w:sz w:val="24"/>
          <w:szCs w:val="24"/>
          <w:lang w:val="en-GB"/>
        </w:rPr>
        <w:t xml:space="preserve"> </w:t>
      </w:r>
      <w:r w:rsidR="00217AFD">
        <w:rPr>
          <w:sz w:val="24"/>
          <w:szCs w:val="24"/>
          <w:lang w:val="en-GB"/>
        </w:rPr>
        <w:fldChar w:fldCharType="begin"/>
      </w:r>
      <w:r w:rsidR="0008585E">
        <w:rPr>
          <w:sz w:val="24"/>
          <w:szCs w:val="24"/>
          <w:lang w:val="en-GB"/>
        </w:rPr>
        <w:instrText xml:space="preserve"> ADDIN EN.CITE &lt;EndNote&gt;&lt;Cite&gt;&lt;RecNum&gt;2087&lt;/RecNum&gt;&lt;DisplayText&gt;&lt;style font="Arial Baltic"&gt;[&lt;/style&gt;1&lt;style font="Arial Baltic"&gt;]&lt;/style&gt;&lt;/DisplayText&gt;&lt;record&gt;&lt;rec-number&gt;2087&lt;/rec-number&gt;&lt;foreign-keys&gt;&lt;key app="EN" db-id="5vx2w5wfye5xzqedzr4pxed9vewtztrtrtd2"&gt;2087&lt;/key&gt;&lt;/foreign-keys&gt;&lt;ref-type name="Journal Article"&gt;17&lt;/ref-type&gt;&lt;contributors&gt;&lt;/contributors&gt;&lt;titles&gt;&lt;title&gt;A quality control tool for high throughput sequence data.&lt;/title&gt;&lt;secondary-title&gt;https://www.bioinformatics.babraham.ac.uk/projects/fastqc/&lt;/secondary-title&gt;&lt;/titles&gt;&lt;periodical&gt;&lt;full-title&gt;https://www.bioinformatics.babraham.ac.uk/projects/fastqc/&lt;/full-title&gt;&lt;/periodical&gt;&lt;volume&gt;&lt;style face="normal" font="default" charset="186" size="100%"&gt;Accessed 16 January 2017&lt;/style&gt;&lt;/volume&gt;&lt;dates&gt;&lt;/dates&gt;&lt;urls&gt;&lt;/urls&gt;&lt;/record&gt;&lt;/Cite&gt;&lt;/EndNote&gt;</w:instrText>
      </w:r>
      <w:r w:rsidR="00217AFD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1" w:tooltip=",  #2087" w:history="1">
        <w:r w:rsidR="0008585E">
          <w:rPr>
            <w:noProof/>
            <w:sz w:val="24"/>
            <w:szCs w:val="24"/>
            <w:lang w:val="en-GB"/>
          </w:rPr>
          <w:t>1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. The paired-end reads were mapped to the human reference genome GRCh38 using BWA-MEM algorithm in </w:t>
      </w:r>
      <w:proofErr w:type="spellStart"/>
      <w:r w:rsidRPr="001D09AC">
        <w:rPr>
          <w:sz w:val="24"/>
          <w:szCs w:val="24"/>
          <w:lang w:val="en-GB"/>
        </w:rPr>
        <w:t>bwakit</w:t>
      </w:r>
      <w:proofErr w:type="spellEnd"/>
      <w:r w:rsidRPr="001D09AC">
        <w:rPr>
          <w:sz w:val="24"/>
          <w:szCs w:val="24"/>
          <w:lang w:val="en-GB"/>
        </w:rPr>
        <w:t xml:space="preserve"> version 0.7.15 </w:t>
      </w:r>
      <w:r w:rsidR="00217AFD" w:rsidRPr="001D09AC">
        <w:rPr>
          <w:sz w:val="24"/>
          <w:szCs w:val="24"/>
          <w:lang w:val="en-GB"/>
        </w:rPr>
        <w:fldChar w:fldCharType="begin"/>
      </w:r>
      <w:r w:rsidR="0008585E">
        <w:rPr>
          <w:sz w:val="24"/>
          <w:szCs w:val="24"/>
          <w:lang w:val="en-GB"/>
        </w:rPr>
        <w:instrText xml:space="preserve"> ADDIN EN.CITE &lt;EndNote&gt;&lt;Cite&gt;&lt;Author&gt;Li&lt;/Author&gt;&lt;Year&gt;2013&lt;/Year&gt;&lt;RecNum&gt;2089&lt;/RecNum&gt;&lt;DisplayText&gt;&lt;style font="Arial Baltic"&gt;[&lt;/style&gt;2&lt;style font="Arial Baltic"&gt;]&lt;/style&gt;&lt;/DisplayText&gt;&lt;record&gt;&lt;rec-number&gt;2089&lt;/rec-number&gt;&lt;foreign-keys&gt;&lt;key app="EN" db-id="5vx2w5wfye5xzqedzr4pxed9vewtztrtrtd2"&gt;2089&lt;/key&gt;&lt;/foreign-keys&gt;&lt;ref-type name="Journal Article"&gt;17&lt;/ref-type&gt;&lt;contributors&gt;&lt;authors&gt;&lt;author&gt;&lt;style face="normal" font="default" size="100%"&gt;Li&lt;/style&gt;&lt;style face="normal" font="default" charset="186" size="100%"&gt;, &lt;/style&gt;&lt;style face="normal" font="default" size="100%"&gt;H&lt;/style&gt;&lt;style face="normal" font="default" charset="186" size="100%"&gt;.&lt;/style&gt;&lt;/author&gt;&lt;/authors&gt;&lt;/contributors&gt;&lt;titles&gt;&lt;title&gt;Aligning sequence reads, clone sequences and assembly contigs with BWA-MEM.&lt;/title&gt;&lt;secondary-title&gt;arXiv:1303.3997v2 [q-bio.GN]&lt;/secondary-title&gt;&lt;/titles&gt;&lt;periodical&gt;&lt;full-title&gt;arXiv:1303.3997v2 [q-bio.GN]&lt;/full-title&gt;&lt;/periodical&gt;&lt;pages&gt; &lt;/pages&gt;&lt;dates&gt;&lt;year&gt;&lt;style face="normal" font="default" charset="186" size="100%"&gt;2013&lt;/style&gt;&lt;/year&gt;&lt;/dates&gt;&lt;urls&gt;&lt;/urls&gt;&lt;/record&gt;&lt;/Cite&gt;&lt;/EndNote&gt;</w:instrText>
      </w:r>
      <w:r w:rsidR="00217AFD" w:rsidRPr="001D09AC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2" w:tooltip="Li, 2013 #2089" w:history="1">
        <w:r w:rsidR="0008585E">
          <w:rPr>
            <w:noProof/>
            <w:sz w:val="24"/>
            <w:szCs w:val="24"/>
            <w:lang w:val="en-GB"/>
          </w:rPr>
          <w:t>2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 w:rsidRPr="001D09AC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. Duplicated reads were identified using Picard version 2.8.0 </w:t>
      </w:r>
      <w:r w:rsidR="00217AFD" w:rsidRPr="001D09AC">
        <w:rPr>
          <w:sz w:val="24"/>
          <w:szCs w:val="24"/>
          <w:lang w:val="en-GB"/>
        </w:rPr>
        <w:fldChar w:fldCharType="begin"/>
      </w:r>
      <w:r w:rsidR="0008585E">
        <w:rPr>
          <w:sz w:val="24"/>
          <w:szCs w:val="24"/>
          <w:lang w:val="en-GB"/>
        </w:rPr>
        <w:instrText xml:space="preserve"> ADDIN EN.CITE &lt;EndNote&gt;&lt;Cite&gt;&lt;RecNum&gt;2088&lt;/RecNum&gt;&lt;DisplayText&gt;&lt;style font="Arial Baltic"&gt;[&lt;/style&gt;3&lt;style font="Arial Baltic"&gt;]&lt;/style&gt;&lt;/DisplayText&gt;&lt;record&gt;&lt;rec-number&gt;2088&lt;/rec-number&gt;&lt;foreign-keys&gt;&lt;key app="EN" db-id="5vx2w5wfye5xzqedzr4pxed9vewtztrtrtd2"&gt;2088&lt;/key&gt;&lt;/foreign-keys&gt;&lt;ref-type name="Journal Article"&gt;17&lt;/ref-type&gt;&lt;contributors&gt;&lt;/contributors&gt;&lt;titles&gt;&lt;title&gt;Picard&lt;/title&gt;&lt;secondary-title&gt;http://broadinstitute.github.io/picard&lt;/secondary-title&gt;&lt;/titles&gt;&lt;periodical&gt;&lt;full-title&gt;http://broadinstitute.github.io/picard&lt;/full-title&gt;&lt;/periodical&gt;&lt;volume&gt;Accessed 16 January 2017.&lt;/volume&gt;&lt;dates&gt;&lt;/dates&gt;&lt;urls&gt;&lt;/urls&gt;&lt;/record&gt;&lt;/Cite&gt;&lt;/EndNote&gt;</w:instrText>
      </w:r>
      <w:r w:rsidR="00217AFD" w:rsidRPr="001D09AC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3" w:tooltip=",  #2088" w:history="1">
        <w:r w:rsidR="0008585E">
          <w:rPr>
            <w:noProof/>
            <w:sz w:val="24"/>
            <w:szCs w:val="24"/>
            <w:lang w:val="en-GB"/>
          </w:rPr>
          <w:t>3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 w:rsidRPr="001D09AC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. Base quality score recalibration of the sequencing data was carried out using Genome Analysis Toolkit (GATK) version 3.7 </w:t>
      </w:r>
      <w:r w:rsidR="00217AFD" w:rsidRPr="001D09AC">
        <w:rPr>
          <w:sz w:val="24"/>
          <w:szCs w:val="24"/>
          <w:lang w:val="en-GB"/>
        </w:rPr>
        <w:fldChar w:fldCharType="begin"/>
      </w:r>
      <w:r w:rsidR="0008585E">
        <w:rPr>
          <w:sz w:val="24"/>
          <w:szCs w:val="24"/>
          <w:lang w:val="en-GB"/>
        </w:rPr>
        <w:instrText xml:space="preserve"> ADDIN EN.CITE &lt;EndNote&gt;&lt;Cite&gt;&lt;Author&gt;McKenna&lt;/Author&gt;&lt;Year&gt;2010&lt;/Year&gt;&lt;RecNum&gt;527&lt;/RecNum&gt;&lt;DisplayText&gt;&lt;style font="Arial Baltic"&gt;[&lt;/style&gt;4&lt;style font="Arial Baltic"&gt;]&lt;/style&gt;&lt;/DisplayText&gt;&lt;record&gt;&lt;rec-number&gt;527&lt;/rec-number&gt;&lt;foreign-keys&gt;&lt;key app="EN" db-id="5vx2w5wfye5xzqedzr4pxed9vewtztrtrtd2"&gt;527&lt;/key&gt;&lt;/foreign-keys&gt;&lt;ref-type name="Journal Article"&gt;17&lt;/ref-type&gt;&lt;contributors&gt;&lt;authors&gt;&lt;author&gt;McKenna, A.&lt;/author&gt;&lt;author&gt;Hanna, M.&lt;/author&gt;&lt;author&gt;Banks, E.&lt;/author&gt;&lt;author&gt;Sivachenko, A.&lt;/author&gt;&lt;author&gt;Cibulskis, K.&lt;/author&gt;&lt;author&gt;Kernytsky, A.&lt;/author&gt;&lt;author&gt;Garimella, K.&lt;/author&gt;&lt;author&gt;Altshuler, D.&lt;/author&gt;&lt;author&gt;Gabriel, S.&lt;/author&gt;&lt;author&gt;Daly, M.&lt;/author&gt;&lt;author&gt;DePristo, M. A.&lt;/author&gt;&lt;/authors&gt;&lt;/contributors&gt;&lt;auth-address&gt;Program in Medical and Population Genetics, The Broad Institute of Harvard and MIT, Cambridge, Massachusetts 02142, USA.&lt;/auth-address&gt;&lt;titles&gt;&lt;title&gt;The Genome Analysis Toolkit: a MapReduce framework for analyzing next-generation DNA sequencing data&lt;/title&gt;&lt;secondary-title&gt;Genome research&lt;/secondary-title&gt;&lt;alt-title&gt;Genome Res&lt;/alt-title&gt;&lt;/titles&gt;&lt;periodical&gt;&lt;full-title&gt;Genome research&lt;/full-title&gt;&lt;abbr-1&gt;Genome Res&lt;/abbr-1&gt;&lt;/periodical&gt;&lt;alt-periodical&gt;&lt;full-title&gt;Genome research&lt;/full-title&gt;&lt;abbr-1&gt;Genome Res&lt;/abbr-1&gt;&lt;/alt-periodical&gt;&lt;pages&gt;1297-303&lt;/pages&gt;&lt;volume&gt;20&lt;/volume&gt;&lt;number&gt;9&lt;/number&gt;&lt;edition&gt;2010/07/21&lt;/edition&gt;&lt;keywords&gt;&lt;keyword&gt;Base Sequence&lt;/keyword&gt;&lt;keyword&gt;*Genome&lt;/keyword&gt;&lt;keyword&gt;Genomics/*methods&lt;/keyword&gt;&lt;keyword&gt;Sequence Analysis, DNA/*methods&lt;/keyword&gt;&lt;keyword&gt;*Software&lt;/keyword&gt;&lt;/keywords&gt;&lt;dates&gt;&lt;year&gt;2010&lt;/year&gt;&lt;pub-dates&gt;&lt;date&gt;Sep&lt;/date&gt;&lt;/pub-dates&gt;&lt;/dates&gt;&lt;isbn&gt;1549-5469 (Electronic)&amp;#xD;1088-9051 (Linking)&lt;/isbn&gt;&lt;accession-num&gt;20644199&lt;/accession-num&gt;&lt;work-type&gt;Research Support, N.I.H., Extramural&lt;/work-type&gt;&lt;urls&gt;&lt;related-urls&gt;&lt;url&gt;http://www.ncbi.nlm.nih.gov/pubmed/20644199&lt;/url&gt;&lt;/related-urls&gt;&lt;/urls&gt;&lt;custom2&gt;2928508&lt;/custom2&gt;&lt;electronic-resource-num&gt;10.1101/gr.107524.110&lt;/electronic-resource-num&gt;&lt;language&gt;eng&lt;/language&gt;&lt;/record&gt;&lt;/Cite&gt;&lt;/EndNote&gt;</w:instrText>
      </w:r>
      <w:r w:rsidR="00217AFD" w:rsidRPr="001D09AC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4" w:tooltip="McKenna, 2010 #527" w:history="1">
        <w:r w:rsidR="0008585E">
          <w:rPr>
            <w:noProof/>
            <w:sz w:val="24"/>
            <w:szCs w:val="24"/>
            <w:lang w:val="en-GB"/>
          </w:rPr>
          <w:t>4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 w:rsidRPr="001D09AC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. The known polymorphic variants from </w:t>
      </w:r>
      <w:proofErr w:type="spellStart"/>
      <w:r w:rsidRPr="001D09AC">
        <w:rPr>
          <w:sz w:val="24"/>
          <w:szCs w:val="24"/>
          <w:lang w:val="en-GB"/>
        </w:rPr>
        <w:t>dbSNP</w:t>
      </w:r>
      <w:proofErr w:type="spellEnd"/>
      <w:r w:rsidRPr="001D09AC">
        <w:rPr>
          <w:sz w:val="24"/>
          <w:szCs w:val="24"/>
          <w:lang w:val="en-GB"/>
        </w:rPr>
        <w:t xml:space="preserve"> build 146, and from Mills and 1000G gold standard indel set were masked before variant discovery.</w:t>
      </w:r>
    </w:p>
    <w:p w:rsidR="00230CD2" w:rsidRPr="001D09AC" w:rsidRDefault="00230CD2" w:rsidP="00230CD2">
      <w:pPr>
        <w:spacing w:after="0" w:line="480" w:lineRule="auto"/>
        <w:ind w:firstLine="708"/>
        <w:rPr>
          <w:sz w:val="24"/>
          <w:szCs w:val="24"/>
          <w:lang w:val="en-GB"/>
        </w:rPr>
      </w:pPr>
      <w:r w:rsidRPr="001D09AC">
        <w:rPr>
          <w:sz w:val="24"/>
          <w:szCs w:val="24"/>
          <w:lang w:val="en-GB"/>
        </w:rPr>
        <w:t xml:space="preserve">Somatic single nucleotide variants and indels were identified by comparing the pulmonary metastasis and blood sample using GATK MuTect2. According to the GATK Best Practice recommendations, COSMIC version 79 and </w:t>
      </w:r>
      <w:proofErr w:type="spellStart"/>
      <w:r w:rsidRPr="001D09AC">
        <w:rPr>
          <w:sz w:val="24"/>
          <w:szCs w:val="24"/>
          <w:lang w:val="en-GB"/>
        </w:rPr>
        <w:t>dbSNP</w:t>
      </w:r>
      <w:proofErr w:type="spellEnd"/>
      <w:r w:rsidRPr="001D09AC">
        <w:rPr>
          <w:sz w:val="24"/>
          <w:szCs w:val="24"/>
          <w:lang w:val="en-GB"/>
        </w:rPr>
        <w:t xml:space="preserve"> databases were taken into account in variant discovery </w:t>
      </w:r>
      <w:r w:rsidR="00217AFD" w:rsidRPr="001D09AC">
        <w:rPr>
          <w:sz w:val="24"/>
          <w:szCs w:val="24"/>
          <w:lang w:val="en-GB"/>
        </w:rPr>
        <w:fldChar w:fldCharType="begin">
          <w:fldData xml:space="preserve">PEVuZE5vdGU+PENpdGU+PEF1dGhvcj5WYW4gZGVyIEF1d2VyYTwvQXV0aG9yPjxZZWFyPjIwMTM8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</w:fldData>
        </w:fldChar>
      </w:r>
      <w:r w:rsidR="0008585E">
        <w:rPr>
          <w:sz w:val="24"/>
          <w:szCs w:val="24"/>
          <w:lang w:val="en-GB"/>
        </w:rPr>
        <w:instrText xml:space="preserve"> ADDIN EN.CITE </w:instrText>
      </w:r>
      <w:r w:rsidR="00217AFD">
        <w:rPr>
          <w:sz w:val="24"/>
          <w:szCs w:val="24"/>
          <w:lang w:val="en-GB"/>
        </w:rPr>
        <w:fldChar w:fldCharType="begin">
          <w:fldData xml:space="preserve">PEVuZE5vdGU+PENpdGU+PEF1dGhvcj5WYW4gZGVyIEF1d2VyYTwvQXV0aG9yPjxZZWFyPjIwMTM8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</w:fldData>
        </w:fldChar>
      </w:r>
      <w:r w:rsidR="0008585E">
        <w:rPr>
          <w:sz w:val="24"/>
          <w:szCs w:val="24"/>
          <w:lang w:val="en-GB"/>
        </w:rPr>
        <w:instrText xml:space="preserve"> ADDIN EN.CITE.DATA </w:instrText>
      </w:r>
      <w:r w:rsidR="00217AFD">
        <w:rPr>
          <w:sz w:val="24"/>
          <w:szCs w:val="24"/>
          <w:lang w:val="en-GB"/>
        </w:rPr>
      </w:r>
      <w:r w:rsidR="00217AFD">
        <w:rPr>
          <w:sz w:val="24"/>
          <w:szCs w:val="24"/>
          <w:lang w:val="en-GB"/>
        </w:rPr>
        <w:fldChar w:fldCharType="end"/>
      </w:r>
      <w:r w:rsidR="00217AFD" w:rsidRPr="001D09AC">
        <w:rPr>
          <w:sz w:val="24"/>
          <w:szCs w:val="24"/>
          <w:lang w:val="en-GB"/>
        </w:rPr>
      </w:r>
      <w:r w:rsidR="00217AFD" w:rsidRPr="001D09AC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5" w:tooltip="Van der Auwera, 2013 #528" w:history="1">
        <w:r w:rsidR="0008585E">
          <w:rPr>
            <w:noProof/>
            <w:sz w:val="24"/>
            <w:szCs w:val="24"/>
            <w:lang w:val="en-GB"/>
          </w:rPr>
          <w:t>5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 w:rsidRPr="001D09AC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. The discovered somatic variants were manually inspected </w:t>
      </w:r>
      <w:r w:rsidRPr="001D09AC">
        <w:rPr>
          <w:sz w:val="24"/>
          <w:szCs w:val="24"/>
          <w:lang w:val="en-GB"/>
        </w:rPr>
        <w:lastRenderedPageBreak/>
        <w:t xml:space="preserve">and the candidate mutations were filtered according to the following criteria: (1) mutations in </w:t>
      </w:r>
      <w:r w:rsidR="005418A1">
        <w:rPr>
          <w:sz w:val="24"/>
          <w:szCs w:val="24"/>
          <w:lang w:val="en-GB"/>
        </w:rPr>
        <w:t xml:space="preserve">splice regions, and </w:t>
      </w:r>
      <w:r w:rsidRPr="001D09AC">
        <w:rPr>
          <w:sz w:val="24"/>
          <w:szCs w:val="24"/>
          <w:lang w:val="en-GB"/>
        </w:rPr>
        <w:t>coding exons that affect amino acids; (2) predicted deleterious by SIFT or PolyPhen2; (3) in case of heterozygous mutations, similar allelic depths for the reference and alternative allele are present; and (4) reported or suggested to be involved in tumorigenesis.</w:t>
      </w:r>
    </w:p>
    <w:p w:rsidR="00230CD2" w:rsidRPr="001D09AC" w:rsidRDefault="00230CD2" w:rsidP="00230CD2">
      <w:pPr>
        <w:spacing w:after="0" w:line="480" w:lineRule="auto"/>
        <w:ind w:firstLine="708"/>
        <w:rPr>
          <w:sz w:val="24"/>
          <w:szCs w:val="24"/>
          <w:lang w:val="en-GB"/>
        </w:rPr>
      </w:pPr>
      <w:r w:rsidRPr="001D09AC">
        <w:rPr>
          <w:sz w:val="24"/>
          <w:szCs w:val="24"/>
          <w:lang w:val="en-GB"/>
        </w:rPr>
        <w:t xml:space="preserve">One heterozygous somatic mutation was selected for validation by Sanger sequencing. Primers specific to the region of interest were designed using Primer3 software </w:t>
      </w:r>
      <w:r w:rsidR="00217AFD" w:rsidRPr="001D09AC">
        <w:rPr>
          <w:sz w:val="24"/>
          <w:szCs w:val="24"/>
          <w:lang w:val="en-GB"/>
        </w:rPr>
        <w:fldChar w:fldCharType="begin">
          <w:fldData xml:space="preserve">PEVuZE5vdGU+PENpdGU+PEF1dGhvcj5VbnRlcmdhc3NlcjwvQXV0aG9yPjxZZWFyPjIwMTI8L1ll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==
</w:fldData>
        </w:fldChar>
      </w:r>
      <w:r w:rsidR="0008585E">
        <w:rPr>
          <w:sz w:val="24"/>
          <w:szCs w:val="24"/>
          <w:lang w:val="en-GB"/>
        </w:rPr>
        <w:instrText xml:space="preserve"> ADDIN EN.CITE </w:instrText>
      </w:r>
      <w:r w:rsidR="00217AFD">
        <w:rPr>
          <w:sz w:val="24"/>
          <w:szCs w:val="24"/>
          <w:lang w:val="en-GB"/>
        </w:rPr>
        <w:fldChar w:fldCharType="begin">
          <w:fldData xml:space="preserve">PEVuZE5vdGU+PENpdGU+PEF1dGhvcj5VbnRlcmdhc3NlcjwvQXV0aG9yPjxZZWFyPjIwMTI8L1ll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==
</w:fldData>
        </w:fldChar>
      </w:r>
      <w:r w:rsidR="0008585E">
        <w:rPr>
          <w:sz w:val="24"/>
          <w:szCs w:val="24"/>
          <w:lang w:val="en-GB"/>
        </w:rPr>
        <w:instrText xml:space="preserve"> ADDIN EN.CITE.DATA </w:instrText>
      </w:r>
      <w:r w:rsidR="00217AFD">
        <w:rPr>
          <w:sz w:val="24"/>
          <w:szCs w:val="24"/>
          <w:lang w:val="en-GB"/>
        </w:rPr>
      </w:r>
      <w:r w:rsidR="00217AFD">
        <w:rPr>
          <w:sz w:val="24"/>
          <w:szCs w:val="24"/>
          <w:lang w:val="en-GB"/>
        </w:rPr>
        <w:fldChar w:fldCharType="end"/>
      </w:r>
      <w:r w:rsidR="00217AFD" w:rsidRPr="001D09AC">
        <w:rPr>
          <w:sz w:val="24"/>
          <w:szCs w:val="24"/>
          <w:lang w:val="en-GB"/>
        </w:rPr>
      </w:r>
      <w:r w:rsidR="00217AFD" w:rsidRPr="001D09AC">
        <w:rPr>
          <w:sz w:val="24"/>
          <w:szCs w:val="24"/>
          <w:lang w:val="en-GB"/>
        </w:rPr>
        <w:fldChar w:fldCharType="separate"/>
      </w:r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[</w:t>
      </w:r>
      <w:hyperlink w:anchor="_ENREF_6" w:tooltip="Untergasser, 2012 #1947" w:history="1">
        <w:r w:rsidR="0008585E">
          <w:rPr>
            <w:noProof/>
            <w:sz w:val="24"/>
            <w:szCs w:val="24"/>
            <w:lang w:val="en-GB"/>
          </w:rPr>
          <w:t>6</w:t>
        </w:r>
      </w:hyperlink>
      <w:r w:rsidR="0008585E" w:rsidRPr="0008585E">
        <w:rPr>
          <w:rFonts w:ascii="Arial Baltic" w:hAnsi="Arial Baltic" w:cs="Arial Baltic"/>
          <w:noProof/>
          <w:sz w:val="24"/>
          <w:szCs w:val="24"/>
          <w:lang w:val="en-GB"/>
        </w:rPr>
        <w:t>]</w:t>
      </w:r>
      <w:r w:rsidR="00217AFD" w:rsidRPr="001D09AC">
        <w:rPr>
          <w:sz w:val="24"/>
          <w:szCs w:val="24"/>
          <w:lang w:val="en-GB"/>
        </w:rPr>
        <w:fldChar w:fldCharType="end"/>
      </w:r>
      <w:r w:rsidRPr="001D09AC">
        <w:rPr>
          <w:sz w:val="24"/>
          <w:szCs w:val="24"/>
          <w:lang w:val="en-GB"/>
        </w:rPr>
        <w:t xml:space="preserve"> and sequencing was performed on both DNA strands. Primer sequences and PCR conditions are available on request.</w:t>
      </w:r>
    </w:p>
    <w:p w:rsidR="0008585E" w:rsidRDefault="0008585E" w:rsidP="00230CD2">
      <w:pPr>
        <w:spacing w:after="0" w:line="480" w:lineRule="auto"/>
        <w:rPr>
          <w:b/>
          <w:bCs/>
          <w:sz w:val="24"/>
          <w:szCs w:val="24"/>
          <w:lang w:val="en-GB"/>
        </w:rPr>
      </w:pPr>
    </w:p>
    <w:p w:rsidR="00E60427" w:rsidRPr="001D09AC" w:rsidRDefault="00E60427" w:rsidP="00E60427">
      <w:pPr>
        <w:spacing w:after="0" w:line="480" w:lineRule="auto"/>
        <w:rPr>
          <w:rFonts w:eastAsia="Calibri"/>
          <w:b/>
          <w:bCs/>
          <w:sz w:val="24"/>
          <w:szCs w:val="24"/>
          <w:lang w:val="en-GB"/>
        </w:rPr>
      </w:pPr>
      <w:r w:rsidRPr="001D09AC">
        <w:rPr>
          <w:rFonts w:eastAsia="Calibri"/>
          <w:b/>
          <w:bCs/>
          <w:sz w:val="24"/>
          <w:szCs w:val="24"/>
          <w:lang w:val="en-GB"/>
        </w:rPr>
        <w:t>References</w:t>
      </w:r>
      <w:bookmarkStart w:id="2" w:name="_GoBack"/>
      <w:bookmarkEnd w:id="2"/>
    </w:p>
    <w:p w:rsidR="0008585E" w:rsidRPr="00E60427" w:rsidRDefault="00217AFD" w:rsidP="0008585E">
      <w:pPr>
        <w:spacing w:after="0" w:line="240" w:lineRule="auto"/>
        <w:rPr>
          <w:bCs/>
          <w:noProof/>
          <w:color w:val="000000" w:themeColor="text1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fldChar w:fldCharType="begin"/>
      </w:r>
      <w:r w:rsidR="0008585E">
        <w:rPr>
          <w:b/>
          <w:bCs/>
          <w:sz w:val="24"/>
          <w:szCs w:val="24"/>
          <w:lang w:val="en-GB"/>
        </w:rPr>
        <w:instrText xml:space="preserve"> ADDIN EN.REFLIST </w:instrText>
      </w:r>
      <w:r>
        <w:rPr>
          <w:b/>
          <w:bCs/>
          <w:sz w:val="24"/>
          <w:szCs w:val="24"/>
          <w:lang w:val="en-GB"/>
        </w:rPr>
        <w:fldChar w:fldCharType="separate"/>
      </w:r>
      <w:bookmarkStart w:id="3" w:name="_ENREF_1"/>
      <w:r w:rsidR="0008585E" w:rsidRPr="00E60427">
        <w:rPr>
          <w:bCs/>
          <w:noProof/>
          <w:color w:val="000000" w:themeColor="text1"/>
          <w:szCs w:val="24"/>
          <w:lang w:val="en-GB"/>
        </w:rPr>
        <w:t>1.</w:t>
      </w:r>
      <w:r w:rsidR="0008585E" w:rsidRPr="00E60427">
        <w:rPr>
          <w:bCs/>
          <w:noProof/>
          <w:color w:val="000000" w:themeColor="text1"/>
          <w:szCs w:val="24"/>
          <w:lang w:val="en-GB"/>
        </w:rPr>
        <w:tab/>
      </w:r>
      <w:bookmarkStart w:id="4" w:name="_Hlk496096869"/>
      <w:r w:rsidR="0008585E" w:rsidRPr="00E60427">
        <w:rPr>
          <w:bCs/>
          <w:noProof/>
          <w:color w:val="000000" w:themeColor="text1"/>
          <w:szCs w:val="24"/>
          <w:lang w:val="en-GB"/>
        </w:rPr>
        <w:t xml:space="preserve">A quality control tool for high throughput sequence data. </w:t>
      </w:r>
      <w:bookmarkEnd w:id="4"/>
      <w:r w:rsidR="0008585E" w:rsidRPr="00E60427">
        <w:rPr>
          <w:bCs/>
          <w:noProof/>
          <w:color w:val="000000" w:themeColor="text1"/>
          <w:szCs w:val="24"/>
          <w:lang w:val="en-GB"/>
        </w:rPr>
        <w:t>https://wwwbioinformaticsbabrahamacuk/projects/fastqc/.</w:t>
      </w:r>
      <w:r w:rsidR="002D1863">
        <w:rPr>
          <w:bCs/>
          <w:noProof/>
          <w:color w:val="000000" w:themeColor="text1"/>
          <w:szCs w:val="24"/>
          <w:lang w:val="en-GB"/>
        </w:rPr>
        <w:t xml:space="preserve"> </w:t>
      </w:r>
      <w:r w:rsidR="0008585E" w:rsidRPr="00E60427">
        <w:rPr>
          <w:bCs/>
          <w:noProof/>
          <w:color w:val="000000" w:themeColor="text1"/>
          <w:szCs w:val="24"/>
          <w:lang w:val="en-GB"/>
        </w:rPr>
        <w:t>Accessed 16 January 2017.</w:t>
      </w:r>
      <w:bookmarkEnd w:id="3"/>
    </w:p>
    <w:p w:rsidR="0008585E" w:rsidRPr="00E60427" w:rsidRDefault="0008585E" w:rsidP="0008585E">
      <w:pPr>
        <w:spacing w:after="0" w:line="240" w:lineRule="auto"/>
        <w:rPr>
          <w:bCs/>
          <w:noProof/>
          <w:color w:val="000000" w:themeColor="text1"/>
          <w:szCs w:val="24"/>
          <w:lang w:val="en-GB"/>
        </w:rPr>
      </w:pPr>
      <w:bookmarkStart w:id="5" w:name="_ENREF_2"/>
      <w:r w:rsidRPr="00E60427">
        <w:rPr>
          <w:bCs/>
          <w:noProof/>
          <w:color w:val="000000" w:themeColor="text1"/>
          <w:szCs w:val="24"/>
          <w:lang w:val="en-GB"/>
        </w:rPr>
        <w:t>2.</w:t>
      </w:r>
      <w:r w:rsidRPr="00E60427">
        <w:rPr>
          <w:bCs/>
          <w:noProof/>
          <w:color w:val="000000" w:themeColor="text1"/>
          <w:szCs w:val="24"/>
          <w:lang w:val="en-GB"/>
        </w:rPr>
        <w:tab/>
        <w:t>Li H. Aligning sequence reads, clone sequences and assembly contigs with BWA-MEM. arXiv:13033997v2 [q-bioGN]. 2013</w:t>
      </w:r>
      <w:bookmarkEnd w:id="5"/>
    </w:p>
    <w:p w:rsidR="0008585E" w:rsidRPr="00E60427" w:rsidRDefault="0008585E" w:rsidP="0008585E">
      <w:pPr>
        <w:spacing w:after="0" w:line="240" w:lineRule="auto"/>
        <w:rPr>
          <w:bCs/>
          <w:noProof/>
          <w:color w:val="000000" w:themeColor="text1"/>
          <w:szCs w:val="24"/>
          <w:lang w:val="en-GB"/>
        </w:rPr>
      </w:pPr>
      <w:bookmarkStart w:id="6" w:name="_ENREF_3"/>
      <w:r w:rsidRPr="00E60427">
        <w:rPr>
          <w:bCs/>
          <w:noProof/>
          <w:color w:val="000000" w:themeColor="text1"/>
          <w:szCs w:val="24"/>
          <w:lang w:val="en-GB"/>
        </w:rPr>
        <w:t>3.</w:t>
      </w:r>
      <w:r w:rsidRPr="00E60427">
        <w:rPr>
          <w:bCs/>
          <w:noProof/>
          <w:color w:val="000000" w:themeColor="text1"/>
          <w:szCs w:val="24"/>
          <w:lang w:val="en-GB"/>
        </w:rPr>
        <w:tab/>
        <w:t xml:space="preserve">Picard. </w:t>
      </w:r>
      <w:r w:rsidRPr="002D1863">
        <w:rPr>
          <w:noProof/>
          <w:szCs w:val="24"/>
          <w:lang w:val="en-GB"/>
        </w:rPr>
        <w:t>http://broadinstitutegithubio/picard.</w:t>
      </w:r>
      <w:r w:rsidR="002D1863" w:rsidRPr="002D1863">
        <w:rPr>
          <w:noProof/>
          <w:szCs w:val="24"/>
          <w:lang w:val="en-GB"/>
        </w:rPr>
        <w:t xml:space="preserve"> </w:t>
      </w:r>
      <w:r w:rsidRPr="002D1863">
        <w:rPr>
          <w:noProof/>
          <w:szCs w:val="24"/>
          <w:lang w:val="en-GB"/>
        </w:rPr>
        <w:t>Accessed</w:t>
      </w:r>
      <w:r w:rsidRPr="00E60427">
        <w:rPr>
          <w:bCs/>
          <w:noProof/>
          <w:color w:val="000000" w:themeColor="text1"/>
          <w:szCs w:val="24"/>
          <w:lang w:val="en-GB"/>
        </w:rPr>
        <w:t xml:space="preserve"> 16 January 2017.</w:t>
      </w:r>
      <w:bookmarkEnd w:id="6"/>
    </w:p>
    <w:p w:rsidR="0008585E" w:rsidRPr="00E60427" w:rsidRDefault="0008585E" w:rsidP="0008585E">
      <w:pPr>
        <w:spacing w:after="0" w:line="240" w:lineRule="auto"/>
        <w:rPr>
          <w:bCs/>
          <w:noProof/>
          <w:color w:val="000000" w:themeColor="text1"/>
          <w:szCs w:val="24"/>
          <w:lang w:val="en-GB"/>
        </w:rPr>
      </w:pPr>
      <w:bookmarkStart w:id="7" w:name="_ENREF_4"/>
      <w:r w:rsidRPr="00E60427">
        <w:rPr>
          <w:bCs/>
          <w:noProof/>
          <w:color w:val="000000" w:themeColor="text1"/>
          <w:szCs w:val="24"/>
          <w:lang w:val="en-GB"/>
        </w:rPr>
        <w:t>4.</w:t>
      </w:r>
      <w:r w:rsidRPr="00E60427">
        <w:rPr>
          <w:bCs/>
          <w:noProof/>
          <w:color w:val="000000" w:themeColor="text1"/>
          <w:szCs w:val="24"/>
          <w:lang w:val="en-GB"/>
        </w:rPr>
        <w:tab/>
        <w:t xml:space="preserve">McKenna A, Hanna M, Banks E, Sivachenko A, Cibulskis K, Kernytsky A, et al. The Genome Analysis Toolkit: a MapReduce framework for analyzing next-generation DNA sequencing data. Genome Res. 2010;20(9):1297-303. </w:t>
      </w:r>
      <w:bookmarkEnd w:id="7"/>
    </w:p>
    <w:p w:rsidR="0008585E" w:rsidRPr="00E60427" w:rsidRDefault="0008585E" w:rsidP="0008585E">
      <w:pPr>
        <w:spacing w:after="0" w:line="240" w:lineRule="auto"/>
        <w:rPr>
          <w:bCs/>
          <w:noProof/>
          <w:color w:val="000000" w:themeColor="text1"/>
          <w:szCs w:val="24"/>
          <w:lang w:val="en-GB"/>
        </w:rPr>
      </w:pPr>
      <w:bookmarkStart w:id="8" w:name="_ENREF_5"/>
      <w:r w:rsidRPr="00E60427">
        <w:rPr>
          <w:bCs/>
          <w:noProof/>
          <w:color w:val="000000" w:themeColor="text1"/>
          <w:szCs w:val="24"/>
          <w:lang w:val="en-GB"/>
        </w:rPr>
        <w:t>5.</w:t>
      </w:r>
      <w:r w:rsidRPr="00E60427">
        <w:rPr>
          <w:bCs/>
          <w:noProof/>
          <w:color w:val="000000" w:themeColor="text1"/>
          <w:szCs w:val="24"/>
          <w:lang w:val="en-GB"/>
        </w:rPr>
        <w:tab/>
        <w:t>Van der Auwera GA, Carneiro MO, Hartl C, Poplin R, Del Angel G, Levy-Moonshine A, et al. From FastQ data to high confidence variant calls: the Genome Analysis Toolkit best practices pipeline. Curr Protoc Bioinformatics. 2013;43:11</w:t>
      </w:r>
      <w:r w:rsidR="002D1863">
        <w:rPr>
          <w:bCs/>
          <w:noProof/>
          <w:color w:val="000000" w:themeColor="text1"/>
          <w:szCs w:val="24"/>
          <w:lang w:val="en-GB"/>
        </w:rPr>
        <w:t>.1</w:t>
      </w:r>
      <w:r w:rsidRPr="00E60427">
        <w:rPr>
          <w:bCs/>
          <w:noProof/>
          <w:color w:val="000000" w:themeColor="text1"/>
          <w:szCs w:val="24"/>
          <w:lang w:val="en-GB"/>
        </w:rPr>
        <w:t>0</w:t>
      </w:r>
      <w:r w:rsidR="002D1863">
        <w:rPr>
          <w:bCs/>
          <w:noProof/>
          <w:color w:val="000000" w:themeColor="text1"/>
          <w:szCs w:val="24"/>
          <w:lang w:val="en-GB"/>
        </w:rPr>
        <w:t>.</w:t>
      </w:r>
      <w:r w:rsidRPr="00E60427">
        <w:rPr>
          <w:bCs/>
          <w:noProof/>
          <w:color w:val="000000" w:themeColor="text1"/>
          <w:szCs w:val="24"/>
          <w:lang w:val="en-GB"/>
        </w:rPr>
        <w:t xml:space="preserve">1-33. </w:t>
      </w:r>
      <w:bookmarkEnd w:id="8"/>
    </w:p>
    <w:p w:rsidR="0008585E" w:rsidRPr="00E60427" w:rsidRDefault="0008585E" w:rsidP="0008585E">
      <w:pPr>
        <w:spacing w:line="240" w:lineRule="auto"/>
        <w:rPr>
          <w:bCs/>
          <w:noProof/>
          <w:color w:val="000000" w:themeColor="text1"/>
          <w:szCs w:val="24"/>
          <w:lang w:val="en-GB"/>
        </w:rPr>
      </w:pPr>
      <w:bookmarkStart w:id="9" w:name="_ENREF_6"/>
      <w:r w:rsidRPr="00E60427">
        <w:rPr>
          <w:bCs/>
          <w:noProof/>
          <w:color w:val="000000" w:themeColor="text1"/>
          <w:szCs w:val="24"/>
          <w:lang w:val="en-GB"/>
        </w:rPr>
        <w:t>6.</w:t>
      </w:r>
      <w:r w:rsidRPr="00E60427">
        <w:rPr>
          <w:bCs/>
          <w:noProof/>
          <w:color w:val="000000" w:themeColor="text1"/>
          <w:szCs w:val="24"/>
          <w:lang w:val="en-GB"/>
        </w:rPr>
        <w:tab/>
        <w:t xml:space="preserve">Untergasser A, Cutcutache I, Koressaar T, Ye J, Faircloth BC, Remm M, et al. Primer3--new capabilities and interfaces. Nucleic Acids Res. 2012;40(15):e115. </w:t>
      </w:r>
      <w:bookmarkEnd w:id="9"/>
    </w:p>
    <w:p w:rsidR="00EB2242" w:rsidRDefault="00217AFD" w:rsidP="00230CD2">
      <w:pPr>
        <w:spacing w:after="0" w:line="480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fldChar w:fldCharType="end"/>
      </w:r>
    </w:p>
    <w:sectPr w:rsidR="00EB2242" w:rsidSect="00217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altic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C4768"/>
    <w:multiLevelType w:val="hybridMultilevel"/>
    <w:tmpl w:val="C6B826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[ ]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vx2w5wfye5xzqedzr4pxed9vewtztrtrtd2&quot;&gt;My EndNote Library2017&lt;record-ids&gt;&lt;item&gt;527&lt;/item&gt;&lt;item&gt;528&lt;/item&gt;&lt;item&gt;1947&lt;/item&gt;&lt;item&gt;2087&lt;/item&gt;&lt;item&gt;2088&lt;/item&gt;&lt;item&gt;2089&lt;/item&gt;&lt;/record-ids&gt;&lt;/item&gt;&lt;/Libraries&gt;"/>
    <w:docVar w:name="Total_Editing_Time" w:val="3"/>
  </w:docVars>
  <w:rsids>
    <w:rsidRoot w:val="00230CD2"/>
    <w:rsid w:val="000171F5"/>
    <w:rsid w:val="0008585E"/>
    <w:rsid w:val="001F0BDB"/>
    <w:rsid w:val="00217AFD"/>
    <w:rsid w:val="00230CD2"/>
    <w:rsid w:val="00256C69"/>
    <w:rsid w:val="002824FA"/>
    <w:rsid w:val="002D1863"/>
    <w:rsid w:val="00444B80"/>
    <w:rsid w:val="00494815"/>
    <w:rsid w:val="005418A1"/>
    <w:rsid w:val="006135C8"/>
    <w:rsid w:val="006C21AC"/>
    <w:rsid w:val="006C6F47"/>
    <w:rsid w:val="006E60C8"/>
    <w:rsid w:val="00767B23"/>
    <w:rsid w:val="007F50BA"/>
    <w:rsid w:val="008429EA"/>
    <w:rsid w:val="008C3CBE"/>
    <w:rsid w:val="0095238A"/>
    <w:rsid w:val="009A7C80"/>
    <w:rsid w:val="00A90B3F"/>
    <w:rsid w:val="00A968A5"/>
    <w:rsid w:val="00AF4FF4"/>
    <w:rsid w:val="00BB6DC9"/>
    <w:rsid w:val="00BE4991"/>
    <w:rsid w:val="00E60427"/>
    <w:rsid w:val="00EB2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D2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Times New Roman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7F50BA"/>
    <w:pPr>
      <w:autoSpaceDN/>
      <w:spacing w:before="100" w:beforeAutospacing="1" w:after="100" w:afterAutospacing="1" w:line="240" w:lineRule="auto"/>
      <w:textAlignment w:val="auto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50BA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230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CD2"/>
    <w:pPr>
      <w:autoSpaceDN/>
      <w:spacing w:after="160" w:line="240" w:lineRule="auto"/>
      <w:textAlignment w:val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CD2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CD2"/>
    <w:rPr>
      <w:rFonts w:ascii="Segoe UI" w:eastAsia="Times New Roman" w:hAnsi="Segoe UI" w:cs="Segoe UI"/>
      <w:sz w:val="18"/>
      <w:szCs w:val="18"/>
      <w:lang w:eastAsia="et-EE"/>
    </w:rPr>
  </w:style>
  <w:style w:type="paragraph" w:styleId="ListParagraph">
    <w:name w:val="List Paragraph"/>
    <w:basedOn w:val="Normal"/>
    <w:uiPriority w:val="34"/>
    <w:qFormat/>
    <w:rsid w:val="007F50BA"/>
    <w:pPr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7F50B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F50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0BA"/>
    <w:rPr>
      <w:rFonts w:ascii="Times New Roman" w:eastAsia="Times New Roman" w:hAnsi="Times New Roman" w:cs="Times New Roman"/>
      <w:lang w:eastAsia="et-E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0BA"/>
    <w:rPr>
      <w:rFonts w:ascii="Times New Roman" w:eastAsia="Times New Roman" w:hAnsi="Times New Roman" w:cs="Times New Roman"/>
      <w:b/>
      <w:bCs/>
      <w:sz w:val="20"/>
      <w:szCs w:val="20"/>
      <w:lang w:val="en-US"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0BA"/>
    <w:pPr>
      <w:autoSpaceDN w:val="0"/>
      <w:spacing w:after="200"/>
      <w:textAlignment w:val="baseline"/>
    </w:pPr>
    <w:rPr>
      <w:rFonts w:ascii="Times New Roman" w:eastAsia="Times New Roman" w:hAnsi="Times New Roman" w:cs="Times New Roman"/>
      <w:b/>
      <w:bCs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F50B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F50BA"/>
  </w:style>
  <w:style w:type="character" w:customStyle="1" w:styleId="apple-converted-space">
    <w:name w:val="apple-converted-space"/>
    <w:basedOn w:val="DefaultParagraphFont"/>
    <w:rsid w:val="007F50BA"/>
  </w:style>
  <w:style w:type="character" w:styleId="Emphasis">
    <w:name w:val="Emphasis"/>
    <w:basedOn w:val="DefaultParagraphFont"/>
    <w:uiPriority w:val="20"/>
    <w:qFormat/>
    <w:rsid w:val="007F50BA"/>
    <w:rPr>
      <w:i/>
      <w:iCs/>
    </w:rPr>
  </w:style>
  <w:style w:type="character" w:styleId="Strong">
    <w:name w:val="Strong"/>
    <w:basedOn w:val="DefaultParagraphFont"/>
    <w:uiPriority w:val="22"/>
    <w:qFormat/>
    <w:rsid w:val="007F50B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85E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1233</Words>
  <Characters>7489</Characters>
  <Application>Microsoft Office Word</Application>
  <DocSecurity>0</DocSecurity>
  <Lines>117</Lines>
  <Paragraphs>32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 Peters</dc:creator>
  <cp:keywords/>
  <dc:description/>
  <cp:lastModifiedBy>LACOSTA</cp:lastModifiedBy>
  <cp:revision>4</cp:revision>
  <cp:lastPrinted>2017-10-06T10:23:00Z</cp:lastPrinted>
  <dcterms:created xsi:type="dcterms:W3CDTF">2018-01-16T14:09:00Z</dcterms:created>
  <dcterms:modified xsi:type="dcterms:W3CDTF">2018-01-26T13:19:00Z</dcterms:modified>
</cp:coreProperties>
</file>