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1996"/>
        <w:tblW w:w="0" w:type="auto"/>
        <w:tblLook w:val="04A0" w:firstRow="1" w:lastRow="0" w:firstColumn="1" w:lastColumn="0" w:noHBand="0" w:noVBand="1"/>
      </w:tblPr>
      <w:tblGrid>
        <w:gridCol w:w="1226"/>
        <w:gridCol w:w="1177"/>
        <w:gridCol w:w="1283"/>
        <w:gridCol w:w="1236"/>
        <w:gridCol w:w="1117"/>
        <w:gridCol w:w="1125"/>
        <w:gridCol w:w="1192"/>
        <w:gridCol w:w="1125"/>
        <w:gridCol w:w="1196"/>
        <w:gridCol w:w="1184"/>
        <w:gridCol w:w="1089"/>
      </w:tblGrid>
      <w:tr w:rsidR="001246C4" w14:paraId="7F719FFA" w14:textId="77777777" w:rsidTr="00A87648">
        <w:tc>
          <w:tcPr>
            <w:tcW w:w="1226" w:type="dxa"/>
            <w:shd w:val="clear" w:color="auto" w:fill="E7E6E6" w:themeFill="background2"/>
            <w:vAlign w:val="center"/>
          </w:tcPr>
          <w:p w14:paraId="7BBA9353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7" w:type="dxa"/>
            <w:shd w:val="clear" w:color="auto" w:fill="E7E6E6" w:themeFill="background2"/>
            <w:vAlign w:val="center"/>
          </w:tcPr>
          <w:p w14:paraId="3FB2BEB4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83" w:type="dxa"/>
            <w:shd w:val="clear" w:color="auto" w:fill="E7E6E6" w:themeFill="background2"/>
            <w:vAlign w:val="center"/>
          </w:tcPr>
          <w:p w14:paraId="474ADA6E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36" w:type="dxa"/>
            <w:shd w:val="clear" w:color="auto" w:fill="E7E6E6" w:themeFill="background2"/>
            <w:vAlign w:val="center"/>
          </w:tcPr>
          <w:p w14:paraId="1DAA7C0A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17" w:type="dxa"/>
            <w:shd w:val="clear" w:color="auto" w:fill="E7E6E6" w:themeFill="background2"/>
            <w:vAlign w:val="center"/>
          </w:tcPr>
          <w:p w14:paraId="30654973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5" w:type="dxa"/>
            <w:shd w:val="clear" w:color="auto" w:fill="E7E6E6" w:themeFill="background2"/>
            <w:vAlign w:val="center"/>
          </w:tcPr>
          <w:p w14:paraId="38BF94FF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92" w:type="dxa"/>
            <w:shd w:val="clear" w:color="auto" w:fill="E7E6E6" w:themeFill="background2"/>
            <w:vAlign w:val="center"/>
          </w:tcPr>
          <w:p w14:paraId="28C3DAC5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25" w:type="dxa"/>
            <w:shd w:val="clear" w:color="auto" w:fill="E7E6E6" w:themeFill="background2"/>
            <w:vAlign w:val="center"/>
          </w:tcPr>
          <w:p w14:paraId="7CAC9320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96" w:type="dxa"/>
            <w:shd w:val="clear" w:color="auto" w:fill="E7E6E6" w:themeFill="background2"/>
            <w:vAlign w:val="center"/>
          </w:tcPr>
          <w:p w14:paraId="0395317C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84" w:type="dxa"/>
            <w:shd w:val="clear" w:color="auto" w:fill="E7E6E6" w:themeFill="background2"/>
            <w:vAlign w:val="center"/>
          </w:tcPr>
          <w:p w14:paraId="0D980318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089" w:type="dxa"/>
            <w:shd w:val="clear" w:color="auto" w:fill="E7E6E6" w:themeFill="background2"/>
            <w:vAlign w:val="center"/>
          </w:tcPr>
          <w:p w14:paraId="1BBB672B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1246C4" w14:paraId="28D44999" w14:textId="77777777" w:rsidTr="00A87648">
        <w:tc>
          <w:tcPr>
            <w:tcW w:w="1226" w:type="dxa"/>
            <w:shd w:val="clear" w:color="auto" w:fill="E7E6E6" w:themeFill="background2"/>
            <w:vAlign w:val="center"/>
          </w:tcPr>
          <w:p w14:paraId="45134556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E0283">
              <w:rPr>
                <w:rFonts w:ascii="Times New Roman" w:hAnsi="Times New Roman" w:cs="Times New Roman"/>
                <w:b/>
                <w:sz w:val="18"/>
                <w:szCs w:val="18"/>
              </w:rPr>
              <w:t>Lead Author, Publication Date</w:t>
            </w:r>
          </w:p>
        </w:tc>
        <w:tc>
          <w:tcPr>
            <w:tcW w:w="3696" w:type="dxa"/>
            <w:gridSpan w:val="3"/>
            <w:shd w:val="clear" w:color="auto" w:fill="E7E6E6" w:themeFill="background2"/>
            <w:vAlign w:val="center"/>
          </w:tcPr>
          <w:p w14:paraId="0F57D67A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Selection bias </w:t>
            </w:r>
          </w:p>
        </w:tc>
        <w:tc>
          <w:tcPr>
            <w:tcW w:w="2242" w:type="dxa"/>
            <w:gridSpan w:val="2"/>
            <w:shd w:val="clear" w:color="auto" w:fill="E7E6E6" w:themeFill="background2"/>
            <w:vAlign w:val="center"/>
          </w:tcPr>
          <w:p w14:paraId="37CBBED1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Performance bias </w:t>
            </w:r>
          </w:p>
        </w:tc>
        <w:tc>
          <w:tcPr>
            <w:tcW w:w="2317" w:type="dxa"/>
            <w:gridSpan w:val="2"/>
            <w:shd w:val="clear" w:color="auto" w:fill="E7E6E6" w:themeFill="background2"/>
            <w:vAlign w:val="center"/>
          </w:tcPr>
          <w:p w14:paraId="1E64301E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Detection bias </w:t>
            </w:r>
          </w:p>
        </w:tc>
        <w:tc>
          <w:tcPr>
            <w:tcW w:w="1196" w:type="dxa"/>
            <w:shd w:val="clear" w:color="auto" w:fill="E7E6E6" w:themeFill="background2"/>
            <w:vAlign w:val="center"/>
          </w:tcPr>
          <w:p w14:paraId="0496C0B9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Attrition bias </w:t>
            </w:r>
          </w:p>
        </w:tc>
        <w:tc>
          <w:tcPr>
            <w:tcW w:w="1184" w:type="dxa"/>
            <w:shd w:val="clear" w:color="auto" w:fill="E7E6E6" w:themeFill="background2"/>
            <w:vAlign w:val="center"/>
          </w:tcPr>
          <w:p w14:paraId="266C3A2C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b/>
                <w:sz w:val="18"/>
                <w:szCs w:val="18"/>
              </w:rPr>
              <w:t>Reporting bias</w:t>
            </w:r>
          </w:p>
        </w:tc>
        <w:tc>
          <w:tcPr>
            <w:tcW w:w="1089" w:type="dxa"/>
            <w:shd w:val="clear" w:color="auto" w:fill="E7E6E6" w:themeFill="background2"/>
            <w:vAlign w:val="center"/>
          </w:tcPr>
          <w:p w14:paraId="21006FF8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b/>
                <w:sz w:val="18"/>
                <w:szCs w:val="18"/>
              </w:rPr>
              <w:t>Other bias</w:t>
            </w:r>
          </w:p>
        </w:tc>
      </w:tr>
      <w:tr w:rsidR="001246C4" w14:paraId="50903238" w14:textId="77777777" w:rsidTr="00A87648">
        <w:trPr>
          <w:trHeight w:val="760"/>
        </w:trPr>
        <w:tc>
          <w:tcPr>
            <w:tcW w:w="1226" w:type="dxa"/>
            <w:shd w:val="clear" w:color="auto" w:fill="E7E6E6" w:themeFill="background2"/>
          </w:tcPr>
          <w:p w14:paraId="73183783" w14:textId="77777777" w:rsidR="001246C4" w:rsidRPr="00DE0283" w:rsidRDefault="001246C4" w:rsidP="00A87648">
            <w:pPr>
              <w:tabs>
                <w:tab w:val="left" w:pos="40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7" w:type="dxa"/>
          </w:tcPr>
          <w:p w14:paraId="0316A0FE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sz w:val="18"/>
                <w:szCs w:val="18"/>
              </w:rPr>
              <w:t>Sequence generation</w:t>
            </w:r>
          </w:p>
        </w:tc>
        <w:tc>
          <w:tcPr>
            <w:tcW w:w="1283" w:type="dxa"/>
          </w:tcPr>
          <w:p w14:paraId="162AE241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sz w:val="18"/>
                <w:szCs w:val="18"/>
              </w:rPr>
              <w:t>Baseline characteristics</w:t>
            </w:r>
          </w:p>
        </w:tc>
        <w:tc>
          <w:tcPr>
            <w:tcW w:w="1236" w:type="dxa"/>
          </w:tcPr>
          <w:p w14:paraId="06369104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sz w:val="18"/>
                <w:szCs w:val="18"/>
              </w:rPr>
              <w:t>Allocation concealment</w:t>
            </w:r>
          </w:p>
        </w:tc>
        <w:tc>
          <w:tcPr>
            <w:tcW w:w="1117" w:type="dxa"/>
          </w:tcPr>
          <w:p w14:paraId="7665EFD0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sz w:val="18"/>
                <w:szCs w:val="18"/>
              </w:rPr>
              <w:t>Random housing</w:t>
            </w:r>
          </w:p>
        </w:tc>
        <w:tc>
          <w:tcPr>
            <w:tcW w:w="1125" w:type="dxa"/>
          </w:tcPr>
          <w:p w14:paraId="3FADE298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sz w:val="18"/>
                <w:szCs w:val="18"/>
              </w:rPr>
              <w:t>Blinding</w:t>
            </w:r>
          </w:p>
        </w:tc>
        <w:tc>
          <w:tcPr>
            <w:tcW w:w="1192" w:type="dxa"/>
          </w:tcPr>
          <w:p w14:paraId="0CDAA794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sz w:val="18"/>
                <w:szCs w:val="18"/>
              </w:rPr>
              <w:t>Random outcome assessment</w:t>
            </w:r>
          </w:p>
        </w:tc>
        <w:tc>
          <w:tcPr>
            <w:tcW w:w="1125" w:type="dxa"/>
          </w:tcPr>
          <w:p w14:paraId="3B5BA1BF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sz w:val="18"/>
                <w:szCs w:val="18"/>
              </w:rPr>
              <w:t>Blinding</w:t>
            </w:r>
          </w:p>
        </w:tc>
        <w:tc>
          <w:tcPr>
            <w:tcW w:w="1196" w:type="dxa"/>
          </w:tcPr>
          <w:p w14:paraId="4558F314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sz w:val="18"/>
                <w:szCs w:val="18"/>
              </w:rPr>
              <w:t>Incomplete outcome data</w:t>
            </w:r>
          </w:p>
        </w:tc>
        <w:tc>
          <w:tcPr>
            <w:tcW w:w="1184" w:type="dxa"/>
          </w:tcPr>
          <w:p w14:paraId="0072262E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sz w:val="18"/>
                <w:szCs w:val="18"/>
              </w:rPr>
              <w:t>Selective outcome reporting</w:t>
            </w:r>
          </w:p>
        </w:tc>
        <w:tc>
          <w:tcPr>
            <w:tcW w:w="1089" w:type="dxa"/>
          </w:tcPr>
          <w:p w14:paraId="362F5302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283">
              <w:rPr>
                <w:rFonts w:ascii="Times New Roman" w:hAnsi="Times New Roman" w:cs="Times New Roman"/>
                <w:sz w:val="18"/>
                <w:szCs w:val="18"/>
              </w:rPr>
              <w:t>Other sources of bias</w:t>
            </w:r>
          </w:p>
        </w:tc>
      </w:tr>
      <w:tr w:rsidR="001246C4" w14:paraId="0AA61B85" w14:textId="77777777" w:rsidTr="00A87648">
        <w:tc>
          <w:tcPr>
            <w:tcW w:w="1226" w:type="dxa"/>
            <w:shd w:val="clear" w:color="auto" w:fill="E7E6E6" w:themeFill="background2"/>
            <w:vAlign w:val="center"/>
          </w:tcPr>
          <w:p w14:paraId="46E36004" w14:textId="6D9ADC7C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Chu et al. 2015</w:t>
            </w:r>
            <w:r w:rsidRPr="00B74DE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177" w:type="dxa"/>
          </w:tcPr>
          <w:p w14:paraId="1BE752D8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3" w:type="dxa"/>
          </w:tcPr>
          <w:p w14:paraId="1461F6B2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  <w:tc>
          <w:tcPr>
            <w:tcW w:w="1236" w:type="dxa"/>
          </w:tcPr>
          <w:p w14:paraId="0D41D66C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17" w:type="dxa"/>
          </w:tcPr>
          <w:p w14:paraId="31CB92D9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125" w:type="dxa"/>
          </w:tcPr>
          <w:p w14:paraId="69CD6FB6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2" w:type="dxa"/>
          </w:tcPr>
          <w:p w14:paraId="09439401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25" w:type="dxa"/>
          </w:tcPr>
          <w:p w14:paraId="009199A6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x</w:t>
            </w:r>
          </w:p>
        </w:tc>
        <w:tc>
          <w:tcPr>
            <w:tcW w:w="1196" w:type="dxa"/>
          </w:tcPr>
          <w:p w14:paraId="6CC01A04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  <w:tc>
          <w:tcPr>
            <w:tcW w:w="1184" w:type="dxa"/>
          </w:tcPr>
          <w:p w14:paraId="20B30BCF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  <w:tc>
          <w:tcPr>
            <w:tcW w:w="1089" w:type="dxa"/>
            <w:shd w:val="clear" w:color="auto" w:fill="auto"/>
          </w:tcPr>
          <w:p w14:paraId="0FD8C910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</w:tr>
      <w:tr w:rsidR="001246C4" w14:paraId="026FB448" w14:textId="77777777" w:rsidTr="00A87648">
        <w:tc>
          <w:tcPr>
            <w:tcW w:w="1226" w:type="dxa"/>
            <w:shd w:val="clear" w:color="auto" w:fill="E7E6E6" w:themeFill="background2"/>
            <w:vAlign w:val="center"/>
          </w:tcPr>
          <w:p w14:paraId="217A7358" w14:textId="2AE17AE5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Cordner</w:t>
            </w:r>
            <w:proofErr w:type="spellEnd"/>
            <w:r w:rsidRPr="00DE0283">
              <w:rPr>
                <w:rFonts w:ascii="Times New Roman" w:hAnsi="Times New Roman" w:cs="Times New Roman"/>
                <w:sz w:val="16"/>
                <w:szCs w:val="16"/>
              </w:rPr>
              <w:t xml:space="preserve"> et al. 2015</w:t>
            </w:r>
            <w:r w:rsidRPr="00B74DE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177" w:type="dxa"/>
          </w:tcPr>
          <w:p w14:paraId="71A7A905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283" w:type="dxa"/>
          </w:tcPr>
          <w:p w14:paraId="480C0B8B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  <w:tc>
          <w:tcPr>
            <w:tcW w:w="1236" w:type="dxa"/>
          </w:tcPr>
          <w:p w14:paraId="1123AE8A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17" w:type="dxa"/>
          </w:tcPr>
          <w:p w14:paraId="20EB8BD9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125" w:type="dxa"/>
          </w:tcPr>
          <w:p w14:paraId="0760C1A7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2" w:type="dxa"/>
          </w:tcPr>
          <w:p w14:paraId="25F1D187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25" w:type="dxa"/>
          </w:tcPr>
          <w:p w14:paraId="48FFE1D0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196" w:type="dxa"/>
          </w:tcPr>
          <w:p w14:paraId="1B86C421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184" w:type="dxa"/>
          </w:tcPr>
          <w:p w14:paraId="1C1ED81E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  <w:tc>
          <w:tcPr>
            <w:tcW w:w="1089" w:type="dxa"/>
            <w:shd w:val="clear" w:color="auto" w:fill="auto"/>
          </w:tcPr>
          <w:p w14:paraId="6655BE3A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</w:tr>
      <w:tr w:rsidR="001246C4" w14:paraId="7E8862F0" w14:textId="77777777" w:rsidTr="00A87648">
        <w:tc>
          <w:tcPr>
            <w:tcW w:w="1226" w:type="dxa"/>
            <w:shd w:val="clear" w:color="auto" w:fill="E7E6E6" w:themeFill="background2"/>
            <w:vAlign w:val="center"/>
          </w:tcPr>
          <w:p w14:paraId="1263CF47" w14:textId="21A524FD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Makhathini</w:t>
            </w:r>
            <w:proofErr w:type="spellEnd"/>
            <w:r w:rsidRPr="00DE0283">
              <w:rPr>
                <w:rFonts w:ascii="Times New Roman" w:hAnsi="Times New Roman" w:cs="Times New Roman"/>
                <w:sz w:val="16"/>
                <w:szCs w:val="16"/>
              </w:rPr>
              <w:t xml:space="preserve"> et al. 2017</w:t>
            </w:r>
            <w:r w:rsidRPr="00B74DE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177" w:type="dxa"/>
          </w:tcPr>
          <w:p w14:paraId="1A139537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3" w:type="dxa"/>
          </w:tcPr>
          <w:p w14:paraId="7C500EDB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  <w:tc>
          <w:tcPr>
            <w:tcW w:w="1236" w:type="dxa"/>
          </w:tcPr>
          <w:p w14:paraId="2656EA63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17" w:type="dxa"/>
          </w:tcPr>
          <w:p w14:paraId="6F6A9122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125" w:type="dxa"/>
          </w:tcPr>
          <w:p w14:paraId="664EB5E4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2" w:type="dxa"/>
          </w:tcPr>
          <w:p w14:paraId="74A4E56F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25" w:type="dxa"/>
          </w:tcPr>
          <w:p w14:paraId="7502CBF5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6" w:type="dxa"/>
          </w:tcPr>
          <w:p w14:paraId="075760EE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  <w:tc>
          <w:tcPr>
            <w:tcW w:w="1184" w:type="dxa"/>
          </w:tcPr>
          <w:p w14:paraId="3E2E45BB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  <w:tc>
          <w:tcPr>
            <w:tcW w:w="1089" w:type="dxa"/>
            <w:shd w:val="clear" w:color="auto" w:fill="auto"/>
          </w:tcPr>
          <w:p w14:paraId="1035E46A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</w:tr>
      <w:tr w:rsidR="001246C4" w14:paraId="34FC711D" w14:textId="77777777" w:rsidTr="00A87648">
        <w:tc>
          <w:tcPr>
            <w:tcW w:w="1226" w:type="dxa"/>
            <w:shd w:val="clear" w:color="auto" w:fill="E7E6E6" w:themeFill="background2"/>
            <w:vAlign w:val="center"/>
          </w:tcPr>
          <w:p w14:paraId="51488660" w14:textId="3485380F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Nanduri</w:t>
            </w:r>
            <w:proofErr w:type="spellEnd"/>
            <w:r w:rsidRPr="00DE0283">
              <w:rPr>
                <w:rFonts w:ascii="Times New Roman" w:hAnsi="Times New Roman" w:cs="Times New Roman"/>
                <w:sz w:val="16"/>
                <w:szCs w:val="16"/>
              </w:rPr>
              <w:t xml:space="preserve"> et al. 2012</w:t>
            </w:r>
            <w:r w:rsidRPr="00B74DE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77" w:type="dxa"/>
          </w:tcPr>
          <w:p w14:paraId="6657EE02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3" w:type="dxa"/>
          </w:tcPr>
          <w:p w14:paraId="5652BA76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36" w:type="dxa"/>
          </w:tcPr>
          <w:p w14:paraId="3EC824BF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17" w:type="dxa"/>
          </w:tcPr>
          <w:p w14:paraId="1F369219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125" w:type="dxa"/>
          </w:tcPr>
          <w:p w14:paraId="0B8F9357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2" w:type="dxa"/>
          </w:tcPr>
          <w:p w14:paraId="1E14244F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25" w:type="dxa"/>
          </w:tcPr>
          <w:p w14:paraId="05C1AAEB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6" w:type="dxa"/>
          </w:tcPr>
          <w:p w14:paraId="71C6A008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184" w:type="dxa"/>
          </w:tcPr>
          <w:p w14:paraId="6BF6489E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  <w:tc>
          <w:tcPr>
            <w:tcW w:w="1089" w:type="dxa"/>
            <w:shd w:val="clear" w:color="auto" w:fill="auto"/>
          </w:tcPr>
          <w:p w14:paraId="624CBD06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</w:tr>
      <w:tr w:rsidR="001246C4" w14:paraId="2CAA3D5E" w14:textId="77777777" w:rsidTr="00A87648">
        <w:tc>
          <w:tcPr>
            <w:tcW w:w="1226" w:type="dxa"/>
            <w:shd w:val="clear" w:color="auto" w:fill="E7E6E6" w:themeFill="background2"/>
            <w:vAlign w:val="center"/>
          </w:tcPr>
          <w:p w14:paraId="538C2885" w14:textId="1338DFD0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Nanduri</w:t>
            </w:r>
            <w:proofErr w:type="spellEnd"/>
            <w:r w:rsidRPr="00DE0283">
              <w:rPr>
                <w:rFonts w:ascii="Times New Roman" w:hAnsi="Times New Roman" w:cs="Times New Roman"/>
                <w:sz w:val="16"/>
                <w:szCs w:val="16"/>
              </w:rPr>
              <w:t xml:space="preserve"> et al. 2017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40</w:t>
            </w:r>
          </w:p>
        </w:tc>
        <w:tc>
          <w:tcPr>
            <w:tcW w:w="1177" w:type="dxa"/>
          </w:tcPr>
          <w:p w14:paraId="42FB5EFE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3" w:type="dxa"/>
          </w:tcPr>
          <w:p w14:paraId="40780699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  <w:tc>
          <w:tcPr>
            <w:tcW w:w="1236" w:type="dxa"/>
          </w:tcPr>
          <w:p w14:paraId="57A1EAA1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17" w:type="dxa"/>
          </w:tcPr>
          <w:p w14:paraId="79B31487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125" w:type="dxa"/>
          </w:tcPr>
          <w:p w14:paraId="66276A6A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2" w:type="dxa"/>
          </w:tcPr>
          <w:p w14:paraId="112A4997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25" w:type="dxa"/>
          </w:tcPr>
          <w:p w14:paraId="1E55DA9B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6" w:type="dxa"/>
          </w:tcPr>
          <w:p w14:paraId="5EB0415A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184" w:type="dxa"/>
          </w:tcPr>
          <w:p w14:paraId="2AC7F9C1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  <w:tc>
          <w:tcPr>
            <w:tcW w:w="1089" w:type="dxa"/>
            <w:shd w:val="clear" w:color="auto" w:fill="auto"/>
          </w:tcPr>
          <w:p w14:paraId="54C535B5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</w:tr>
      <w:tr w:rsidR="001246C4" w14:paraId="7703C4DA" w14:textId="77777777" w:rsidTr="00A87648">
        <w:tc>
          <w:tcPr>
            <w:tcW w:w="1226" w:type="dxa"/>
            <w:shd w:val="clear" w:color="auto" w:fill="E7E6E6" w:themeFill="background2"/>
            <w:vAlign w:val="center"/>
          </w:tcPr>
          <w:p w14:paraId="1A01061C" w14:textId="751CEBE0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Yang et al. 2015</w:t>
            </w:r>
            <w:r w:rsidRPr="00B74DE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77" w:type="dxa"/>
          </w:tcPr>
          <w:p w14:paraId="3454142C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3" w:type="dxa"/>
          </w:tcPr>
          <w:p w14:paraId="1896B813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36" w:type="dxa"/>
          </w:tcPr>
          <w:p w14:paraId="69206D71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17" w:type="dxa"/>
          </w:tcPr>
          <w:p w14:paraId="1C137F44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125" w:type="dxa"/>
          </w:tcPr>
          <w:p w14:paraId="330606CE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2" w:type="dxa"/>
          </w:tcPr>
          <w:p w14:paraId="093FE208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25" w:type="dxa"/>
          </w:tcPr>
          <w:p w14:paraId="72CF1489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6" w:type="dxa"/>
          </w:tcPr>
          <w:p w14:paraId="0D53BE7D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184" w:type="dxa"/>
          </w:tcPr>
          <w:p w14:paraId="60BF787B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  <w:tc>
          <w:tcPr>
            <w:tcW w:w="1089" w:type="dxa"/>
            <w:shd w:val="clear" w:color="auto" w:fill="auto"/>
          </w:tcPr>
          <w:p w14:paraId="2C7DF3EE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</w:tr>
      <w:tr w:rsidR="001246C4" w14:paraId="0A05CB94" w14:textId="77777777" w:rsidTr="00A87648">
        <w:tc>
          <w:tcPr>
            <w:tcW w:w="1226" w:type="dxa"/>
            <w:shd w:val="clear" w:color="auto" w:fill="E7E6E6" w:themeFill="background2"/>
            <w:vAlign w:val="center"/>
          </w:tcPr>
          <w:p w14:paraId="66A3E5C4" w14:textId="061D9712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Zhang et al. 2014</w:t>
            </w:r>
            <w:r w:rsidRPr="0075110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77" w:type="dxa"/>
          </w:tcPr>
          <w:p w14:paraId="38B272BC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283" w:type="dxa"/>
          </w:tcPr>
          <w:p w14:paraId="30E86AAB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  <w:tc>
          <w:tcPr>
            <w:tcW w:w="1236" w:type="dxa"/>
          </w:tcPr>
          <w:p w14:paraId="5F50E9D3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17" w:type="dxa"/>
          </w:tcPr>
          <w:p w14:paraId="3E273D56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125" w:type="dxa"/>
          </w:tcPr>
          <w:p w14:paraId="0268E57C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2" w:type="dxa"/>
          </w:tcPr>
          <w:p w14:paraId="0D388657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25" w:type="dxa"/>
          </w:tcPr>
          <w:p w14:paraId="4C86653D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6" w:type="dxa"/>
          </w:tcPr>
          <w:p w14:paraId="5AE6B761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  <w:tc>
          <w:tcPr>
            <w:tcW w:w="1184" w:type="dxa"/>
          </w:tcPr>
          <w:p w14:paraId="6015FA2C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  <w:tc>
          <w:tcPr>
            <w:tcW w:w="1089" w:type="dxa"/>
            <w:shd w:val="clear" w:color="auto" w:fill="auto"/>
          </w:tcPr>
          <w:p w14:paraId="462B6671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</w:tr>
      <w:tr w:rsidR="001246C4" w14:paraId="6C9EE8FE" w14:textId="77777777" w:rsidTr="00A87648">
        <w:tc>
          <w:tcPr>
            <w:tcW w:w="1226" w:type="dxa"/>
            <w:shd w:val="clear" w:color="auto" w:fill="E7E6E6" w:themeFill="background2"/>
            <w:vAlign w:val="center"/>
          </w:tcPr>
          <w:p w14:paraId="1B5FAE08" w14:textId="1A7742BF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Zhu et al. 2017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1177" w:type="dxa"/>
          </w:tcPr>
          <w:p w14:paraId="40A42466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283" w:type="dxa"/>
          </w:tcPr>
          <w:p w14:paraId="74153F6F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  <w:tc>
          <w:tcPr>
            <w:tcW w:w="1236" w:type="dxa"/>
          </w:tcPr>
          <w:p w14:paraId="6E2F721E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17" w:type="dxa"/>
          </w:tcPr>
          <w:p w14:paraId="2D39DF36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125" w:type="dxa"/>
          </w:tcPr>
          <w:p w14:paraId="2034ED44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2" w:type="dxa"/>
          </w:tcPr>
          <w:p w14:paraId="297F0A98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25" w:type="dxa"/>
          </w:tcPr>
          <w:p w14:paraId="09C6283D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6" w:type="dxa"/>
          </w:tcPr>
          <w:p w14:paraId="1202566C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  <w:tc>
          <w:tcPr>
            <w:tcW w:w="1184" w:type="dxa"/>
          </w:tcPr>
          <w:p w14:paraId="7EBA31CA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  <w:tc>
          <w:tcPr>
            <w:tcW w:w="1089" w:type="dxa"/>
            <w:shd w:val="clear" w:color="auto" w:fill="auto"/>
          </w:tcPr>
          <w:p w14:paraId="48151A4D" w14:textId="77777777" w:rsidR="001246C4" w:rsidRPr="00DE0283" w:rsidRDefault="001246C4" w:rsidP="00A87648">
            <w:pPr>
              <w:tabs>
                <w:tab w:val="left" w:pos="4060"/>
              </w:tabs>
              <w:jc w:val="center"/>
              <w:rPr>
                <w:rFonts w:ascii="Times New Roman" w:hAnsi="Times New Roman" w:cs="Times New Roman"/>
              </w:rPr>
            </w:pP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</w:p>
        </w:tc>
      </w:tr>
      <w:tr w:rsidR="001246C4" w14:paraId="3EDA1496" w14:textId="77777777" w:rsidTr="00A87648">
        <w:trPr>
          <w:trHeight w:val="2542"/>
        </w:trPr>
        <w:tc>
          <w:tcPr>
            <w:tcW w:w="12950" w:type="dxa"/>
            <w:gridSpan w:val="11"/>
            <w:shd w:val="clear" w:color="auto" w:fill="FFFFFF" w:themeFill="background1"/>
          </w:tcPr>
          <w:p w14:paraId="275D3D21" w14:textId="77777777" w:rsidR="001246C4" w:rsidRPr="00DE0283" w:rsidRDefault="001246C4" w:rsidP="001246C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</w:pP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1 </w:t>
            </w: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 = Adequate randomization</w:t>
            </w:r>
            <w:proofErr w:type="gramStart"/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; ?</w:t>
            </w:r>
            <w:proofErr w:type="gramEnd"/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 = randomized but no details; x = no evidence of randomization.</w:t>
            </w:r>
          </w:p>
          <w:p w14:paraId="3EFEE159" w14:textId="77777777" w:rsidR="001246C4" w:rsidRPr="00DE0283" w:rsidRDefault="001246C4" w:rsidP="001246C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</w:pP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2 </w:t>
            </w: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 = Baseline characteristics given; x = baseline characteristics not given.</w:t>
            </w:r>
          </w:p>
          <w:p w14:paraId="5317DC50" w14:textId="77777777" w:rsidR="001246C4" w:rsidRPr="00DE0283" w:rsidRDefault="001246C4" w:rsidP="001246C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</w:pP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3 </w:t>
            </w: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 = Evidence of adequate concealment of groups; x = no evidence of adequate concealment of groups.</w:t>
            </w:r>
          </w:p>
          <w:p w14:paraId="556BBFC1" w14:textId="77777777" w:rsidR="001246C4" w:rsidRPr="00DE0283" w:rsidRDefault="001246C4" w:rsidP="001246C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</w:pP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4 </w:t>
            </w: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 = Evidence of random housing of animals</w:t>
            </w:r>
            <w:proofErr w:type="gramStart"/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; ?</w:t>
            </w:r>
            <w:proofErr w:type="gramEnd"/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  = unknown housing arrangement.</w:t>
            </w:r>
          </w:p>
          <w:p w14:paraId="21A82F06" w14:textId="77777777" w:rsidR="001246C4" w:rsidRPr="00DE0283" w:rsidRDefault="001246C4" w:rsidP="001246C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</w:pP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5 </w:t>
            </w: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 = Evidence of caregivers blinded to intervention; x = no evidence of caregivers blinded to intervention.</w:t>
            </w:r>
          </w:p>
          <w:p w14:paraId="4C20BFD6" w14:textId="77777777" w:rsidR="001246C4" w:rsidRPr="00DE0283" w:rsidRDefault="001246C4" w:rsidP="001246C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</w:pP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6 </w:t>
            </w: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 = Evidence of random selection for assessment; x = no evidence of random selection for assessment.</w:t>
            </w:r>
          </w:p>
          <w:p w14:paraId="1F6C5999" w14:textId="77777777" w:rsidR="001246C4" w:rsidRPr="00DE0283" w:rsidRDefault="001246C4" w:rsidP="001246C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</w:pP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7 </w:t>
            </w: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 = Evidence of assessor blinded</w:t>
            </w:r>
            <w:proofErr w:type="gramStart"/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; ?</w:t>
            </w:r>
            <w:proofErr w:type="gramEnd"/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= assessor blinded for only one main outcome; x = no evidence of assessor blinded.</w:t>
            </w:r>
          </w:p>
          <w:p w14:paraId="1AB608CB" w14:textId="77777777" w:rsidR="001246C4" w:rsidRPr="00DE0283" w:rsidRDefault="001246C4" w:rsidP="001246C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</w:pP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8 </w:t>
            </w: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 = Explanation of missing animal data</w:t>
            </w:r>
            <w:proofErr w:type="gramStart"/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; ?</w:t>
            </w:r>
            <w:proofErr w:type="gramEnd"/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 xml:space="preserve"> = initial sample size of animals unknown; x = no explanation of missing animal data.</w:t>
            </w:r>
          </w:p>
          <w:p w14:paraId="547C0ECA" w14:textId="77777777" w:rsidR="001246C4" w:rsidRPr="00DE0283" w:rsidRDefault="001246C4" w:rsidP="001246C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</w:pP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9 </w:t>
            </w: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 = Free of selective reporting based on methods/results; x = selective reporting.</w:t>
            </w:r>
          </w:p>
          <w:p w14:paraId="36503A51" w14:textId="77777777" w:rsidR="001246C4" w:rsidRPr="00DE0283" w:rsidRDefault="001246C4" w:rsidP="001246C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</w:pP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10 </w:t>
            </w:r>
            <w:r w:rsidRPr="00DE0283">
              <w:rPr>
                <w:rFonts w:ascii="Segoe UI Symbol" w:eastAsia="Times New Roman" w:hAnsi="Segoe UI Symbol" w:cs="Segoe UI Symbol"/>
                <w:color w:val="222222"/>
                <w:spacing w:val="3"/>
                <w:sz w:val="18"/>
                <w:szCs w:val="18"/>
              </w:rPr>
              <w:t>✓</w:t>
            </w:r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 = Free of other high bias risk</w:t>
            </w:r>
            <w:proofErr w:type="gramStart"/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; ?</w:t>
            </w:r>
            <w:proofErr w:type="gramEnd"/>
            <w:r w:rsidRPr="00DE0283">
              <w:rPr>
                <w:rFonts w:ascii="Times New Roman" w:eastAsia="Times New Roman" w:hAnsi="Times New Roman" w:cs="Times New Roman"/>
                <w:color w:val="222222"/>
                <w:spacing w:val="3"/>
                <w:sz w:val="18"/>
                <w:szCs w:val="18"/>
              </w:rPr>
              <w:t> = insufficient data to determine risk of other bias.</w:t>
            </w:r>
          </w:p>
        </w:tc>
      </w:tr>
    </w:tbl>
    <w:p w14:paraId="79931B80" w14:textId="77777777" w:rsidR="001246C4" w:rsidRPr="00DE0283" w:rsidRDefault="001246C4" w:rsidP="001246C4">
      <w:pPr>
        <w:tabs>
          <w:tab w:val="left" w:pos="4060"/>
        </w:tabs>
        <w:rPr>
          <w:rFonts w:ascii="Times New Roman" w:hAnsi="Times New Roman" w:cs="Times New Roman"/>
          <w:b/>
          <w:sz w:val="20"/>
          <w:szCs w:val="20"/>
        </w:rPr>
      </w:pPr>
      <w:r w:rsidRPr="00DE0283">
        <w:rPr>
          <w:rFonts w:ascii="Times New Roman" w:hAnsi="Times New Roman" w:cs="Times New Roman"/>
          <w:b/>
          <w:sz w:val="20"/>
          <w:szCs w:val="20"/>
        </w:rPr>
        <w:t>Table S</w:t>
      </w:r>
      <w:r>
        <w:rPr>
          <w:rFonts w:ascii="Times New Roman" w:hAnsi="Times New Roman" w:cs="Times New Roman"/>
          <w:b/>
          <w:sz w:val="20"/>
          <w:szCs w:val="20"/>
        </w:rPr>
        <w:t>10</w:t>
      </w:r>
      <w:r w:rsidRPr="00DE0283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DE0283">
        <w:rPr>
          <w:rFonts w:ascii="Times New Roman" w:hAnsi="Times New Roman" w:cs="Times New Roman"/>
          <w:sz w:val="20"/>
          <w:szCs w:val="20"/>
        </w:rPr>
        <w:t>Risk of bias for animal studies.</w:t>
      </w:r>
    </w:p>
    <w:p w14:paraId="221E47C4" w14:textId="77777777" w:rsidR="004C4A46" w:rsidRDefault="001246C4"/>
    <w:sectPr w:rsidR="004C4A46" w:rsidSect="001246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44FF7"/>
    <w:multiLevelType w:val="multilevel"/>
    <w:tmpl w:val="1B3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6C4"/>
    <w:rsid w:val="001246C4"/>
    <w:rsid w:val="008B7FB4"/>
    <w:rsid w:val="00C9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47053"/>
  <w15:chartTrackingRefBased/>
  <w15:docId w15:val="{12609A61-5B88-4545-8202-87B9413E9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46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4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Vidrascu</dc:creator>
  <cp:keywords/>
  <dc:description/>
  <cp:lastModifiedBy>Elena Vidrascu</cp:lastModifiedBy>
  <cp:revision>1</cp:revision>
  <dcterms:created xsi:type="dcterms:W3CDTF">2019-01-19T18:05:00Z</dcterms:created>
  <dcterms:modified xsi:type="dcterms:W3CDTF">2019-01-19T18:05:00Z</dcterms:modified>
</cp:coreProperties>
</file>