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160"/>
        <w:gridCol w:w="1300"/>
        <w:gridCol w:w="1248"/>
        <w:gridCol w:w="1134"/>
        <w:gridCol w:w="1134"/>
        <w:gridCol w:w="1843"/>
        <w:gridCol w:w="1276"/>
        <w:gridCol w:w="1842"/>
        <w:gridCol w:w="1134"/>
        <w:gridCol w:w="993"/>
      </w:tblGrid>
      <w:tr w:rsidR="00E3088E" w:rsidRPr="00E3088E" w:rsidTr="00E3088E">
        <w:trPr>
          <w:trHeight w:val="320"/>
        </w:trPr>
        <w:tc>
          <w:tcPr>
            <w:tcW w:w="100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Table </w:t>
            </w:r>
            <w:r w:rsidR="002D30E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</w:t>
            </w: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1 Results of quality assessment of included studies using Newcastle-Ottawa Scale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E3088E" w:rsidRPr="00E3088E" w:rsidTr="00EC7D49">
        <w:trPr>
          <w:trHeight w:val="320"/>
        </w:trPr>
        <w:tc>
          <w:tcPr>
            <w:tcW w:w="21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First author </w:t>
            </w:r>
          </w:p>
        </w:tc>
        <w:tc>
          <w:tcPr>
            <w:tcW w:w="4816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Selection of cases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Comparability</w:t>
            </w:r>
          </w:p>
        </w:tc>
        <w:tc>
          <w:tcPr>
            <w:tcW w:w="4252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Exposure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Total</w:t>
            </w:r>
          </w:p>
        </w:tc>
      </w:tr>
      <w:tr w:rsidR="00E3088E" w:rsidRPr="00E3088E" w:rsidTr="00E3088E">
        <w:trPr>
          <w:trHeight w:val="1293"/>
        </w:trPr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Is the case definition adequate?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Representativeness of the cases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Selection of Controls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Definition of controls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Comparability of cases and controls on the basis of the design or analysis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Ascertainment of exposure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Same method of ascertainment for cases and controls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Non-Response rate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Schluter B (study on  risk)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Schluter B (study on  mortality)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Harding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Balding J (study on  risk)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Balding J (study on  mortality)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Treszl 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Barber RC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Ahrens 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Michalek 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McDaniel DO (study on african american)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4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McDaniel DO (study on caucasian)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Sipahi T (study on  risk)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Sipahi T (study on  mortality)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8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Baier RJ (study on  risk-afriacan american)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Baier RJ (study on  risk-caucasian)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8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Baier RJ (study on  mortality-afriacan american)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8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Baier RJ (study on  mortality-afriacan american)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Göpel 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6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Sabeinikovs 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5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Abdel-Hady H (study on  risk)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6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Abdel-Hady H (study on  mortality)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Solé-Violán 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 xml:space="preserve">Davis SM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Carregaro 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Accardo Palumbo 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Watanabe 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Martín-Loeches I (study on  risk)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5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Martín-Loeches I (study on  monrtality)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Feng 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6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Allam 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7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Lorente 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Mao ZR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  <w:tr w:rsidR="00E3088E" w:rsidRPr="00E3088E" w:rsidTr="00E3088E">
        <w:trPr>
          <w:trHeight w:val="280"/>
        </w:trPr>
        <w:tc>
          <w:tcPr>
            <w:tcW w:w="216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Jimenez-Sousa 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3088E" w:rsidRPr="00E3088E" w:rsidRDefault="00E3088E" w:rsidP="00E3088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E3088E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8</w:t>
            </w:r>
          </w:p>
        </w:tc>
      </w:tr>
    </w:tbl>
    <w:p w:rsidR="00E3088E" w:rsidRDefault="00E3088E">
      <w:pPr>
        <w:autoSpaceDE w:val="0"/>
        <w:autoSpaceDN w:val="0"/>
        <w:adjustRightInd w:val="0"/>
        <w:jc w:val="left"/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</w:rPr>
        <w:sectPr w:rsidR="00E3088E" w:rsidSect="00E3088E">
          <w:pgSz w:w="16840" w:h="11900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800"/>
        <w:gridCol w:w="3040"/>
        <w:gridCol w:w="3300"/>
      </w:tblGrid>
      <w:tr w:rsidR="004D4B53" w:rsidTr="004D4B53">
        <w:trPr>
          <w:trHeight w:val="320"/>
        </w:trPr>
        <w:tc>
          <w:tcPr>
            <w:tcW w:w="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Table S</w:t>
            </w:r>
            <w:r w:rsid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Summary of the studies with changed results after sensitivity analysis</w:t>
            </w:r>
          </w:p>
        </w:tc>
      </w:tr>
      <w:tr w:rsidR="004D4B53" w:rsidTr="004D4B53">
        <w:trPr>
          <w:trHeight w:val="600"/>
        </w:trPr>
        <w:tc>
          <w:tcPr>
            <w:tcW w:w="180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First author of the omitted study</w:t>
            </w:r>
          </w:p>
        </w:tc>
        <w:tc>
          <w:tcPr>
            <w:tcW w:w="304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Involved analysis</w:t>
            </w:r>
          </w:p>
        </w:tc>
        <w:tc>
          <w:tcPr>
            <w:tcW w:w="330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Effect</w:t>
            </w:r>
          </w:p>
        </w:tc>
      </w:tr>
      <w:tr w:rsidR="004D4B53" w:rsidTr="004D4B53">
        <w:trPr>
          <w:trHeight w:val="300"/>
        </w:trPr>
        <w:tc>
          <w:tcPr>
            <w:tcW w:w="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The relationship between </w:t>
            </w: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IL-6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-174G/C polymorphism and the mortality of sepsis</w:t>
            </w:r>
          </w:p>
        </w:tc>
      </w:tr>
      <w:tr w:rsidR="004D4B53" w:rsidTr="004D4B53">
        <w:trPr>
          <w:trHeight w:val="5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Sabeinikovs O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subgroup analysis on non-adult(CC vs. GG)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= 0.07, OR = 2.804, 95%CI: 0.921-8.541</w:t>
            </w:r>
          </w:p>
        </w:tc>
      </w:tr>
      <w:tr w:rsidR="004D4B53" w:rsidTr="004D4B53">
        <w:trPr>
          <w:trHeight w:val="5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subgroup analysis on non-adult(allelic model)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= 0.168, OR = 1.479, 95%CI: 0.848-2.578</w:t>
            </w:r>
          </w:p>
        </w:tc>
      </w:tr>
      <w:tr w:rsidR="004D4B53" w:rsidTr="004D4B53">
        <w:trPr>
          <w:trHeight w:val="5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Abdel-Hady H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subgroup analysis on non-adult(CC vs. GG)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= 0.057, OR = 2.456, 95%CI: 0.975-6.188</w:t>
            </w:r>
          </w:p>
        </w:tc>
      </w:tr>
      <w:tr w:rsidR="004D4B53" w:rsidTr="004D4B53">
        <w:trPr>
          <w:trHeight w:val="580"/>
        </w:trPr>
        <w:tc>
          <w:tcPr>
            <w:tcW w:w="180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subgroup analysis on non-adult(allelic model)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D4B53" w:rsidRDefault="004D4B53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 xml:space="preserve">P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= 0.136, OR = 1.398, 95%CI: 0.900-2.171</w:t>
            </w:r>
          </w:p>
        </w:tc>
      </w:tr>
    </w:tbl>
    <w:p w:rsidR="00286D77" w:rsidRDefault="00286D77"/>
    <w:p w:rsidR="00861EFE" w:rsidRDefault="00861EFE">
      <w:r>
        <w:br w:type="page"/>
      </w:r>
    </w:p>
    <w:tbl>
      <w:tblPr>
        <w:tblW w:w="878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731"/>
        <w:gridCol w:w="929"/>
        <w:gridCol w:w="1906"/>
        <w:gridCol w:w="814"/>
        <w:gridCol w:w="940"/>
        <w:gridCol w:w="1081"/>
        <w:gridCol w:w="1379"/>
      </w:tblGrid>
      <w:tr w:rsidR="00247A3D" w:rsidTr="00247A3D">
        <w:trPr>
          <w:trHeight w:val="56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Table S</w:t>
            </w:r>
            <w:r w:rsid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Results of meta-analysis on non-adults after excluding two studies discussing elder children</w:t>
            </w:r>
            <w:bookmarkStart w:id="0" w:name="_GoBack"/>
            <w:bookmarkEnd w:id="0"/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247A3D" w:rsidTr="00247A3D">
        <w:trPr>
          <w:trHeight w:val="340"/>
        </w:trPr>
        <w:tc>
          <w:tcPr>
            <w:tcW w:w="173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Meta-analysis</w:t>
            </w:r>
          </w:p>
        </w:tc>
        <w:tc>
          <w:tcPr>
            <w:tcW w:w="814" w:type="dxa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2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Heterogeneity test</w:t>
            </w:r>
          </w:p>
        </w:tc>
        <w:tc>
          <w:tcPr>
            <w:tcW w:w="137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Egger's test</w:t>
            </w:r>
          </w:p>
        </w:tc>
      </w:tr>
      <w:tr w:rsidR="00247A3D" w:rsidTr="00247A3D">
        <w:trPr>
          <w:trHeight w:val="580"/>
        </w:trPr>
        <w:tc>
          <w:tcPr>
            <w:tcW w:w="173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no. of studies</w:t>
            </w:r>
          </w:p>
        </w:tc>
        <w:tc>
          <w:tcPr>
            <w:tcW w:w="19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OR (95% CI)</w:t>
            </w:r>
          </w:p>
        </w:tc>
        <w:tc>
          <w:tcPr>
            <w:tcW w:w="81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9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I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37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</w:tr>
      <w:tr w:rsidR="00247A3D" w:rsidTr="00247A3D">
        <w:trPr>
          <w:trHeight w:val="300"/>
        </w:trPr>
        <w:tc>
          <w:tcPr>
            <w:tcW w:w="8780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The association between 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IL-6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-174G/C polymorphism and the risk of sepsis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a</w:t>
            </w:r>
          </w:p>
        </w:tc>
      </w:tr>
      <w:tr w:rsidR="00247A3D" w:rsidTr="00247A3D">
        <w:trPr>
          <w:trHeight w:val="30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GC+CC vs GG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0.745(0.415-1.336)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82.30%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0.132</w:t>
            </w:r>
          </w:p>
        </w:tc>
      </w:tr>
      <w:tr w:rsidR="00247A3D" w:rsidTr="00247A3D">
        <w:trPr>
          <w:trHeight w:val="30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 vs. GC+GG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0.943(0.665-1.338)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44.40%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0.728</w:t>
            </w:r>
          </w:p>
        </w:tc>
      </w:tr>
      <w:tr w:rsidR="00247A3D" w:rsidTr="00247A3D">
        <w:trPr>
          <w:trHeight w:val="30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GC vs. GG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0.825(0.451-1.511)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78.70%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0.198</w:t>
            </w:r>
          </w:p>
        </w:tc>
      </w:tr>
      <w:tr w:rsidR="00247A3D" w:rsidTr="00247A3D">
        <w:trPr>
          <w:trHeight w:val="300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CC vs.GG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0.792(0.335-1.874)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74.40%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0.581</w:t>
            </w:r>
          </w:p>
        </w:tc>
      </w:tr>
      <w:tr w:rsidR="00247A3D" w:rsidTr="00247A3D">
        <w:trPr>
          <w:trHeight w:val="320"/>
        </w:trPr>
        <w:tc>
          <w:tcPr>
            <w:tcW w:w="173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 vs. G</w:t>
            </w:r>
          </w:p>
        </w:tc>
        <w:tc>
          <w:tcPr>
            <w:tcW w:w="9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0.874(0.541-1.410)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83.80%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0.423</w:t>
            </w:r>
          </w:p>
        </w:tc>
      </w:tr>
      <w:tr w:rsidR="00247A3D" w:rsidTr="00247A3D">
        <w:trPr>
          <w:trHeight w:val="54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47A3D" w:rsidRDefault="00247A3D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The results remained unchanged in sensitivity analyses and trial sequential analysis indicated more studies were necessary to reach required sample size.  </w:t>
            </w:r>
          </w:p>
        </w:tc>
      </w:tr>
    </w:tbl>
    <w:p w:rsidR="001C7F18" w:rsidRDefault="001C7F18"/>
    <w:p w:rsidR="001C7F18" w:rsidRDefault="001C7F18">
      <w:pPr>
        <w:widowControl/>
        <w:jc w:val="left"/>
      </w:pPr>
      <w:r>
        <w:br w:type="page"/>
      </w:r>
    </w:p>
    <w:tbl>
      <w:tblPr>
        <w:tblW w:w="881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880"/>
        <w:gridCol w:w="985"/>
        <w:gridCol w:w="1701"/>
        <w:gridCol w:w="851"/>
        <w:gridCol w:w="992"/>
        <w:gridCol w:w="992"/>
        <w:gridCol w:w="1418"/>
      </w:tblGrid>
      <w:tr w:rsidR="00C54052" w:rsidTr="00C54052">
        <w:trPr>
          <w:trHeight w:val="280"/>
        </w:trPr>
        <w:tc>
          <w:tcPr>
            <w:tcW w:w="8819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Table S</w:t>
            </w:r>
            <w:r w:rsidR="00E3088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. Results of meta-analysis after including the study by Reiman.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ab/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ab/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ab/>
            </w:r>
          </w:p>
        </w:tc>
      </w:tr>
      <w:tr w:rsidR="00C54052" w:rsidTr="00C54052">
        <w:trPr>
          <w:trHeight w:val="340"/>
        </w:trPr>
        <w:tc>
          <w:tcPr>
            <w:tcW w:w="188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37" w:type="dxa"/>
            <w:gridSpan w:val="3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Meta-analysis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Heterogeneity test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Egger's test</w:t>
            </w:r>
          </w:p>
        </w:tc>
      </w:tr>
      <w:tr w:rsidR="00C54052" w:rsidTr="00C54052">
        <w:trPr>
          <w:trHeight w:val="500"/>
        </w:trPr>
        <w:tc>
          <w:tcPr>
            <w:tcW w:w="18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no. of studies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OR (95% CI)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I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</w:tr>
      <w:tr w:rsidR="00C54052" w:rsidTr="00C54052">
        <w:trPr>
          <w:trHeight w:val="300"/>
        </w:trPr>
        <w:tc>
          <w:tcPr>
            <w:tcW w:w="8819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The association between 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 xml:space="preserve">IL-6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-174G/C polymorphism and the risk of sepsis</w:t>
            </w:r>
          </w:p>
        </w:tc>
      </w:tr>
      <w:tr w:rsidR="00C54052" w:rsidTr="00C54052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Overall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DengXian" w:eastAsia="DengXian" w:hAnsi="Times New Roman" w:cs="DengXian"/>
                <w:color w:val="000000"/>
                <w:kern w:val="0"/>
                <w:sz w:val="22"/>
                <w:szCs w:val="22"/>
              </w:rPr>
            </w:pPr>
          </w:p>
        </w:tc>
      </w:tr>
      <w:tr w:rsidR="00C54052" w:rsidTr="00C54052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CC vs. GC+GG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1.060(0.769-1.462)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0.723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74.70%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</w:tr>
      <w:tr w:rsidR="00C54052" w:rsidTr="00C54052">
        <w:trPr>
          <w:trHeight w:val="300"/>
        </w:trPr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Non-adult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54052" w:rsidTr="00C54052">
        <w:trPr>
          <w:trHeight w:val="32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CC vs. GC+GG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0.785(0.614-1.003)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0.053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41.50%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0.337</w:t>
            </w:r>
          </w:p>
        </w:tc>
      </w:tr>
      <w:tr w:rsidR="00C54052" w:rsidTr="00C54052">
        <w:trPr>
          <w:trHeight w:val="300"/>
        </w:trPr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C54052" w:rsidTr="00C54052">
        <w:trPr>
          <w:trHeight w:val="320"/>
        </w:trPr>
        <w:tc>
          <w:tcPr>
            <w:tcW w:w="188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CC vs. GC+GG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0.892(0.771-1.033)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6.70%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0.376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C54052" w:rsidRDefault="00C54052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2"/>
              </w:rPr>
              <w:t>0.712</w:t>
            </w:r>
          </w:p>
        </w:tc>
      </w:tr>
    </w:tbl>
    <w:p w:rsidR="00247A3D" w:rsidRPr="001C7F18" w:rsidRDefault="00247A3D"/>
    <w:sectPr w:rsidR="00247A3D" w:rsidRPr="001C7F18" w:rsidSect="00962D9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53"/>
    <w:rsid w:val="0001022B"/>
    <w:rsid w:val="000219B2"/>
    <w:rsid w:val="00060D4F"/>
    <w:rsid w:val="00060DCB"/>
    <w:rsid w:val="00067DD1"/>
    <w:rsid w:val="00092256"/>
    <w:rsid w:val="00094570"/>
    <w:rsid w:val="000B513E"/>
    <w:rsid w:val="000F4CFB"/>
    <w:rsid w:val="00115E8B"/>
    <w:rsid w:val="00165E29"/>
    <w:rsid w:val="00166CCA"/>
    <w:rsid w:val="0018115F"/>
    <w:rsid w:val="00183E81"/>
    <w:rsid w:val="001A68DE"/>
    <w:rsid w:val="001A775B"/>
    <w:rsid w:val="001B4D45"/>
    <w:rsid w:val="001B6ECC"/>
    <w:rsid w:val="001B744B"/>
    <w:rsid w:val="001C3360"/>
    <w:rsid w:val="001C7F18"/>
    <w:rsid w:val="002006DB"/>
    <w:rsid w:val="00203540"/>
    <w:rsid w:val="00203E2C"/>
    <w:rsid w:val="00215627"/>
    <w:rsid w:val="00215942"/>
    <w:rsid w:val="002214F6"/>
    <w:rsid w:val="00225904"/>
    <w:rsid w:val="00232B25"/>
    <w:rsid w:val="00247A3D"/>
    <w:rsid w:val="00250E13"/>
    <w:rsid w:val="00256C9E"/>
    <w:rsid w:val="00282D61"/>
    <w:rsid w:val="00286D77"/>
    <w:rsid w:val="002976A1"/>
    <w:rsid w:val="002A498E"/>
    <w:rsid w:val="002A7F82"/>
    <w:rsid w:val="002B09EA"/>
    <w:rsid w:val="002C7089"/>
    <w:rsid w:val="002D0F3B"/>
    <w:rsid w:val="002D30EE"/>
    <w:rsid w:val="002E0FB9"/>
    <w:rsid w:val="002E29FB"/>
    <w:rsid w:val="002E358D"/>
    <w:rsid w:val="002F13D3"/>
    <w:rsid w:val="002F4D5A"/>
    <w:rsid w:val="00322A5B"/>
    <w:rsid w:val="00327EE2"/>
    <w:rsid w:val="0034459D"/>
    <w:rsid w:val="0035295C"/>
    <w:rsid w:val="00354753"/>
    <w:rsid w:val="0035775A"/>
    <w:rsid w:val="00362E46"/>
    <w:rsid w:val="003712DD"/>
    <w:rsid w:val="00392DBB"/>
    <w:rsid w:val="003A111E"/>
    <w:rsid w:val="003A1369"/>
    <w:rsid w:val="003A18EA"/>
    <w:rsid w:val="003A3AEC"/>
    <w:rsid w:val="003A68EC"/>
    <w:rsid w:val="003A7ABF"/>
    <w:rsid w:val="003A7C0F"/>
    <w:rsid w:val="003B5465"/>
    <w:rsid w:val="003C35BD"/>
    <w:rsid w:val="003C5A56"/>
    <w:rsid w:val="003D0D05"/>
    <w:rsid w:val="003D2800"/>
    <w:rsid w:val="00420E97"/>
    <w:rsid w:val="004458CA"/>
    <w:rsid w:val="004519A4"/>
    <w:rsid w:val="0045207A"/>
    <w:rsid w:val="00456C2C"/>
    <w:rsid w:val="004631C9"/>
    <w:rsid w:val="00482F37"/>
    <w:rsid w:val="00483AC4"/>
    <w:rsid w:val="004A7DC2"/>
    <w:rsid w:val="004B1592"/>
    <w:rsid w:val="004B33B0"/>
    <w:rsid w:val="004B456D"/>
    <w:rsid w:val="004D4B53"/>
    <w:rsid w:val="004F75F9"/>
    <w:rsid w:val="005033AE"/>
    <w:rsid w:val="00520871"/>
    <w:rsid w:val="00532A93"/>
    <w:rsid w:val="00537937"/>
    <w:rsid w:val="005414B2"/>
    <w:rsid w:val="00541F08"/>
    <w:rsid w:val="00563AF7"/>
    <w:rsid w:val="00582E1D"/>
    <w:rsid w:val="0058485A"/>
    <w:rsid w:val="00593854"/>
    <w:rsid w:val="0059693B"/>
    <w:rsid w:val="005B2095"/>
    <w:rsid w:val="005B2EE3"/>
    <w:rsid w:val="005B59EE"/>
    <w:rsid w:val="005D5525"/>
    <w:rsid w:val="005E04A6"/>
    <w:rsid w:val="005E57B6"/>
    <w:rsid w:val="005E76FC"/>
    <w:rsid w:val="00606D88"/>
    <w:rsid w:val="0060728D"/>
    <w:rsid w:val="006116B2"/>
    <w:rsid w:val="00634F33"/>
    <w:rsid w:val="006372CB"/>
    <w:rsid w:val="00642F99"/>
    <w:rsid w:val="00662965"/>
    <w:rsid w:val="0066680C"/>
    <w:rsid w:val="00681161"/>
    <w:rsid w:val="00697447"/>
    <w:rsid w:val="00697EDB"/>
    <w:rsid w:val="00704EDF"/>
    <w:rsid w:val="00710EFD"/>
    <w:rsid w:val="0073107A"/>
    <w:rsid w:val="007615E6"/>
    <w:rsid w:val="007644F1"/>
    <w:rsid w:val="00770522"/>
    <w:rsid w:val="00777197"/>
    <w:rsid w:val="00785CD0"/>
    <w:rsid w:val="00786576"/>
    <w:rsid w:val="007B665A"/>
    <w:rsid w:val="007D385D"/>
    <w:rsid w:val="007E4196"/>
    <w:rsid w:val="007E64A7"/>
    <w:rsid w:val="008013C2"/>
    <w:rsid w:val="00814967"/>
    <w:rsid w:val="00823700"/>
    <w:rsid w:val="00827D7E"/>
    <w:rsid w:val="00830FE1"/>
    <w:rsid w:val="008448F1"/>
    <w:rsid w:val="00855F92"/>
    <w:rsid w:val="008603F8"/>
    <w:rsid w:val="00861EFE"/>
    <w:rsid w:val="00873892"/>
    <w:rsid w:val="008925B4"/>
    <w:rsid w:val="008965A1"/>
    <w:rsid w:val="008B29DF"/>
    <w:rsid w:val="008C3851"/>
    <w:rsid w:val="008F03E8"/>
    <w:rsid w:val="008F5306"/>
    <w:rsid w:val="008F67BF"/>
    <w:rsid w:val="009100A9"/>
    <w:rsid w:val="0091331C"/>
    <w:rsid w:val="00913974"/>
    <w:rsid w:val="00924C1C"/>
    <w:rsid w:val="009400A9"/>
    <w:rsid w:val="00940B38"/>
    <w:rsid w:val="00954C89"/>
    <w:rsid w:val="00962D91"/>
    <w:rsid w:val="00964AFE"/>
    <w:rsid w:val="00975B55"/>
    <w:rsid w:val="009767B2"/>
    <w:rsid w:val="00976836"/>
    <w:rsid w:val="009806C7"/>
    <w:rsid w:val="00992119"/>
    <w:rsid w:val="009A2FDE"/>
    <w:rsid w:val="009D1135"/>
    <w:rsid w:val="009D12DA"/>
    <w:rsid w:val="009F704D"/>
    <w:rsid w:val="00A32412"/>
    <w:rsid w:val="00A33C7B"/>
    <w:rsid w:val="00A346F1"/>
    <w:rsid w:val="00A37089"/>
    <w:rsid w:val="00A430BB"/>
    <w:rsid w:val="00A5178B"/>
    <w:rsid w:val="00A52222"/>
    <w:rsid w:val="00A64BC8"/>
    <w:rsid w:val="00A6523C"/>
    <w:rsid w:val="00A70EB5"/>
    <w:rsid w:val="00A74B90"/>
    <w:rsid w:val="00A84139"/>
    <w:rsid w:val="00A97950"/>
    <w:rsid w:val="00AA5230"/>
    <w:rsid w:val="00AD08E6"/>
    <w:rsid w:val="00AF3FBB"/>
    <w:rsid w:val="00AF6D3E"/>
    <w:rsid w:val="00B14846"/>
    <w:rsid w:val="00B179E9"/>
    <w:rsid w:val="00B279AB"/>
    <w:rsid w:val="00B54730"/>
    <w:rsid w:val="00B75155"/>
    <w:rsid w:val="00B91CF9"/>
    <w:rsid w:val="00BB78A8"/>
    <w:rsid w:val="00BD2182"/>
    <w:rsid w:val="00BD2A48"/>
    <w:rsid w:val="00BF5D41"/>
    <w:rsid w:val="00C05208"/>
    <w:rsid w:val="00C06307"/>
    <w:rsid w:val="00C2246A"/>
    <w:rsid w:val="00C24159"/>
    <w:rsid w:val="00C269FD"/>
    <w:rsid w:val="00C32229"/>
    <w:rsid w:val="00C37C4F"/>
    <w:rsid w:val="00C37DA9"/>
    <w:rsid w:val="00C456E5"/>
    <w:rsid w:val="00C50614"/>
    <w:rsid w:val="00C54052"/>
    <w:rsid w:val="00C561E9"/>
    <w:rsid w:val="00C567C7"/>
    <w:rsid w:val="00C5782C"/>
    <w:rsid w:val="00C614AB"/>
    <w:rsid w:val="00C83866"/>
    <w:rsid w:val="00CA137B"/>
    <w:rsid w:val="00CB01FB"/>
    <w:rsid w:val="00CE1790"/>
    <w:rsid w:val="00CF1916"/>
    <w:rsid w:val="00D323A2"/>
    <w:rsid w:val="00D45AB5"/>
    <w:rsid w:val="00D47751"/>
    <w:rsid w:val="00D729C6"/>
    <w:rsid w:val="00D746C3"/>
    <w:rsid w:val="00D75F16"/>
    <w:rsid w:val="00D87F53"/>
    <w:rsid w:val="00DA6EE6"/>
    <w:rsid w:val="00DB4C8C"/>
    <w:rsid w:val="00DC4157"/>
    <w:rsid w:val="00DC4965"/>
    <w:rsid w:val="00DD1397"/>
    <w:rsid w:val="00E146DB"/>
    <w:rsid w:val="00E213FA"/>
    <w:rsid w:val="00E3088E"/>
    <w:rsid w:val="00E41B92"/>
    <w:rsid w:val="00E51BF0"/>
    <w:rsid w:val="00E51E0A"/>
    <w:rsid w:val="00E55AC3"/>
    <w:rsid w:val="00EA126A"/>
    <w:rsid w:val="00EA78AC"/>
    <w:rsid w:val="00EC22F2"/>
    <w:rsid w:val="00F14AE1"/>
    <w:rsid w:val="00F37A5C"/>
    <w:rsid w:val="00F45E42"/>
    <w:rsid w:val="00F503B5"/>
    <w:rsid w:val="00F541B1"/>
    <w:rsid w:val="00F74E49"/>
    <w:rsid w:val="00F86631"/>
    <w:rsid w:val="00FB4EE4"/>
    <w:rsid w:val="00F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78498"/>
  <w15:chartTrackingRefBased/>
  <w15:docId w15:val="{C3AFA5E2-3C61-0044-B3B8-ECD95ED8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A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9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C2C0B3-CF82-F74F-A758-271AF2D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9</cp:revision>
  <dcterms:created xsi:type="dcterms:W3CDTF">2019-01-25T14:05:00Z</dcterms:created>
  <dcterms:modified xsi:type="dcterms:W3CDTF">2019-01-27T07:43:00Z</dcterms:modified>
</cp:coreProperties>
</file>