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F0" w:rsidRPr="00E04CDE" w:rsidRDefault="002645C3" w:rsidP="00562063">
      <w:pPr>
        <w:adjustRightInd w:val="0"/>
        <w:snapToGrid w:val="0"/>
        <w:jc w:val="left"/>
        <w:rPr>
          <w:rFonts w:ascii="Times New Roman" w:eastAsia="宋体" w:hAnsi="Times New Roman" w:cs="Verdana"/>
          <w:color w:val="000000" w:themeColor="text1"/>
          <w:shd w:val="clear" w:color="auto" w:fill="FFFFFF"/>
        </w:rPr>
      </w:pPr>
      <w:r>
        <w:rPr>
          <w:rFonts w:ascii="Times New Roman" w:eastAsia="宋体" w:hAnsi="Times New Roman" w:cs="Verdana" w:hint="eastAsia"/>
          <w:color w:val="000000" w:themeColor="text1"/>
          <w:shd w:val="clear" w:color="auto" w:fill="FFFFFF"/>
        </w:rPr>
        <w:t>T</w:t>
      </w:r>
      <w:r w:rsidR="00F91BF0"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 xml:space="preserve">able </w:t>
      </w:r>
      <w:r w:rsidR="00B91C31">
        <w:rPr>
          <w:rFonts w:ascii="Times New Roman" w:eastAsia="宋体" w:hAnsi="Times New Roman" w:cs="Verdana"/>
          <w:color w:val="000000" w:themeColor="text1"/>
          <w:shd w:val="clear" w:color="auto" w:fill="FFFFFF"/>
        </w:rPr>
        <w:t>S</w:t>
      </w:r>
      <w:r w:rsidR="00F91BF0">
        <w:rPr>
          <w:rFonts w:ascii="Times New Roman" w:eastAsia="宋体" w:hAnsi="Times New Roman" w:cs="Verdana"/>
          <w:color w:val="000000" w:themeColor="text1"/>
          <w:shd w:val="clear" w:color="auto" w:fill="FFFFFF"/>
        </w:rPr>
        <w:t>1</w:t>
      </w:r>
      <w:r w:rsidR="00F91BF0"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 xml:space="preserve">. Usage of antihypertensive drugs and antihyperlipidimic agents </w:t>
      </w:r>
    </w:p>
    <w:tbl>
      <w:tblPr>
        <w:tblW w:w="1062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3"/>
        <w:gridCol w:w="1537"/>
        <w:gridCol w:w="1482"/>
        <w:gridCol w:w="1887"/>
        <w:gridCol w:w="1026"/>
      </w:tblGrid>
      <w:tr w:rsidR="00F91BF0" w:rsidRPr="00E04CDE" w:rsidTr="004556D4">
        <w:trPr>
          <w:trHeight w:val="227"/>
          <w:jc w:val="center"/>
        </w:trPr>
        <w:tc>
          <w:tcPr>
            <w:tcW w:w="4693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left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Characteristics</w:t>
            </w:r>
          </w:p>
        </w:tc>
        <w:tc>
          <w:tcPr>
            <w:tcW w:w="5932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eGFR classifications</w:t>
            </w:r>
          </w:p>
        </w:tc>
      </w:tr>
      <w:tr w:rsidR="00F91BF0" w:rsidRPr="00E04CDE" w:rsidTr="004556D4">
        <w:trPr>
          <w:trHeight w:val="227"/>
          <w:jc w:val="center"/>
        </w:trPr>
        <w:tc>
          <w:tcPr>
            <w:tcW w:w="4693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left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</w:p>
        </w:tc>
        <w:tc>
          <w:tcPr>
            <w:tcW w:w="15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MRGFR (n=1479)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NGFR (n=1213)</w:t>
            </w:r>
          </w:p>
        </w:tc>
        <w:tc>
          <w:tcPr>
            <w:tcW w:w="1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Hyperfiltration (n=300)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P-value</w:t>
            </w:r>
          </w:p>
        </w:tc>
      </w:tr>
      <w:tr w:rsidR="00F91BF0" w:rsidRPr="00E04CDE" w:rsidTr="004556D4">
        <w:trPr>
          <w:trHeight w:val="227"/>
          <w:jc w:val="center"/>
        </w:trPr>
        <w:tc>
          <w:tcPr>
            <w:tcW w:w="4693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left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Use of ACE inhibitors or ARB, n (%)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87 (5.9)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54 (4.6)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18 (4.9)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0.635</w:t>
            </w:r>
          </w:p>
        </w:tc>
      </w:tr>
      <w:tr w:rsidR="00F91BF0" w:rsidRPr="00E04CDE" w:rsidTr="004556D4">
        <w:trPr>
          <w:trHeight w:val="227"/>
          <w:jc w:val="center"/>
        </w:trPr>
        <w:tc>
          <w:tcPr>
            <w:tcW w:w="4693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left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Use of Diuretic, n (%)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40 (2.7)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25(2.1)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7 (2.3)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0.875</w:t>
            </w:r>
          </w:p>
        </w:tc>
      </w:tr>
      <w:tr w:rsidR="00F91BF0" w:rsidRPr="00E04CDE" w:rsidTr="004556D4">
        <w:trPr>
          <w:trHeight w:val="227"/>
          <w:jc w:val="center"/>
        </w:trPr>
        <w:tc>
          <w:tcPr>
            <w:tcW w:w="4693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left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Use of CCB, n (%)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230(15.7)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194(16.0)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56 (18.6)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0.546</w:t>
            </w:r>
          </w:p>
        </w:tc>
      </w:tr>
      <w:tr w:rsidR="00F91BF0" w:rsidRPr="00E04CDE" w:rsidTr="004556D4">
        <w:trPr>
          <w:trHeight w:val="227"/>
          <w:jc w:val="center"/>
        </w:trPr>
        <w:tc>
          <w:tcPr>
            <w:tcW w:w="4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left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Use of Antihyperlipidimic agents, n (%)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150 (10.1)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109(9.1)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32 (10.7)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BF0" w:rsidRPr="00E04CDE" w:rsidRDefault="00F91BF0" w:rsidP="004556D4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0.454</w:t>
            </w:r>
          </w:p>
        </w:tc>
      </w:tr>
    </w:tbl>
    <w:p w:rsidR="00F91BF0" w:rsidRDefault="00F91BF0" w:rsidP="00562063">
      <w:pPr>
        <w:adjustRightInd w:val="0"/>
        <w:snapToGrid w:val="0"/>
        <w:jc w:val="left"/>
        <w:rPr>
          <w:rFonts w:ascii="Times New Roman" w:eastAsia="宋体" w:hAnsi="Times New Roman" w:cs="Verdana"/>
          <w:color w:val="000000" w:themeColor="text1"/>
          <w:shd w:val="clear" w:color="auto" w:fill="FFFFFF"/>
        </w:rPr>
      </w:pPr>
      <w:r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 xml:space="preserve">Notes: eGFR, estimated glomerular filtration rate; NGFR, </w:t>
      </w:r>
      <w:r w:rsidR="003501CB"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>normal</w:t>
      </w:r>
      <w:r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 xml:space="preserve"> eGFR; MRGFR, </w:t>
      </w:r>
      <w:r w:rsidR="003501CB"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>mildly</w:t>
      </w:r>
      <w:r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 xml:space="preserve"> reduced GFR; The eGFR Classifications of NGFR, MRGFR and hyperfiltration were in definitions. ARB: angiotensin receptor blocker; CCB: calcium channel blockers.</w:t>
      </w:r>
    </w:p>
    <w:p w:rsidR="00707AD2" w:rsidRPr="00E04CDE" w:rsidRDefault="00F91BF0" w:rsidP="00707AD2">
      <w:pPr>
        <w:widowControl/>
        <w:autoSpaceDE w:val="0"/>
        <w:autoSpaceDN w:val="0"/>
        <w:adjustRightInd w:val="0"/>
        <w:snapToGrid w:val="0"/>
        <w:jc w:val="left"/>
        <w:rPr>
          <w:rFonts w:ascii="Times New Roman" w:eastAsia="宋体" w:hAnsi="Times New Roman" w:cs="Verdana"/>
          <w:color w:val="000000" w:themeColor="text1"/>
          <w:shd w:val="clear" w:color="auto" w:fill="FFFFFF"/>
        </w:rPr>
      </w:pPr>
      <w:r>
        <w:rPr>
          <w:rFonts w:ascii="Times New Roman" w:eastAsia="宋体" w:hAnsi="Times New Roman" w:cs="Verdana"/>
          <w:color w:val="000000" w:themeColor="text1"/>
          <w:shd w:val="clear" w:color="auto" w:fill="FFFFFF"/>
        </w:rPr>
        <w:br w:type="column"/>
      </w:r>
      <w:r w:rsidR="00707AD2"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lastRenderedPageBreak/>
        <w:t xml:space="preserve"> </w:t>
      </w:r>
    </w:p>
    <w:p w:rsidR="00F91BF0" w:rsidRPr="00E04CDE" w:rsidRDefault="00796467" w:rsidP="00562063">
      <w:pPr>
        <w:adjustRightInd w:val="0"/>
        <w:snapToGrid w:val="0"/>
        <w:jc w:val="left"/>
        <w:rPr>
          <w:rFonts w:ascii="Times New Roman" w:eastAsia="宋体" w:hAnsi="Times New Roman" w:cs="Verdana"/>
          <w:color w:val="000000" w:themeColor="text1"/>
          <w:shd w:val="clear" w:color="auto" w:fill="FFFFFF"/>
        </w:rPr>
      </w:pPr>
      <w:r>
        <w:rPr>
          <w:rFonts w:ascii="Times New Roman" w:eastAsia="宋体" w:hAnsi="Times New Roman" w:cs="Verdana" w:hint="eastAsia"/>
          <w:color w:val="000000" w:themeColor="text1"/>
          <w:shd w:val="clear" w:color="auto" w:fill="FFFFFF"/>
        </w:rPr>
        <w:t>T</w:t>
      </w:r>
      <w:r w:rsidR="00F91BF0"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 xml:space="preserve">able </w:t>
      </w:r>
      <w:r w:rsidR="00B91C31">
        <w:rPr>
          <w:rFonts w:ascii="Times New Roman" w:eastAsia="宋体" w:hAnsi="Times New Roman" w:cs="Verdana"/>
          <w:color w:val="000000" w:themeColor="text1"/>
          <w:shd w:val="clear" w:color="auto" w:fill="FFFFFF"/>
        </w:rPr>
        <w:t>S</w:t>
      </w:r>
      <w:r w:rsidR="00707AD2">
        <w:rPr>
          <w:rFonts w:ascii="Times New Roman" w:eastAsia="宋体" w:hAnsi="Times New Roman" w:cs="Verdana"/>
          <w:color w:val="000000" w:themeColor="text1"/>
          <w:shd w:val="clear" w:color="auto" w:fill="FFFFFF"/>
        </w:rPr>
        <w:t>2</w:t>
      </w:r>
      <w:r w:rsidR="00F91BF0"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>. GFR in patients with diabetes</w:t>
      </w:r>
    </w:p>
    <w:tbl>
      <w:tblPr>
        <w:tblW w:w="949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9"/>
        <w:gridCol w:w="1710"/>
        <w:gridCol w:w="2040"/>
        <w:gridCol w:w="1680"/>
        <w:gridCol w:w="1360"/>
      </w:tblGrid>
      <w:tr w:rsidR="00F91BF0" w:rsidRPr="00E04CDE" w:rsidTr="00562063">
        <w:trPr>
          <w:trHeight w:val="227"/>
          <w:jc w:val="center"/>
        </w:trPr>
        <w:tc>
          <w:tcPr>
            <w:tcW w:w="270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BF0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</w:p>
          <w:p w:rsidR="00EA440B" w:rsidRPr="00E04CDE" w:rsidRDefault="00EA440B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Control (n=1017)</w:t>
            </w:r>
          </w:p>
        </w:tc>
        <w:tc>
          <w:tcPr>
            <w:tcW w:w="20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Pre-diabetes (n=1358)</w:t>
            </w:r>
          </w:p>
        </w:tc>
        <w:tc>
          <w:tcPr>
            <w:tcW w:w="168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Diabetes (n=617)</w:t>
            </w:r>
          </w:p>
        </w:tc>
        <w:tc>
          <w:tcPr>
            <w:tcW w:w="136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P-value</w:t>
            </w:r>
          </w:p>
        </w:tc>
      </w:tr>
      <w:tr w:rsidR="00F91BF0" w:rsidRPr="00E04CDE" w:rsidTr="00562063">
        <w:trPr>
          <w:trHeight w:val="227"/>
          <w:jc w:val="center"/>
        </w:trPr>
        <w:tc>
          <w:tcPr>
            <w:tcW w:w="2709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MRGFR n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468(46.0)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683(50.3)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328(53.2)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bookmarkStart w:id="0" w:name="OLE_LINK1"/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&lt;0.001</w:t>
            </w:r>
            <w:bookmarkEnd w:id="0"/>
          </w:p>
        </w:tc>
      </w:tr>
      <w:tr w:rsidR="00F91BF0" w:rsidRPr="00E04CDE" w:rsidTr="00562063">
        <w:trPr>
          <w:trHeight w:val="227"/>
          <w:jc w:val="center"/>
        </w:trPr>
        <w:tc>
          <w:tcPr>
            <w:tcW w:w="2709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NGFR n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494(48.5)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521(38.3)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198(32.1)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&lt;0.001</w:t>
            </w:r>
          </w:p>
        </w:tc>
      </w:tr>
      <w:tr w:rsidR="00F91BF0" w:rsidRPr="00E04CDE" w:rsidTr="00562063">
        <w:trPr>
          <w:trHeight w:val="227"/>
          <w:jc w:val="center"/>
        </w:trPr>
        <w:tc>
          <w:tcPr>
            <w:tcW w:w="2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Hyperfiltration n (%)</w:t>
            </w:r>
          </w:p>
        </w:tc>
        <w:tc>
          <w:tcPr>
            <w:tcW w:w="171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55(5.4)</w:t>
            </w:r>
          </w:p>
        </w:tc>
        <w:tc>
          <w:tcPr>
            <w:tcW w:w="204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154(11.3)</w:t>
            </w:r>
          </w:p>
        </w:tc>
        <w:tc>
          <w:tcPr>
            <w:tcW w:w="16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91(14.7)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F91BF0" w:rsidRPr="00E04CDE" w:rsidRDefault="00F91BF0" w:rsidP="00562063">
            <w:pPr>
              <w:adjustRightInd w:val="0"/>
              <w:snapToGrid w:val="0"/>
              <w:jc w:val="center"/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</w:pPr>
            <w:r w:rsidRPr="00E04CDE">
              <w:rPr>
                <w:rFonts w:ascii="Times New Roman" w:eastAsia="宋体" w:hAnsi="Times New Roman" w:cs="Verdana"/>
                <w:color w:val="000000" w:themeColor="text1"/>
                <w:shd w:val="clear" w:color="auto" w:fill="FFFFFF"/>
              </w:rPr>
              <w:t>&lt;0.001</w:t>
            </w:r>
          </w:p>
        </w:tc>
      </w:tr>
    </w:tbl>
    <w:p w:rsidR="00F91BF0" w:rsidRPr="00E04CDE" w:rsidRDefault="00F91BF0" w:rsidP="00562063">
      <w:pPr>
        <w:adjustRightInd w:val="0"/>
        <w:snapToGrid w:val="0"/>
        <w:jc w:val="left"/>
        <w:rPr>
          <w:rFonts w:ascii="Times New Roman" w:eastAsia="宋体" w:hAnsi="Times New Roman" w:cs="Verdana"/>
          <w:color w:val="000000" w:themeColor="text1"/>
          <w:shd w:val="clear" w:color="auto" w:fill="FFFFFF"/>
        </w:rPr>
      </w:pPr>
      <w:r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 xml:space="preserve">Notes: NGFR, </w:t>
      </w:r>
      <w:r w:rsidR="003501CB"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>normal</w:t>
      </w:r>
      <w:r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 xml:space="preserve"> eGFR; MRGFR, </w:t>
      </w:r>
      <w:r w:rsidR="003501CB"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>mildly</w:t>
      </w:r>
      <w:bookmarkStart w:id="1" w:name="_GoBack"/>
      <w:bookmarkEnd w:id="1"/>
      <w:r w:rsidRPr="00E04CDE">
        <w:rPr>
          <w:rFonts w:ascii="Times New Roman" w:eastAsia="宋体" w:hAnsi="Times New Roman" w:cs="Verdana"/>
          <w:color w:val="000000" w:themeColor="text1"/>
          <w:shd w:val="clear" w:color="auto" w:fill="FFFFFF"/>
        </w:rPr>
        <w:t xml:space="preserve"> reduced GFR; The eGFR Classifications of NGFR, MRGFR and hyperfiltration were in definitions.</w:t>
      </w:r>
    </w:p>
    <w:p w:rsidR="00443597" w:rsidRDefault="00443597" w:rsidP="00562063">
      <w:pPr>
        <w:adjustRightInd w:val="0"/>
        <w:snapToGrid w:val="0"/>
        <w:jc w:val="left"/>
      </w:pPr>
    </w:p>
    <w:sectPr w:rsidR="00443597" w:rsidSect="0044359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498" w:rsidRDefault="00D75498" w:rsidP="003501CB">
      <w:r>
        <w:separator/>
      </w:r>
    </w:p>
  </w:endnote>
  <w:endnote w:type="continuationSeparator" w:id="0">
    <w:p w:rsidR="00D75498" w:rsidRDefault="00D75498" w:rsidP="00350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498" w:rsidRDefault="00D75498" w:rsidP="003501CB">
      <w:r>
        <w:separator/>
      </w:r>
    </w:p>
  </w:footnote>
  <w:footnote w:type="continuationSeparator" w:id="0">
    <w:p w:rsidR="00D75498" w:rsidRDefault="00D75498" w:rsidP="003501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3"/>
  </w:docVars>
  <w:rsids>
    <w:rsidRoot w:val="00010055"/>
    <w:rsid w:val="00010055"/>
    <w:rsid w:val="002645C3"/>
    <w:rsid w:val="003501CB"/>
    <w:rsid w:val="00443597"/>
    <w:rsid w:val="004556D4"/>
    <w:rsid w:val="00562063"/>
    <w:rsid w:val="00651FBC"/>
    <w:rsid w:val="00707AD2"/>
    <w:rsid w:val="00796467"/>
    <w:rsid w:val="00B91C31"/>
    <w:rsid w:val="00D75498"/>
    <w:rsid w:val="00EA440B"/>
    <w:rsid w:val="00F85A85"/>
    <w:rsid w:val="00F91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05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0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501C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0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501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923</Characters>
  <Application>Microsoft Office Word</Application>
  <DocSecurity>0</DocSecurity>
  <Lines>65</Lines>
  <Paragraphs>56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CBAYLON</cp:lastModifiedBy>
  <cp:revision>10</cp:revision>
  <dcterms:created xsi:type="dcterms:W3CDTF">2016-08-17T02:04:00Z</dcterms:created>
  <dcterms:modified xsi:type="dcterms:W3CDTF">2017-05-22T06:28:00Z</dcterms:modified>
</cp:coreProperties>
</file>