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C46" w:rsidRPr="00C721A5" w:rsidRDefault="00690799" w:rsidP="00657C46">
      <w:pPr>
        <w:rPr>
          <w:rFonts w:ascii="Arial" w:hAnsi="Arial" w:cs="Arial"/>
          <w:szCs w:val="24"/>
        </w:rPr>
      </w:pPr>
      <w:r>
        <w:rPr>
          <w:rStyle w:val="Heading2Char"/>
          <w:rFonts w:ascii="Arial" w:hAnsi="Arial" w:cs="Arial"/>
          <w:b/>
        </w:rPr>
        <w:t>T</w:t>
      </w:r>
      <w:r w:rsidR="00657C46" w:rsidRPr="00C96C80">
        <w:rPr>
          <w:rStyle w:val="Heading2Char"/>
          <w:rFonts w:ascii="Arial" w:hAnsi="Arial" w:cs="Arial"/>
          <w:b/>
        </w:rPr>
        <w:t xml:space="preserve">able </w:t>
      </w:r>
      <w:r>
        <w:rPr>
          <w:rStyle w:val="Heading2Char"/>
          <w:rFonts w:ascii="Arial" w:hAnsi="Arial" w:cs="Arial"/>
          <w:b/>
        </w:rPr>
        <w:t>S</w:t>
      </w:r>
      <w:r w:rsidR="00657C46" w:rsidRPr="00C96C80">
        <w:rPr>
          <w:rStyle w:val="Heading2Char"/>
          <w:rFonts w:ascii="Arial" w:hAnsi="Arial" w:cs="Arial"/>
          <w:b/>
        </w:rPr>
        <w:t>1.</w:t>
      </w:r>
      <w:r w:rsidR="00657C46" w:rsidRPr="00C721A5">
        <w:rPr>
          <w:rFonts w:ascii="Arial" w:hAnsi="Arial" w:cs="Arial"/>
          <w:szCs w:val="24"/>
        </w:rPr>
        <w:t xml:space="preserve"> Survey questions</w:t>
      </w:r>
    </w:p>
    <w:tbl>
      <w:tblPr>
        <w:tblStyle w:val="TableGrid"/>
        <w:tblW w:w="0" w:type="auto"/>
        <w:tblLook w:val="04A0"/>
      </w:tblPr>
      <w:tblGrid>
        <w:gridCol w:w="13887"/>
      </w:tblGrid>
      <w:tr w:rsidR="00657C46" w:rsidRPr="00C721A5" w:rsidTr="00181F48">
        <w:tc>
          <w:tcPr>
            <w:tcW w:w="1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C46" w:rsidRPr="00C721A5" w:rsidRDefault="00657C46" w:rsidP="00181F4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721A5">
              <w:rPr>
                <w:rFonts w:ascii="Arial" w:hAnsi="Arial" w:cs="Arial"/>
                <w:b/>
                <w:sz w:val="18"/>
                <w:szCs w:val="18"/>
              </w:rPr>
              <w:t>General information</w:t>
            </w: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In what country do you work?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Drop down menu available</w:t>
            </w: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Institute type: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□ Private practice □ Private hospital □ Academic centre</w:t>
            </w: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Department/division type?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□ Nephrology □ Paediatric nephrology □ Intensive care □ Emergency w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C721A5">
              <w:rPr>
                <w:rFonts w:ascii="Arial" w:hAnsi="Arial" w:cs="Arial"/>
                <w:sz w:val="18"/>
                <w:szCs w:val="18"/>
              </w:rPr>
              <w:t>rd □ Other, please specify</w:t>
            </w: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What is your current speciality?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□ Adult nephrologist □ Paediatric nephrologist □ ICU specialist □ Other, please specify</w:t>
            </w: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How many years have you been practicing your current speciality?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□ &lt;1 year □ 1–5 years □ 6–10 years □ &gt;10 years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57C46" w:rsidRPr="00C721A5" w:rsidTr="00181F48">
        <w:tc>
          <w:tcPr>
            <w:tcW w:w="13887" w:type="dxa"/>
            <w:tcBorders>
              <w:top w:val="single" w:sz="4" w:space="0" w:color="auto"/>
            </w:tcBorders>
          </w:tcPr>
          <w:p w:rsidR="00657C46" w:rsidRPr="00C721A5" w:rsidRDefault="00657C46" w:rsidP="00181F4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721A5">
              <w:rPr>
                <w:rFonts w:ascii="Arial" w:hAnsi="Arial" w:cs="Arial"/>
                <w:b/>
                <w:sz w:val="18"/>
                <w:szCs w:val="18"/>
              </w:rPr>
              <w:t>Section 1. Your experience of diagnosing TMA</w:t>
            </w: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Have you ever personally diagnosed a patient with TMA (or validated the diagnosis of TMA in a patient referred to you)?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□ Yes □ No</w:t>
            </w:r>
          </w:p>
          <w:p w:rsidR="00657C46" w:rsidRPr="00C721A5" w:rsidRDefault="00657C46" w:rsidP="00181F48">
            <w:pPr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Of the patients you have diagnosed with TMA in the last 5 years, in approximately how many has the final diagnosis been: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 xml:space="preserve">                     0   1–5   6–10   11–20   20+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STEC-HUS   □     □      □          □         □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aHUS            □     □      □          □         □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TTP               □     □      □          □         □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Other TMA    □     □      □          □         □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</w:r>
          </w:p>
        </w:tc>
      </w:tr>
      <w:tr w:rsidR="00657C46" w:rsidRPr="00C721A5" w:rsidTr="00181F48">
        <w:tc>
          <w:tcPr>
            <w:tcW w:w="13887" w:type="dxa"/>
          </w:tcPr>
          <w:p w:rsidR="00657C46" w:rsidRPr="00C721A5" w:rsidRDefault="00657C46" w:rsidP="00181F4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721A5">
              <w:rPr>
                <w:rFonts w:ascii="Arial" w:hAnsi="Arial" w:cs="Arial"/>
                <w:b/>
                <w:sz w:val="18"/>
                <w:szCs w:val="18"/>
              </w:rPr>
              <w:t>Section 2. Process of work-up for patients presenting with potential TMA</w:t>
            </w: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Which of the following signs would primarily lead you to suspect TMA? Please select up to 4 options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 xml:space="preserve">□ </w:t>
            </w:r>
            <w:r>
              <w:rPr>
                <w:rFonts w:ascii="Arial" w:hAnsi="Arial" w:cs="Arial"/>
                <w:sz w:val="18"/>
                <w:szCs w:val="18"/>
              </w:rPr>
              <w:t>AKI</w:t>
            </w:r>
            <w:r w:rsidRPr="00C721A5">
              <w:rPr>
                <w:rFonts w:ascii="Arial" w:hAnsi="Arial" w:cs="Arial"/>
                <w:sz w:val="18"/>
                <w:szCs w:val="18"/>
              </w:rPr>
              <w:t xml:space="preserve"> □ Coagulation prolongation/dysregulation □ Coombs negative □ Fever □ Gastrointestinal signs and symptoms □ Haemolytic anaemia 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Increased LDH □ Neurological signs and symptoms □ Pulmonary bleeding □ Schistocytes □ Thrombocytopenia □ Other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</w: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Apart from renal symptoms, which other organ manifestations would you consider clinically related to a diagnosis of TMA?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□ Cardiovascular □ Central nervous system □ Gastrointestinal □ Pulmonary □ Other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</w: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Do you perform a renal biopsy for the diagnosis of TMA?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□ Always □ Never □ Only if diagnosis is not clear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</w: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Do you biopsy any other organs to diagnose TMA?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Yes □ No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If yes, which other organs?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Heart □ Lung □ Skin □ Other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What other conditions do you usually consider when assessing the differential diagnosis of TMA?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</w:r>
            <w:r w:rsidRPr="00C721A5">
              <w:rPr>
                <w:rFonts w:ascii="Arial" w:hAnsi="Arial" w:cs="Arial"/>
                <w:sz w:val="18"/>
                <w:szCs w:val="18"/>
              </w:rPr>
              <w:lastRenderedPageBreak/>
              <w:t xml:space="preserve">□ Antiphospholipid syndrome □ Autoimmune haemolytic anaemia □ Clotting disorder □ Cobalamin metabolism disorder □ Drug induced □ HIV □ Infections 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Malignancy □ Pregnancy (HELLP syndrome) □ Scleroderma □ Sepsis □ Systemic lupus erythematosus □ Other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Which tests do you request to differentially diagnose the cause of TMA? 1 = always, 2 = usually, 3 = rarely, 4 = never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ADAMTS13 □ Antinuclear antibodies □ Antiphospholipid antibodies □ Complement protein levels □ Complement mutation analysis □ Homocysteine levels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How extensive is your investigation of the patients' family history?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Ask the patient □ Investigate immediate family □ Complete a full family tree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In your experience, how long does it take to establish a diagnosis of TMA?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1–2 days □ 3–4 days □ 5–7 days □ &gt;1 week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On average, how much time elapses from presentation to the initiation of specific therapeutic strategies?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1–2 days □ 3–4 days □ 5–7 days □ &gt;1 week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Prior to confirmation of TMA diagnosis, what other specialists have been generally consulted for the signs and symptoms of the patient?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 xml:space="preserve">□ Cardiologist □ Gastroenterologist □ Haematologist □ ICU specialist □ Infectious disease specialist □ Internal medicine specialist □ Nephrologist 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Neurologist □ Obstetrician □ Paediatrician □ Paediatric nephrologist □ Surgeon □ Other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Are there any guidelines in place for the diagnosis of TMA at your hospital?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Yes □ No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Are the guidelines: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Local to your institute □ National □ International</w:t>
            </w:r>
          </w:p>
          <w:p w:rsidR="00657C46" w:rsidRPr="00C721A5" w:rsidRDefault="00657C46" w:rsidP="00181F4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57C46" w:rsidRPr="00C721A5" w:rsidTr="00181F48">
        <w:tc>
          <w:tcPr>
            <w:tcW w:w="13887" w:type="dxa"/>
          </w:tcPr>
          <w:p w:rsidR="00657C46" w:rsidRPr="00C721A5" w:rsidRDefault="00657C46" w:rsidP="00181F4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721A5">
              <w:rPr>
                <w:rFonts w:ascii="Arial" w:hAnsi="Arial" w:cs="Arial"/>
                <w:b/>
                <w:sz w:val="18"/>
                <w:szCs w:val="18"/>
              </w:rPr>
              <w:lastRenderedPageBreak/>
              <w:t>Section 3. Diagnosis of aHUS and subsequent management</w:t>
            </w: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Have you ever personally diagnosed aHUS at your hospital?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Yes □ No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How many aHUS patients have been referred to your institution within the last 5 years?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0 □ 1 □ 2–5 □ 6–10 □ &gt;10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How many patients with aHUS are you currently managing?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0 □ 1 □ 2–5 □ 6–10 □ &gt;10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What tests do you request to work-up the diagnosis of aHUS?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 xml:space="preserve">□ ADAMTS13 □ Antinuclear antibodies □ Antiphospholipid antibodies □ Complement mutation analysis □ Complement protein levels 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Coombs test □ STEC or EHEC □ STEC or EHEC by culture □ STEC or EHEC by PCR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Do you request ADAMTS-13 testing?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Yes □ No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Which ADAMTS-13 tests do you have available?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</w:r>
            <w:r w:rsidRPr="00C721A5">
              <w:rPr>
                <w:rFonts w:ascii="Arial" w:hAnsi="Arial" w:cs="Arial"/>
                <w:sz w:val="18"/>
                <w:szCs w:val="18"/>
              </w:rPr>
              <w:lastRenderedPageBreak/>
              <w:t>□ ADAMTS-13 activity □ ADAMTS-13 antibodies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Why not?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Not available □ Don’t know □ Other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At what point in the patient diagnosis/treatment process do you draw blood for ADAMTS-13 testing?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Prior to plasmapheresis □ After plasmapheresis □ Either to or after plasmapheresis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Approximately how many days does it take to get your ADAMTS-13 test result?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1 day or less □ 2–3 days □ 4–7 days □ &gt;1 week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Do you routinely perform genetic testing?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Yes □ No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Who pays for genetic testing in your hospital/region?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Patient (without reimbursement) □ Government □ Hospital □ Insurance company □ Other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How quickly do you get results from genetic testing?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 xml:space="preserve">□ &lt;1 week □ 1–4 weeks □ &gt;4 weeks but &lt;3 months □ &gt;3 months 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</w: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Which genes are tested?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ADAMTS-13 □ Coagulation or fibrinolysis proteins (e.g. plasminogen) □ CFHR-proteins □ Complement C3 □ Complement gene rearrangements and/or deletions □ Complement proteins but I do not know which □ Factor B □ Factor D □ Factor H □ Factor I □ MCP □ Other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Do you request tests for CFH (factor H) auto-antibodies?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Yes □ No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Which is the most challenging aspect of aHUS diagnosis? 1 = least challenging, 5 = most challenging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Absence of guidelines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Delay in getting some laboratory results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Absence of a single and reliable diagnostic test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Heterogeneity of disease presentation</w:t>
            </w:r>
          </w:p>
          <w:p w:rsidR="00657C46" w:rsidRPr="00C721A5" w:rsidRDefault="00657C46" w:rsidP="00181F48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:rsidR="00657C46" w:rsidRPr="00C721A5" w:rsidRDefault="00657C46" w:rsidP="00657C4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C721A5">
              <w:rPr>
                <w:rFonts w:ascii="Arial" w:hAnsi="Arial" w:cs="Arial"/>
                <w:sz w:val="18"/>
                <w:szCs w:val="18"/>
              </w:rPr>
              <w:t>To what extent do you agree with the following statements related to the diagnosis of aHUS? 1 = disagree entirely, 5 = agree entirely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ADAMTS-13 activity &gt;10% rules out a diagnosis of severe ADAMTS-13 deficiency (TTP)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A clinical diagnosis of aHUS could be considered in patients presenting with a complement-amplifying condition and TMA which does not improve after removal of the condition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If performed for diagnosis, results from genetic tests are received quickly enough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  <w:t>□ Identification of a genetic complement mutation is not required for aHUS diagnosis</w:t>
            </w:r>
            <w:r w:rsidRPr="00C721A5">
              <w:rPr>
                <w:rFonts w:ascii="Arial" w:hAnsi="Arial" w:cs="Arial"/>
                <w:sz w:val="18"/>
                <w:szCs w:val="18"/>
              </w:rPr>
              <w:br/>
            </w:r>
          </w:p>
        </w:tc>
      </w:tr>
    </w:tbl>
    <w:p w:rsidR="00657C46" w:rsidRPr="00C721A5" w:rsidRDefault="00657C46" w:rsidP="00657C46">
      <w:pPr>
        <w:rPr>
          <w:rFonts w:ascii="Arial" w:hAnsi="Arial" w:cs="Arial"/>
        </w:rPr>
      </w:pPr>
      <w:r w:rsidRPr="0069742D">
        <w:rPr>
          <w:rFonts w:ascii="Arial" w:hAnsi="Arial" w:cs="Arial"/>
        </w:rPr>
        <w:lastRenderedPageBreak/>
        <w:t>ADAMTS13, a disintegrin and metalloproteinase with a thrombo</w:t>
      </w:r>
      <w:r>
        <w:rPr>
          <w:rFonts w:ascii="Arial" w:hAnsi="Arial" w:cs="Arial"/>
        </w:rPr>
        <w:t xml:space="preserve">spondin type 1 motif, member 13; </w:t>
      </w:r>
      <w:r w:rsidRPr="0069742D">
        <w:rPr>
          <w:rFonts w:ascii="Arial" w:hAnsi="Arial" w:cs="Arial"/>
        </w:rPr>
        <w:t>aHUS, atypi</w:t>
      </w:r>
      <w:r>
        <w:rPr>
          <w:rFonts w:ascii="Arial" w:hAnsi="Arial" w:cs="Arial"/>
        </w:rPr>
        <w:t xml:space="preserve">cal haemolytic uraemic syndrome; </w:t>
      </w:r>
      <w:r w:rsidRPr="0069742D">
        <w:rPr>
          <w:rFonts w:ascii="Arial" w:hAnsi="Arial" w:cs="Arial"/>
        </w:rPr>
        <w:t>CFH, complement factor</w:t>
      </w:r>
      <w:r>
        <w:rPr>
          <w:rFonts w:ascii="Arial" w:hAnsi="Arial" w:cs="Arial"/>
        </w:rPr>
        <w:t xml:space="preserve"> H; CNS, central nervous system; </w:t>
      </w:r>
      <w:r w:rsidRPr="0069742D">
        <w:rPr>
          <w:rFonts w:ascii="Arial" w:hAnsi="Arial" w:cs="Arial"/>
        </w:rPr>
        <w:t>EHEC, ente</w:t>
      </w:r>
      <w:r>
        <w:rPr>
          <w:rFonts w:ascii="Arial" w:hAnsi="Arial" w:cs="Arial"/>
        </w:rPr>
        <w:t xml:space="preserve">rohaemorrhagic Escherichia coli; </w:t>
      </w:r>
      <w:r w:rsidRPr="0069742D">
        <w:rPr>
          <w:rFonts w:ascii="Arial" w:hAnsi="Arial" w:cs="Arial"/>
        </w:rPr>
        <w:t xml:space="preserve">HELLP, haemolysis, </w:t>
      </w:r>
      <w:r w:rsidRPr="0069742D">
        <w:rPr>
          <w:rFonts w:ascii="Arial" w:hAnsi="Arial" w:cs="Arial"/>
        </w:rPr>
        <w:lastRenderedPageBreak/>
        <w:t xml:space="preserve">elevated liver enzyme </w:t>
      </w:r>
      <w:r>
        <w:rPr>
          <w:rFonts w:ascii="Arial" w:hAnsi="Arial" w:cs="Arial"/>
        </w:rPr>
        <w:t xml:space="preserve">levels, and low platelet levels; </w:t>
      </w:r>
      <w:r w:rsidRPr="0069742D">
        <w:rPr>
          <w:rFonts w:ascii="Arial" w:hAnsi="Arial" w:cs="Arial"/>
        </w:rPr>
        <w:t>HIV</w:t>
      </w:r>
      <w:r>
        <w:rPr>
          <w:rFonts w:ascii="Arial" w:hAnsi="Arial" w:cs="Arial"/>
        </w:rPr>
        <w:t xml:space="preserve">, human immune deficiency virus; </w:t>
      </w:r>
      <w:r w:rsidRPr="0069742D">
        <w:rPr>
          <w:rFonts w:ascii="Arial" w:hAnsi="Arial" w:cs="Arial"/>
        </w:rPr>
        <w:t>H</w:t>
      </w:r>
      <w:r>
        <w:rPr>
          <w:rFonts w:ascii="Arial" w:hAnsi="Arial" w:cs="Arial"/>
        </w:rPr>
        <w:t xml:space="preserve">US, haemolytic uraemic syndrome; LDH, lactate dehydrogenase; </w:t>
      </w:r>
      <w:r w:rsidRPr="0069742D">
        <w:rPr>
          <w:rFonts w:ascii="Arial" w:hAnsi="Arial" w:cs="Arial"/>
        </w:rPr>
        <w:t>PCR, polymeras</w:t>
      </w:r>
      <w:r>
        <w:rPr>
          <w:rFonts w:ascii="Arial" w:hAnsi="Arial" w:cs="Arial"/>
        </w:rPr>
        <w:t xml:space="preserve">e chain reaction; </w:t>
      </w:r>
      <w:r w:rsidRPr="0069742D">
        <w:rPr>
          <w:rFonts w:ascii="Arial" w:hAnsi="Arial" w:cs="Arial"/>
        </w:rPr>
        <w:t>STEC, Shiga t</w:t>
      </w:r>
      <w:r>
        <w:rPr>
          <w:rFonts w:ascii="Arial" w:hAnsi="Arial" w:cs="Arial"/>
        </w:rPr>
        <w:t xml:space="preserve">oxin-producing Escherichia coli; </w:t>
      </w:r>
      <w:r w:rsidRPr="0069742D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MA, Thrombotic microangiopathy; </w:t>
      </w:r>
      <w:r w:rsidRPr="0069742D">
        <w:rPr>
          <w:rFonts w:ascii="Arial" w:hAnsi="Arial" w:cs="Arial"/>
        </w:rPr>
        <w:t>TTP, Thrombotic thrombocytopenic purpura</w:t>
      </w:r>
      <w:r>
        <w:rPr>
          <w:rFonts w:ascii="Arial" w:hAnsi="Arial" w:cs="Arial"/>
        </w:rPr>
        <w:t>.</w:t>
      </w:r>
    </w:p>
    <w:p w:rsidR="00686649" w:rsidRDefault="00690799">
      <w:bookmarkStart w:id="0" w:name="_GoBack"/>
      <w:bookmarkEnd w:id="0"/>
    </w:p>
    <w:sectPr w:rsidR="00686649" w:rsidSect="00187D1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C05049"/>
    <w:multiLevelType w:val="hybridMultilevel"/>
    <w:tmpl w:val="70247C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docVars>
    <w:docVar w:name="Total_Editing_Time" w:val="1"/>
  </w:docVars>
  <w:rsids>
    <w:rsidRoot w:val="00657C46"/>
    <w:rsid w:val="00250F57"/>
    <w:rsid w:val="00657C46"/>
    <w:rsid w:val="00690799"/>
    <w:rsid w:val="00AC0BAA"/>
    <w:rsid w:val="00B414E3"/>
    <w:rsid w:val="00F53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C4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7C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57C4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57C46"/>
    <w:pPr>
      <w:ind w:left="720"/>
      <w:contextualSpacing/>
    </w:pPr>
  </w:style>
  <w:style w:type="table" w:styleId="TableGrid">
    <w:name w:val="Table Grid"/>
    <w:basedOn w:val="TableNormal"/>
    <w:uiPriority w:val="39"/>
    <w:rsid w:val="00657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1142</Words>
  <Characters>5484</Characters>
  <Application>Microsoft Office Word</Application>
  <DocSecurity>0</DocSecurity>
  <Lines>133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SCCM</Company>
  <LinksUpToDate>false</LinksUpToDate>
  <CharactersWithSpaces>6565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Bioscript Medical</dc:creator>
  <cp:keywords/>
  <dc:description/>
  <cp:lastModifiedBy>MSARDAN</cp:lastModifiedBy>
  <cp:revision>2</cp:revision>
  <dcterms:created xsi:type="dcterms:W3CDTF">2016-12-15T15:28:00Z</dcterms:created>
  <dcterms:modified xsi:type="dcterms:W3CDTF">2017-09-29T23:02:00Z</dcterms:modified>
</cp:coreProperties>
</file>