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E67" w:rsidRDefault="00032D9C">
      <w:pPr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Additional file 2</w:t>
      </w:r>
    </w:p>
    <w:p w:rsidR="00000E67" w:rsidRDefault="00000E67">
      <w:pPr>
        <w:pStyle w:val="EndNoteBibliography"/>
        <w:ind w:left="720" w:hanging="720"/>
        <w:rPr>
          <w:rFonts w:ascii="Times New Roman" w:eastAsiaTheme="minorEastAsia" w:hAnsi="Times New Roman" w:cs="Times New Roman"/>
          <w:bCs/>
          <w:color w:val="auto"/>
          <w:sz w:val="24"/>
          <w:szCs w:val="24"/>
        </w:rPr>
      </w:pPr>
    </w:p>
    <w:p w:rsidR="00000E67" w:rsidRDefault="00131E65">
      <w:pPr>
        <w:pStyle w:val="EndNoteBibliography"/>
        <w:ind w:left="720" w:hanging="720"/>
        <w:rPr>
          <w:rFonts w:ascii="Times New Roman" w:eastAsiaTheme="minorEastAsia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noProof/>
          <w:color w:val="auto"/>
          <w:sz w:val="24"/>
          <w:szCs w:val="24"/>
          <w:lang w:eastAsia="en-US"/>
        </w:rPr>
        <w:drawing>
          <wp:inline distT="0" distB="0" distL="0" distR="0">
            <wp:extent cx="4343400" cy="2853690"/>
            <wp:effectExtent l="0" t="0" r="0" b="0"/>
            <wp:docPr id="11" name="图片 11" descr="Macintosh HD:Users:MYH:Desktop:2017.3.16 bmc nephrology:column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Macintosh HD:Users:MYH:Desktop:2017.3.16 bmc nephrology:column.tif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7502" cy="285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E67" w:rsidRDefault="00131E65">
      <w:pPr>
        <w:pStyle w:val="EndNoteBibliography"/>
        <w:ind w:left="720" w:hanging="720"/>
        <w:rPr>
          <w:rFonts w:ascii="Times New Roman" w:eastAsiaTheme="minorEastAsia" w:hAnsi="Times New Roman" w:cs="Times New Roman"/>
          <w:bCs/>
          <w:color w:val="auto"/>
          <w:sz w:val="24"/>
          <w:szCs w:val="24"/>
        </w:rPr>
      </w:pPr>
      <w:r w:rsidRPr="00131E65">
        <w:rPr>
          <w:rFonts w:ascii="Times New Roman" w:hAnsi="Times New Roman" w:cs="Avenir Black"/>
          <w:bCs/>
          <w:sz w:val="24"/>
          <w:szCs w:val="24"/>
        </w:rPr>
        <w:t xml:space="preserve">Figure </w:t>
      </w:r>
      <w:r w:rsidRPr="00131E65">
        <w:rPr>
          <w:rFonts w:ascii="Times New Roman" w:hAnsi="Times New Roman" w:cs="Avenir Black" w:hint="eastAsia"/>
          <w:bCs/>
          <w:sz w:val="24"/>
          <w:szCs w:val="24"/>
        </w:rPr>
        <w:t>S1</w:t>
      </w:r>
      <w:r w:rsidRPr="00131E65">
        <w:rPr>
          <w:rFonts w:ascii="Times New Roman" w:hAnsi="Times New Roman" w:cs="Avenir Black"/>
          <w:bCs/>
          <w:sz w:val="24"/>
          <w:szCs w:val="24"/>
        </w:rPr>
        <w:t>.</w:t>
      </w:r>
      <w:r>
        <w:rPr>
          <w:rFonts w:ascii="Times New Roman" w:hAnsi="Times New Roman" w:cs="Avenir Black"/>
          <w:b/>
          <w:bCs/>
          <w:sz w:val="24"/>
          <w:szCs w:val="24"/>
        </w:rPr>
        <w:t xml:space="preserve"> </w:t>
      </w:r>
      <w:r>
        <w:rPr>
          <w:rFonts w:ascii="Times New Roman" w:hAnsi="Times New Roman" w:cs="Avenir Book"/>
          <w:sz w:val="24"/>
          <w:szCs w:val="24"/>
        </w:rPr>
        <w:t xml:space="preserve">The </w:t>
      </w:r>
      <w:r>
        <w:rPr>
          <w:rFonts w:ascii="Times New Roman" w:hAnsi="Times New Roman" w:cs="Avenir Book" w:hint="eastAsia"/>
          <w:sz w:val="24"/>
          <w:szCs w:val="24"/>
        </w:rPr>
        <w:t>yearly distribution</w:t>
      </w:r>
      <w:r>
        <w:rPr>
          <w:rFonts w:ascii="Times New Roman" w:hAnsi="Times New Roman" w:cs="Avenir Book"/>
          <w:sz w:val="24"/>
          <w:szCs w:val="24"/>
        </w:rPr>
        <w:t xml:space="preserve"> of patients in </w:t>
      </w:r>
      <w:r>
        <w:rPr>
          <w:rFonts w:ascii="Times New Roman" w:hAnsi="Times New Roman" w:cs="Avenir Book" w:hint="eastAsia"/>
          <w:sz w:val="24"/>
          <w:szCs w:val="24"/>
        </w:rPr>
        <w:t>MP</w:t>
      </w:r>
      <w:r>
        <w:rPr>
          <w:rFonts w:ascii="Times New Roman" w:hAnsi="Times New Roman" w:cs="Avenir Book"/>
          <w:sz w:val="24"/>
          <w:szCs w:val="24"/>
        </w:rPr>
        <w:t xml:space="preserve"> group </w:t>
      </w:r>
      <w:r>
        <w:rPr>
          <w:rFonts w:ascii="Times New Roman" w:hAnsi="Times New Roman" w:cs="Avenir Book" w:hint="eastAsia"/>
          <w:sz w:val="24"/>
          <w:szCs w:val="24"/>
        </w:rPr>
        <w:t>and control group</w:t>
      </w:r>
      <w:r>
        <w:rPr>
          <w:rFonts w:ascii="Times New Roman" w:hAnsi="Times New Roman" w:cs="Avenir Book"/>
          <w:sz w:val="24"/>
          <w:szCs w:val="24"/>
        </w:rPr>
        <w:t xml:space="preserve"> from </w:t>
      </w:r>
      <w:r>
        <w:rPr>
          <w:rFonts w:ascii="Times New Roman" w:hAnsi="Times New Roman" w:cs="Times New Roman"/>
          <w:sz w:val="24"/>
          <w:szCs w:val="24"/>
        </w:rPr>
        <w:t>2004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2016.</w:t>
      </w:r>
    </w:p>
    <w:p w:rsidR="00000E67" w:rsidRDefault="00000E67">
      <w:pPr>
        <w:pStyle w:val="EndNoteBibliography"/>
        <w:ind w:left="720" w:hanging="720"/>
        <w:rPr>
          <w:rFonts w:ascii="Times New Roman" w:eastAsiaTheme="minorEastAsia" w:hAnsi="Times New Roman" w:cs="Times New Roman"/>
          <w:bCs/>
          <w:color w:val="auto"/>
          <w:sz w:val="24"/>
          <w:szCs w:val="24"/>
        </w:rPr>
      </w:pPr>
    </w:p>
    <w:p w:rsidR="00000E67" w:rsidRDefault="00131E65">
      <w:pPr>
        <w:pStyle w:val="EndNoteBibliography"/>
        <w:ind w:left="720" w:hanging="720"/>
        <w:rPr>
          <w:rFonts w:ascii="Times New Roman" w:hAnsi="Times New Roman" w:cs="Times New Roman"/>
          <w:color w:val="auto"/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Table </w:t>
      </w:r>
      <w:r>
        <w:rPr>
          <w:rFonts w:ascii="Times New Roman" w:eastAsiaTheme="minorEastAsia" w:hAnsi="Times New Roman" w:cs="Times New Roman" w:hint="eastAsia"/>
          <w:bCs/>
          <w:color w:val="auto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1. The </w:t>
      </w:r>
      <w:r>
        <w:rPr>
          <w:rFonts w:ascii="Times New Roman" w:eastAsiaTheme="minorEastAsia" w:hAnsi="Times New Roman" w:cs="Times New Roman"/>
          <w:bCs/>
          <w:color w:val="auto"/>
          <w:sz w:val="24"/>
          <w:szCs w:val="24"/>
        </w:rPr>
        <w:t>baseline</w:t>
      </w:r>
      <w:r>
        <w:rPr>
          <w:rFonts w:ascii="Times New Roman" w:eastAsiaTheme="minorEastAsia" w:hAnsi="Times New Roman" w:cs="Times New Roman" w:hint="eastAsia"/>
          <w:bCs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pathological characteristics in MP group and control group.</w:t>
      </w:r>
    </w:p>
    <w:tbl>
      <w:tblPr>
        <w:tblStyle w:val="TableGrid"/>
        <w:tblW w:w="9497" w:type="dxa"/>
        <w:tblInd w:w="108" w:type="dxa"/>
        <w:tblBorders>
          <w:top w:val="single" w:sz="4" w:space="0" w:color="000000" w:themeColor="text1"/>
          <w:left w:val="none" w:sz="0" w:space="0" w:color="auto"/>
          <w:bottom w:val="single" w:sz="4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03"/>
        <w:gridCol w:w="2126"/>
        <w:gridCol w:w="1876"/>
        <w:gridCol w:w="992"/>
      </w:tblGrid>
      <w:tr w:rsidR="00000E67">
        <w:tc>
          <w:tcPr>
            <w:tcW w:w="450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00E67" w:rsidRDefault="00131E65">
            <w:pP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Xingkai SC Bold" w:eastAsia="Times New Roman" w:hAnsi="Xingkai SC Bold" w:cs="Times New Roman"/>
                <w:bCs/>
                <w:color w:val="auto"/>
                <w:sz w:val="24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00E67" w:rsidRDefault="00131E65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MP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 xml:space="preserve"> group</w:t>
            </w:r>
          </w:p>
          <w:p w:rsidR="00000E67" w:rsidRDefault="00131E65">
            <w:pP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  <w:t>(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n=28)</w:t>
            </w:r>
          </w:p>
        </w:tc>
        <w:tc>
          <w:tcPr>
            <w:tcW w:w="187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00E67" w:rsidRDefault="00131E65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Control group</w:t>
            </w:r>
          </w:p>
          <w:p w:rsidR="00000E67" w:rsidRDefault="00131E65">
            <w:pP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 xml:space="preserve"> (n=6)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00E67" w:rsidRDefault="00131E65">
            <w:pP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P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  <w:t xml:space="preserve"> value</w:t>
            </w:r>
          </w:p>
        </w:tc>
      </w:tr>
      <w:tr w:rsidR="00000E67">
        <w:tc>
          <w:tcPr>
            <w:tcW w:w="4503" w:type="dxa"/>
            <w:tcBorders>
              <w:bottom w:val="nil"/>
            </w:tcBorders>
          </w:tcPr>
          <w:p w:rsidR="00000E67" w:rsidRDefault="00131E65">
            <w:pP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Glomerular global sclerosis (medi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  <w:t>an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 xml:space="preserve"> (IQR)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%)</w:t>
            </w:r>
          </w:p>
        </w:tc>
        <w:tc>
          <w:tcPr>
            <w:tcW w:w="2126" w:type="dxa"/>
            <w:tcBorders>
              <w:bottom w:val="nil"/>
            </w:tcBorders>
          </w:tcPr>
          <w:p w:rsidR="00000E67" w:rsidRDefault="00131E65">
            <w:pPr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33.0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14.3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64.4)</w:t>
            </w:r>
          </w:p>
        </w:tc>
        <w:tc>
          <w:tcPr>
            <w:tcW w:w="1876" w:type="dxa"/>
            <w:tcBorders>
              <w:bottom w:val="nil"/>
            </w:tcBorders>
          </w:tcPr>
          <w:p w:rsidR="00000E67" w:rsidRDefault="00131E65">
            <w:pPr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47.9(29.2-84.4)</w:t>
            </w:r>
          </w:p>
        </w:tc>
        <w:tc>
          <w:tcPr>
            <w:tcW w:w="992" w:type="dxa"/>
            <w:tcBorders>
              <w:bottom w:val="nil"/>
            </w:tcBorders>
          </w:tcPr>
          <w:p w:rsidR="00000E67" w:rsidRDefault="00131E65">
            <w:pPr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0.653</w:t>
            </w:r>
          </w:p>
        </w:tc>
      </w:tr>
      <w:tr w:rsidR="00000E67">
        <w:tc>
          <w:tcPr>
            <w:tcW w:w="4503" w:type="dxa"/>
            <w:tcBorders>
              <w:top w:val="nil"/>
              <w:bottom w:val="nil"/>
            </w:tcBorders>
          </w:tcPr>
          <w:p w:rsidR="00000E67" w:rsidRDefault="00131E65">
            <w:pP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Cellular crescent (medi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  <w:t>an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 xml:space="preserve"> (IQR)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%)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000E67" w:rsidRDefault="00131E65">
            <w:pPr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24.0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(5.6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50.6)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000E67" w:rsidRDefault="00131E65">
            <w:pPr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12.5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(4.9-21.6)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00E67" w:rsidRDefault="00131E65">
            <w:pPr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0.653</w:t>
            </w:r>
          </w:p>
        </w:tc>
      </w:tr>
      <w:tr w:rsidR="00000E67">
        <w:tc>
          <w:tcPr>
            <w:tcW w:w="4503" w:type="dxa"/>
            <w:tcBorders>
              <w:top w:val="nil"/>
            </w:tcBorders>
          </w:tcPr>
          <w:p w:rsidR="00000E67" w:rsidRDefault="00131E65">
            <w:pP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 xml:space="preserve">Fibrinoid necrosis </w:t>
            </w:r>
            <w:r>
              <w:rPr>
                <w:rFonts w:ascii="Times New Roman" w:eastAsiaTheme="minorEastAsia" w:hAnsi="Times New Roman" w:cs="Times New Roman"/>
                <w:color w:val="auto"/>
                <w:sz w:val="24"/>
              </w:rPr>
              <w:t>(case, %)</w:t>
            </w:r>
          </w:p>
        </w:tc>
        <w:tc>
          <w:tcPr>
            <w:tcW w:w="2126" w:type="dxa"/>
            <w:tcBorders>
              <w:top w:val="nil"/>
            </w:tcBorders>
          </w:tcPr>
          <w:p w:rsidR="00000E67" w:rsidRDefault="00131E65">
            <w:pPr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8, 28.6</w:t>
            </w:r>
          </w:p>
        </w:tc>
        <w:tc>
          <w:tcPr>
            <w:tcW w:w="1876" w:type="dxa"/>
            <w:tcBorders>
              <w:top w:val="nil"/>
            </w:tcBorders>
          </w:tcPr>
          <w:p w:rsidR="00000E67" w:rsidRDefault="00131E65">
            <w:pPr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1, 16.7</w:t>
            </w:r>
          </w:p>
        </w:tc>
        <w:tc>
          <w:tcPr>
            <w:tcW w:w="992" w:type="dxa"/>
            <w:tcBorders>
              <w:top w:val="nil"/>
            </w:tcBorders>
          </w:tcPr>
          <w:p w:rsidR="00000E67" w:rsidRDefault="00131E65">
            <w:pPr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0.644</w:t>
            </w:r>
          </w:p>
        </w:tc>
      </w:tr>
      <w:tr w:rsidR="00000E67">
        <w:tc>
          <w:tcPr>
            <w:tcW w:w="4503" w:type="dxa"/>
          </w:tcPr>
          <w:p w:rsidR="00000E67" w:rsidRDefault="00131E65">
            <w:pP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宋体" w:hAnsi="Times New Roman" w:cs="Times New Roman"/>
                <w:color w:val="auto"/>
                <w:sz w:val="24"/>
                <w:szCs w:val="24"/>
              </w:rPr>
              <w:t>Mesangial proliferation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 xml:space="preserve"> 1/2/3 (case)</w:t>
            </w:r>
          </w:p>
        </w:tc>
        <w:tc>
          <w:tcPr>
            <w:tcW w:w="2126" w:type="dxa"/>
          </w:tcPr>
          <w:p w:rsidR="00000E67" w:rsidRDefault="00131E65">
            <w:pPr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3/8/17</w:t>
            </w:r>
          </w:p>
        </w:tc>
        <w:tc>
          <w:tcPr>
            <w:tcW w:w="1876" w:type="dxa"/>
          </w:tcPr>
          <w:p w:rsidR="00000E67" w:rsidRDefault="00131E65">
            <w:pPr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0/3/3</w:t>
            </w:r>
          </w:p>
        </w:tc>
        <w:tc>
          <w:tcPr>
            <w:tcW w:w="992" w:type="dxa"/>
          </w:tcPr>
          <w:p w:rsidR="00000E67" w:rsidRDefault="00131E65">
            <w:pPr>
              <w:rPr>
                <w:rFonts w:ascii="Times New Roman" w:eastAsiaTheme="minorEastAsia" w:hAnsi="Times New Roman" w:cs="Times New Roman"/>
                <w:color w:val="auto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sz w:val="24"/>
              </w:rPr>
              <w:t>0.843</w:t>
            </w:r>
          </w:p>
        </w:tc>
      </w:tr>
      <w:tr w:rsidR="00000E67">
        <w:tc>
          <w:tcPr>
            <w:tcW w:w="4503" w:type="dxa"/>
          </w:tcPr>
          <w:p w:rsidR="00000E67" w:rsidRDefault="00131E65">
            <w:pP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 xml:space="preserve">Interstitial infiltrates 0/1/2/3 (case) </w:t>
            </w:r>
          </w:p>
        </w:tc>
        <w:tc>
          <w:tcPr>
            <w:tcW w:w="2126" w:type="dxa"/>
          </w:tcPr>
          <w:p w:rsidR="00000E67" w:rsidRDefault="00131E65">
            <w:pPr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2/13/9/4</w:t>
            </w:r>
          </w:p>
        </w:tc>
        <w:tc>
          <w:tcPr>
            <w:tcW w:w="1876" w:type="dxa"/>
          </w:tcPr>
          <w:p w:rsidR="00000E67" w:rsidRDefault="00131E65">
            <w:pPr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1/3/1/1</w:t>
            </w:r>
          </w:p>
        </w:tc>
        <w:tc>
          <w:tcPr>
            <w:tcW w:w="992" w:type="dxa"/>
          </w:tcPr>
          <w:p w:rsidR="00000E67" w:rsidRDefault="00131E65">
            <w:pPr>
              <w:rPr>
                <w:rFonts w:ascii="Times New Roman" w:eastAsiaTheme="minorEastAsia" w:hAnsi="Times New Roman" w:cs="Times New Roman"/>
                <w:color w:val="auto"/>
                <w:sz w:val="24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sz w:val="24"/>
              </w:rPr>
              <w:t>0.612</w:t>
            </w:r>
          </w:p>
        </w:tc>
      </w:tr>
    </w:tbl>
    <w:p w:rsidR="00000E67" w:rsidRDefault="00000E67">
      <w:pPr>
        <w:autoSpaceDE w:val="0"/>
        <w:autoSpaceDN w:val="0"/>
        <w:adjustRightInd w:val="0"/>
        <w:spacing w:after="240" w:line="200" w:lineRule="atLeas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00E67" w:rsidRDefault="00131E65">
      <w:pPr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Table </w:t>
      </w:r>
      <w:r>
        <w:rPr>
          <w:rFonts w:ascii="Times New Roman" w:eastAsiaTheme="minorEastAsia" w:hAnsi="Times New Roman" w:cs="Times New Roman" w:hint="eastAsia"/>
          <w:color w:val="auto"/>
          <w:sz w:val="24"/>
          <w:szCs w:val="24"/>
        </w:rPr>
        <w:t>S</w:t>
      </w: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Adverse events </w:t>
      </w: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>in MP group</w:t>
      </w:r>
      <w:r>
        <w:rPr>
          <w:rFonts w:ascii="Times New Roman" w:eastAsiaTheme="minorEastAsia" w:hAnsi="Times New Roman" w:cs="Times New Roman" w:hint="eastAsia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for treatment responses of intravenous methylprednisolone pulses.</w:t>
      </w:r>
    </w:p>
    <w:tbl>
      <w:tblPr>
        <w:tblStyle w:val="TableGrid"/>
        <w:tblW w:w="9449" w:type="dxa"/>
        <w:tblBorders>
          <w:top w:val="single" w:sz="4" w:space="0" w:color="000000" w:themeColor="text1"/>
          <w:left w:val="none" w:sz="0" w:space="0" w:color="auto"/>
          <w:bottom w:val="single" w:sz="4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077"/>
        <w:gridCol w:w="2127"/>
        <w:gridCol w:w="2126"/>
        <w:gridCol w:w="1119"/>
      </w:tblGrid>
      <w:tr w:rsidR="00000E67">
        <w:tc>
          <w:tcPr>
            <w:tcW w:w="407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Adverse events</w:t>
            </w:r>
          </w:p>
        </w:tc>
        <w:tc>
          <w:tcPr>
            <w:tcW w:w="212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000E67" w:rsidRDefault="00131E65">
            <w:pPr>
              <w:rPr>
                <w:rFonts w:ascii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hAnsi="Times New Roman" w:cs="Times New Roman" w:hint="eastAsia"/>
                <w:bCs/>
                <w:color w:val="auto"/>
                <w:sz w:val="24"/>
              </w:rPr>
              <w:t>P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</w:rPr>
              <w:t>ositive response group</w:t>
            </w:r>
          </w:p>
          <w:p w:rsidR="00000E67" w:rsidRDefault="00131E65">
            <w:pP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  <w:t xml:space="preserve"> (n=</w:t>
            </w:r>
            <w:r>
              <w:rPr>
                <w:rFonts w:ascii="Times New Roman" w:eastAsiaTheme="minorEastAsia" w:hAnsi="Times New Roman" w:cs="Times New Roman" w:hint="eastAsia"/>
                <w:bCs/>
                <w:color w:val="auto"/>
                <w:sz w:val="24"/>
              </w:rPr>
              <w:t>21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000E67" w:rsidRDefault="00131E65">
            <w:pP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Theme="minorEastAsia" w:hAnsi="Times New Roman" w:cs="Times New Roman" w:hint="eastAsia"/>
                <w:bCs/>
                <w:color w:val="auto"/>
                <w:sz w:val="24"/>
              </w:rPr>
              <w:t>N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 xml:space="preserve">egative response group </w:t>
            </w:r>
          </w:p>
          <w:p w:rsidR="00000E67" w:rsidRDefault="00131E65">
            <w:pP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  <w:t>(n=</w:t>
            </w:r>
            <w:r>
              <w:rPr>
                <w:rFonts w:ascii="Times New Roman" w:eastAsiaTheme="minorEastAsia" w:hAnsi="Times New Roman" w:cs="Times New Roman" w:hint="eastAsia"/>
                <w:bCs/>
                <w:color w:val="auto"/>
                <w:sz w:val="24"/>
              </w:rPr>
              <w:t>32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  <w:t>)</w:t>
            </w:r>
          </w:p>
        </w:tc>
        <w:tc>
          <w:tcPr>
            <w:tcW w:w="111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  <w:t>P value</w:t>
            </w:r>
          </w:p>
        </w:tc>
      </w:tr>
      <w:tr w:rsidR="00000E67">
        <w:tc>
          <w:tcPr>
            <w:tcW w:w="4077" w:type="dxa"/>
            <w:tcBorders>
              <w:top w:val="single" w:sz="4" w:space="0" w:color="000000" w:themeColor="text1"/>
            </w:tcBorders>
            <w:vAlign w:val="center"/>
          </w:tcPr>
          <w:p w:rsidR="00000E67" w:rsidRDefault="00131E65">
            <w:pPr>
              <w:ind w:rightChars="-349" w:right="-768"/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Infection</w:t>
            </w:r>
          </w:p>
        </w:tc>
        <w:tc>
          <w:tcPr>
            <w:tcW w:w="2127" w:type="dxa"/>
            <w:tcBorders>
              <w:top w:val="single" w:sz="4" w:space="0" w:color="000000" w:themeColor="text1"/>
            </w:tcBorders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 w:themeColor="text1"/>
            </w:tcBorders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15</w:t>
            </w:r>
          </w:p>
        </w:tc>
        <w:tc>
          <w:tcPr>
            <w:tcW w:w="1119" w:type="dxa"/>
            <w:tcBorders>
              <w:top w:val="single" w:sz="4" w:space="0" w:color="000000" w:themeColor="text1"/>
            </w:tcBorders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0.400</w:t>
            </w:r>
          </w:p>
        </w:tc>
      </w:tr>
      <w:tr w:rsidR="00000E67">
        <w:tc>
          <w:tcPr>
            <w:tcW w:w="4077" w:type="dxa"/>
            <w:vAlign w:val="center"/>
          </w:tcPr>
          <w:p w:rsidR="00000E67" w:rsidRDefault="00131E65">
            <w:pPr>
              <w:ind w:rightChars="-123" w:right="-271" w:firstLineChars="98" w:firstLine="235"/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bacteria</w:t>
            </w:r>
          </w:p>
        </w:tc>
        <w:tc>
          <w:tcPr>
            <w:tcW w:w="212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 w:hint="eastAsia"/>
                <w:color w:val="auto"/>
                <w:sz w:val="24"/>
              </w:rPr>
              <w:t>9</w:t>
            </w:r>
          </w:p>
        </w:tc>
        <w:tc>
          <w:tcPr>
            <w:tcW w:w="2126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 w:hint="eastAsia"/>
                <w:color w:val="auto"/>
                <w:sz w:val="24"/>
              </w:rPr>
              <w:t>10</w:t>
            </w:r>
          </w:p>
        </w:tc>
        <w:tc>
          <w:tcPr>
            <w:tcW w:w="1119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0.559</w:t>
            </w:r>
          </w:p>
        </w:tc>
      </w:tr>
      <w:tr w:rsidR="00000E67">
        <w:tc>
          <w:tcPr>
            <w:tcW w:w="4077" w:type="dxa"/>
            <w:vAlign w:val="center"/>
          </w:tcPr>
          <w:p w:rsidR="00000E67" w:rsidRDefault="00131E65">
            <w:pPr>
              <w:ind w:rightChars="-123" w:right="-271" w:firstLineChars="98" w:firstLine="235"/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fungus</w:t>
            </w:r>
          </w:p>
        </w:tc>
        <w:tc>
          <w:tcPr>
            <w:tcW w:w="212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1119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0</w:t>
            </w:r>
            <w:r>
              <w:rPr>
                <w:rFonts w:ascii="Times New Roman" w:eastAsia="Times New Roman" w:hAnsi="Times New Roman" w:cs="Xingkai SC Bold"/>
                <w:color w:val="auto"/>
                <w:sz w:val="24"/>
              </w:rPr>
              <w:t>.289</w:t>
            </w:r>
          </w:p>
        </w:tc>
      </w:tr>
      <w:tr w:rsidR="00000E67">
        <w:tc>
          <w:tcPr>
            <w:tcW w:w="4077" w:type="dxa"/>
            <w:vAlign w:val="center"/>
          </w:tcPr>
          <w:p w:rsidR="00000E67" w:rsidRDefault="00131E65">
            <w:pPr>
              <w:ind w:rightChars="-123" w:right="-271" w:firstLineChars="98" w:firstLine="235"/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virus</w:t>
            </w:r>
          </w:p>
        </w:tc>
        <w:tc>
          <w:tcPr>
            <w:tcW w:w="212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 w:hint="eastAsia"/>
                <w:color w:val="auto"/>
                <w:sz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 w:hint="eastAsia"/>
                <w:color w:val="auto"/>
                <w:sz w:val="24"/>
              </w:rPr>
              <w:t>4</w:t>
            </w:r>
          </w:p>
        </w:tc>
        <w:tc>
          <w:tcPr>
            <w:tcW w:w="1119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0.637</w:t>
            </w:r>
          </w:p>
        </w:tc>
      </w:tr>
      <w:tr w:rsidR="00000E67">
        <w:tc>
          <w:tcPr>
            <w:tcW w:w="407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Thrombocytopenia</w:t>
            </w:r>
          </w:p>
        </w:tc>
        <w:tc>
          <w:tcPr>
            <w:tcW w:w="212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 w:hint="eastAsia"/>
                <w:color w:val="auto"/>
                <w:sz w:val="24"/>
              </w:rPr>
              <w:t>5</w:t>
            </w:r>
          </w:p>
        </w:tc>
        <w:tc>
          <w:tcPr>
            <w:tcW w:w="2126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 w:hint="eastAsia"/>
                <w:color w:val="auto"/>
                <w:sz w:val="24"/>
              </w:rPr>
              <w:t>8</w:t>
            </w:r>
          </w:p>
        </w:tc>
        <w:tc>
          <w:tcPr>
            <w:tcW w:w="1119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1.000</w:t>
            </w:r>
          </w:p>
        </w:tc>
      </w:tr>
      <w:tr w:rsidR="00000E67">
        <w:tc>
          <w:tcPr>
            <w:tcW w:w="407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 xml:space="preserve">Leukopenia </w:t>
            </w:r>
          </w:p>
        </w:tc>
        <w:tc>
          <w:tcPr>
            <w:tcW w:w="212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 w:hint="eastAsia"/>
                <w:color w:val="auto"/>
                <w:sz w:val="24"/>
              </w:rPr>
              <w:t>4</w:t>
            </w:r>
          </w:p>
        </w:tc>
        <w:tc>
          <w:tcPr>
            <w:tcW w:w="2126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 w:hint="eastAsia"/>
                <w:color w:val="auto"/>
                <w:sz w:val="24"/>
              </w:rPr>
              <w:t>4</w:t>
            </w:r>
          </w:p>
        </w:tc>
        <w:tc>
          <w:tcPr>
            <w:tcW w:w="1119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0.698</w:t>
            </w:r>
          </w:p>
        </w:tc>
      </w:tr>
      <w:tr w:rsidR="00000E67">
        <w:tc>
          <w:tcPr>
            <w:tcW w:w="407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Diabetes</w:t>
            </w:r>
          </w:p>
        </w:tc>
        <w:tc>
          <w:tcPr>
            <w:tcW w:w="212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1119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0.289</w:t>
            </w:r>
          </w:p>
        </w:tc>
      </w:tr>
      <w:tr w:rsidR="00000E67">
        <w:tc>
          <w:tcPr>
            <w:tcW w:w="407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Gastrointestinal</w:t>
            </w:r>
          </w:p>
        </w:tc>
        <w:tc>
          <w:tcPr>
            <w:tcW w:w="212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3</w:t>
            </w:r>
          </w:p>
        </w:tc>
        <w:tc>
          <w:tcPr>
            <w:tcW w:w="1119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1.000</w:t>
            </w:r>
          </w:p>
        </w:tc>
      </w:tr>
      <w:tr w:rsidR="00000E67">
        <w:tc>
          <w:tcPr>
            <w:tcW w:w="407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Cardiovascular</w:t>
            </w:r>
          </w:p>
        </w:tc>
        <w:tc>
          <w:tcPr>
            <w:tcW w:w="212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1119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1.000</w:t>
            </w:r>
          </w:p>
        </w:tc>
      </w:tr>
      <w:tr w:rsidR="00000E67">
        <w:tc>
          <w:tcPr>
            <w:tcW w:w="407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Hemorrhage</w:t>
            </w:r>
          </w:p>
        </w:tc>
        <w:tc>
          <w:tcPr>
            <w:tcW w:w="212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 w:hint="eastAsia"/>
                <w:color w:val="auto"/>
                <w:sz w:val="24"/>
              </w:rPr>
              <w:t>0</w:t>
            </w:r>
          </w:p>
        </w:tc>
        <w:tc>
          <w:tcPr>
            <w:tcW w:w="2126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 w:hint="eastAsia"/>
                <w:color w:val="auto"/>
                <w:sz w:val="24"/>
              </w:rPr>
              <w:t>3</w:t>
            </w:r>
          </w:p>
        </w:tc>
        <w:tc>
          <w:tcPr>
            <w:tcW w:w="1119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0.269</w:t>
            </w:r>
          </w:p>
        </w:tc>
      </w:tr>
      <w:tr w:rsidR="00000E67">
        <w:tc>
          <w:tcPr>
            <w:tcW w:w="407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auto"/>
                <w:sz w:val="24"/>
              </w:rPr>
              <w:t>E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>pilepsy</w:t>
            </w:r>
          </w:p>
        </w:tc>
        <w:tc>
          <w:tcPr>
            <w:tcW w:w="212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0</w:t>
            </w:r>
          </w:p>
        </w:tc>
        <w:tc>
          <w:tcPr>
            <w:tcW w:w="1119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0.396</w:t>
            </w:r>
          </w:p>
        </w:tc>
      </w:tr>
      <w:tr w:rsidR="00000E67">
        <w:tc>
          <w:tcPr>
            <w:tcW w:w="407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</w:rPr>
              <w:t xml:space="preserve">Totals  </w:t>
            </w:r>
          </w:p>
        </w:tc>
        <w:tc>
          <w:tcPr>
            <w:tcW w:w="2127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 w:hint="eastAsia"/>
                <w:color w:val="auto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8</w:t>
            </w:r>
          </w:p>
        </w:tc>
        <w:tc>
          <w:tcPr>
            <w:tcW w:w="2126" w:type="dxa"/>
            <w:vAlign w:val="center"/>
          </w:tcPr>
          <w:p w:rsidR="00000E67" w:rsidRDefault="00131E65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 w:hint="eastAsia"/>
                <w:color w:val="auto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5</w:t>
            </w:r>
          </w:p>
        </w:tc>
        <w:tc>
          <w:tcPr>
            <w:tcW w:w="1119" w:type="dxa"/>
            <w:vAlign w:val="center"/>
          </w:tcPr>
          <w:p w:rsidR="00000E67" w:rsidRDefault="00000E67">
            <w:pPr>
              <w:ind w:rightChars="-123" w:right="-271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</w:p>
        </w:tc>
      </w:tr>
    </w:tbl>
    <w:p w:rsidR="00000E67" w:rsidRDefault="00000E67"/>
    <w:sectPr w:rsidR="00000E67" w:rsidSect="005C3C2F">
      <w:footerReference w:type="even" r:id="rId8"/>
      <w:footerReference w:type="default" r:id="rId9"/>
      <w:pgSz w:w="11900" w:h="16840"/>
      <w:pgMar w:top="1134" w:right="1127" w:bottom="1134" w:left="1134" w:header="709" w:footer="85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1687" w:rsidRDefault="000F1687">
      <w:r>
        <w:separator/>
      </w:r>
    </w:p>
  </w:endnote>
  <w:endnote w:type="continuationSeparator" w:id="0">
    <w:p w:rsidR="000F1687" w:rsidRDefault="000F16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charset w:val="50"/>
    <w:family w:val="auto"/>
    <w:pitch w:val="default"/>
    <w:sig w:usb0="00000003" w:usb1="288F0000" w:usb2="0000000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iti SC Light">
    <w:altName w:val="Arial Unicode MS"/>
    <w:charset w:val="50"/>
    <w:family w:val="auto"/>
    <w:pitch w:val="variable"/>
    <w:sig w:usb0="00000000" w:usb1="080E004A" w:usb2="00000010" w:usb3="00000000" w:csb0="003E0000" w:csb1="00000000"/>
  </w:font>
  <w:font w:name="Avenir Black">
    <w:charset w:val="00"/>
    <w:family w:val="auto"/>
    <w:pitch w:val="variable"/>
    <w:sig w:usb0="800000AF" w:usb1="5000204A" w:usb2="00000000" w:usb3="00000000" w:csb0="0000009B" w:csb1="00000000"/>
  </w:font>
  <w:font w:name="Avenir Book">
    <w:charset w:val="00"/>
    <w:family w:val="auto"/>
    <w:pitch w:val="variable"/>
    <w:sig w:usb0="800000AF" w:usb1="5000204A" w:usb2="00000000" w:usb3="00000000" w:csb0="0000009B" w:csb1="00000000"/>
  </w:font>
  <w:font w:name="Xingkai SC Bold">
    <w:altName w:val="Arial Unicode MS"/>
    <w:charset w:val="00"/>
    <w:family w:val="auto"/>
    <w:pitch w:val="variable"/>
    <w:sig w:usb0="00000000" w:usb1="080F0000" w:usb2="00000000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E67" w:rsidRDefault="005C3C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31E6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00E67" w:rsidRDefault="00000E6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E67" w:rsidRDefault="005C3C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31E6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32D9C">
      <w:rPr>
        <w:rStyle w:val="PageNumber"/>
        <w:noProof/>
      </w:rPr>
      <w:t>1</w:t>
    </w:r>
    <w:r>
      <w:rPr>
        <w:rStyle w:val="PageNumber"/>
      </w:rPr>
      <w:fldChar w:fldCharType="end"/>
    </w:r>
  </w:p>
  <w:p w:rsidR="00000E67" w:rsidRDefault="00000E67">
    <w:pPr>
      <w:pStyle w:val="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1687" w:rsidRDefault="000F1687">
      <w:r>
        <w:separator/>
      </w:r>
    </w:p>
  </w:footnote>
  <w:footnote w:type="continuationSeparator" w:id="0">
    <w:p w:rsidR="000F1687" w:rsidRDefault="000F16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1"/>
  </w:docVars>
  <w:rsids>
    <w:rsidRoot w:val="003A2F5E"/>
    <w:rsid w:val="00000E67"/>
    <w:rsid w:val="00032D9C"/>
    <w:rsid w:val="000F1687"/>
    <w:rsid w:val="00131E65"/>
    <w:rsid w:val="0023274A"/>
    <w:rsid w:val="003A2F5E"/>
    <w:rsid w:val="005C3C2F"/>
    <w:rsid w:val="00B907E8"/>
    <w:rsid w:val="00D472B2"/>
    <w:rsid w:val="74E31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C3C2F"/>
    <w:rPr>
      <w:rFonts w:ascii="Helvetica" w:eastAsia="Arial Unicode MS" w:hAnsi="Helvetica" w:cs="Arial Unicode MS"/>
      <w:color w:val="000000"/>
      <w:sz w:val="22"/>
      <w:szCs w:val="22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5C3C2F"/>
    <w:rPr>
      <w:rFonts w:ascii="Heiti SC Light" w:eastAsia="Heiti SC Light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C3C2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PageNumber">
    <w:name w:val="page number"/>
    <w:basedOn w:val="DefaultParagraphFont"/>
    <w:uiPriority w:val="99"/>
    <w:unhideWhenUsed/>
    <w:rsid w:val="005C3C2F"/>
  </w:style>
  <w:style w:type="table" w:styleId="TableGrid">
    <w:name w:val="Table Grid"/>
    <w:basedOn w:val="TableNormal"/>
    <w:uiPriority w:val="59"/>
    <w:rsid w:val="005C3C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页眉与页脚"/>
    <w:rsid w:val="005C3C2F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A0">
    <w:name w:val="默认 A"/>
    <w:rsid w:val="005C3C2F"/>
    <w:rPr>
      <w:rFonts w:ascii="Helvetica" w:eastAsia="Arial Unicode MS" w:hAnsi="Helvetica" w:cs="Arial Unicode MS"/>
      <w:color w:val="000000"/>
      <w:sz w:val="22"/>
      <w:szCs w:val="22"/>
      <w:u w:color="000000"/>
    </w:rPr>
  </w:style>
  <w:style w:type="character" w:customStyle="1" w:styleId="FooterChar">
    <w:name w:val="Footer Char"/>
    <w:basedOn w:val="DefaultParagraphFont"/>
    <w:link w:val="Footer"/>
    <w:uiPriority w:val="99"/>
    <w:rsid w:val="005C3C2F"/>
    <w:rPr>
      <w:rFonts w:ascii="Helvetica" w:eastAsia="Arial Unicode MS" w:hAnsi="Helvetica" w:cs="Arial Unicode MS"/>
      <w:color w:val="000000"/>
      <w:kern w:val="0"/>
      <w:sz w:val="18"/>
      <w:szCs w:val="18"/>
      <w:u w:color="000000"/>
    </w:rPr>
  </w:style>
  <w:style w:type="paragraph" w:customStyle="1" w:styleId="EndNoteBibliography">
    <w:name w:val="EndNote Bibliography"/>
    <w:basedOn w:val="Normal"/>
    <w:link w:val="EndNoteBibliography0"/>
    <w:rsid w:val="005C3C2F"/>
    <w:pPr>
      <w:jc w:val="both"/>
    </w:pPr>
    <w:rPr>
      <w:rFonts w:cs="Helvetica"/>
    </w:rPr>
  </w:style>
  <w:style w:type="character" w:customStyle="1" w:styleId="EndNoteBibliography0">
    <w:name w:val="EndNote Bibliography 字符"/>
    <w:basedOn w:val="DefaultParagraphFont"/>
    <w:link w:val="EndNoteBibliography"/>
    <w:rsid w:val="005C3C2F"/>
    <w:rPr>
      <w:rFonts w:ascii="Helvetica" w:eastAsia="Arial Unicode MS" w:hAnsi="Helvetica" w:cs="Helvetica"/>
      <w:color w:val="000000"/>
      <w:kern w:val="0"/>
      <w:sz w:val="22"/>
      <w:szCs w:val="22"/>
      <w:u w:color="00000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C2F"/>
    <w:rPr>
      <w:rFonts w:ascii="Heiti SC Light" w:eastAsia="Heiti SC Light" w:hAnsi="Helvetica" w:cs="Arial Unicode MS"/>
      <w:color w:val="000000"/>
      <w:kern w:val="0"/>
      <w:sz w:val="18"/>
      <w:szCs w:val="18"/>
      <w:u w:color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Helvetica" w:eastAsia="Arial Unicode MS" w:hAnsi="Helvetica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rFonts w:ascii="Heiti SC Light" w:eastAsia="Heiti SC Light"/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a7">
    <w:name w:val="page number"/>
    <w:basedOn w:val="a0"/>
    <w:uiPriority w:val="99"/>
    <w:unhideWhenUsed/>
  </w:style>
  <w:style w:type="table" w:styleId="a8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页眉与页脚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Aa">
    <w:name w:val="默认 A"/>
    <w:rPr>
      <w:rFonts w:ascii="Helvetica" w:eastAsia="Arial Unicode MS" w:hAnsi="Helvetica" w:cs="Arial Unicode MS"/>
      <w:color w:val="000000"/>
      <w:sz w:val="22"/>
      <w:szCs w:val="22"/>
      <w:u w:color="000000"/>
    </w:rPr>
  </w:style>
  <w:style w:type="character" w:customStyle="1" w:styleId="a6">
    <w:name w:val="页脚字符"/>
    <w:basedOn w:val="a0"/>
    <w:link w:val="a5"/>
    <w:uiPriority w:val="99"/>
    <w:rPr>
      <w:rFonts w:ascii="Helvetica" w:eastAsia="Arial Unicode MS" w:hAnsi="Helvetica" w:cs="Arial Unicode MS"/>
      <w:color w:val="000000"/>
      <w:kern w:val="0"/>
      <w:sz w:val="18"/>
      <w:szCs w:val="18"/>
      <w:u w:color="000000"/>
    </w:rPr>
  </w:style>
  <w:style w:type="paragraph" w:customStyle="1" w:styleId="EndNoteBibliography">
    <w:name w:val="EndNote Bibliography"/>
    <w:basedOn w:val="a"/>
    <w:link w:val="EndNoteBibliography0"/>
    <w:pPr>
      <w:jc w:val="both"/>
    </w:pPr>
    <w:rPr>
      <w:rFonts w:cs="Helvetica"/>
    </w:rPr>
  </w:style>
  <w:style w:type="character" w:customStyle="1" w:styleId="EndNoteBibliography0">
    <w:name w:val="EndNote Bibliography 字符"/>
    <w:basedOn w:val="a0"/>
    <w:link w:val="EndNoteBibliography"/>
    <w:rPr>
      <w:rFonts w:ascii="Helvetica" w:eastAsia="Arial Unicode MS" w:hAnsi="Helvetica" w:cs="Helvetica"/>
      <w:color w:val="000000"/>
      <w:kern w:val="0"/>
      <w:sz w:val="22"/>
      <w:szCs w:val="22"/>
      <w:u w:color="000000"/>
    </w:rPr>
  </w:style>
  <w:style w:type="character" w:customStyle="1" w:styleId="a4">
    <w:name w:val="批注框文本字符"/>
    <w:basedOn w:val="a0"/>
    <w:link w:val="a3"/>
    <w:uiPriority w:val="99"/>
    <w:semiHidden/>
    <w:rPr>
      <w:rFonts w:ascii="Heiti SC Light" w:eastAsia="Heiti SC Light" w:hAnsi="Helvetica" w:cs="Arial Unicode MS"/>
      <w:color w:val="000000"/>
      <w:kern w:val="0"/>
      <w:sz w:val="18"/>
      <w:szCs w:val="18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880</Characters>
  <Application>Microsoft Office Word</Application>
  <DocSecurity>0</DocSecurity>
  <Lines>97</Lines>
  <Paragraphs>94</Paragraphs>
  <ScaleCrop>false</ScaleCrop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YH</dc:creator>
  <cp:lastModifiedBy>AVILAR</cp:lastModifiedBy>
  <cp:revision>4</cp:revision>
  <dcterms:created xsi:type="dcterms:W3CDTF">2017-07-04T13:00:00Z</dcterms:created>
  <dcterms:modified xsi:type="dcterms:W3CDTF">2017-12-08T02:41:00Z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