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733" w:rsidRDefault="00055733" w:rsidP="00055733">
      <w:pPr>
        <w:spacing w:before="100" w:beforeAutospacing="1" w:after="100" w:afterAutospacing="1" w:line="480" w:lineRule="auto"/>
        <w:ind w:left="-142"/>
        <w:rPr>
          <w:rFonts w:ascii="Arial" w:hAnsi="Arial" w:cs="Arial"/>
          <w:b/>
          <w:sz w:val="22"/>
          <w:szCs w:val="22"/>
          <w:lang w:val="en-GB"/>
        </w:rPr>
      </w:pPr>
      <w:r w:rsidRPr="00FE7540">
        <w:rPr>
          <w:rFonts w:ascii="Arial" w:hAnsi="Arial" w:cs="Arial"/>
          <w:b/>
          <w:sz w:val="22"/>
          <w:szCs w:val="22"/>
          <w:lang w:val="en-GB"/>
        </w:rPr>
        <w:t xml:space="preserve">Histological findings to five years after early conversion of kidney transplant patients from cyclosporine to everolimus: An analysis from the randomized ZEUS study </w:t>
      </w:r>
    </w:p>
    <w:p w:rsidR="00055733" w:rsidRPr="00E227CF" w:rsidRDefault="00055733" w:rsidP="00055733">
      <w:pPr>
        <w:spacing w:before="100" w:beforeAutospacing="1" w:after="100" w:afterAutospacing="1" w:line="480" w:lineRule="auto"/>
        <w:ind w:left="-142"/>
        <w:rPr>
          <w:rFonts w:ascii="Arial" w:hAnsi="Arial" w:cs="Arial"/>
          <w:sz w:val="22"/>
          <w:szCs w:val="22"/>
          <w:lang w:val="en-GB"/>
        </w:rPr>
      </w:pPr>
      <w:proofErr w:type="spellStart"/>
      <w:r>
        <w:rPr>
          <w:rFonts w:ascii="Arial" w:hAnsi="Arial" w:cs="Arial"/>
          <w:sz w:val="22"/>
          <w:szCs w:val="22"/>
          <w:lang w:val="en-GB"/>
        </w:rPr>
        <w:t>Eisenberger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U et al</w:t>
      </w:r>
    </w:p>
    <w:p w:rsidR="00E96E9D" w:rsidRPr="00E96E9D" w:rsidRDefault="00E96E9D" w:rsidP="00055733">
      <w:pPr>
        <w:spacing w:line="480" w:lineRule="auto"/>
        <w:ind w:left="-142"/>
        <w:rPr>
          <w:rFonts w:ascii="Arial" w:hAnsi="Arial" w:cs="Arial"/>
          <w:b/>
          <w:sz w:val="22"/>
          <w:szCs w:val="22"/>
        </w:rPr>
      </w:pPr>
      <w:r w:rsidRPr="00E96E9D">
        <w:rPr>
          <w:rFonts w:ascii="Arial" w:hAnsi="Arial" w:cs="Arial"/>
          <w:b/>
          <w:sz w:val="22"/>
          <w:szCs w:val="22"/>
        </w:rPr>
        <w:t>Additional files</w:t>
      </w:r>
    </w:p>
    <w:p w:rsidR="00055733" w:rsidRPr="00FE7540" w:rsidRDefault="00E96E9D" w:rsidP="00055733">
      <w:pPr>
        <w:spacing w:line="480" w:lineRule="auto"/>
        <w:ind w:left="-142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Additional </w:t>
      </w:r>
      <w:r w:rsidR="00055733" w:rsidRPr="00FE7540">
        <w:rPr>
          <w:rFonts w:ascii="Arial" w:hAnsi="Arial" w:cs="Arial"/>
          <w:b/>
          <w:sz w:val="22"/>
          <w:szCs w:val="22"/>
        </w:rPr>
        <w:t xml:space="preserve">Table </w:t>
      </w:r>
      <w:r w:rsidR="00DC5D70">
        <w:rPr>
          <w:rFonts w:ascii="Arial" w:hAnsi="Arial" w:cs="Arial"/>
          <w:b/>
          <w:sz w:val="22"/>
          <w:szCs w:val="22"/>
        </w:rPr>
        <w:t>S</w:t>
      </w:r>
      <w:r w:rsidR="00055733" w:rsidRPr="00FE7540">
        <w:rPr>
          <w:rFonts w:ascii="Arial" w:hAnsi="Arial" w:cs="Arial"/>
          <w:b/>
          <w:sz w:val="22"/>
          <w:szCs w:val="22"/>
        </w:rPr>
        <w:t>1</w:t>
      </w:r>
      <w:r w:rsidR="00055733" w:rsidRPr="00FE7540">
        <w:rPr>
          <w:rFonts w:ascii="Arial" w:hAnsi="Arial" w:cs="Arial"/>
          <w:sz w:val="22"/>
          <w:szCs w:val="22"/>
        </w:rPr>
        <w:t>.</w:t>
      </w:r>
      <w:proofErr w:type="gramEnd"/>
      <w:r w:rsidR="00055733" w:rsidRPr="00FE7540">
        <w:rPr>
          <w:rFonts w:ascii="Arial" w:hAnsi="Arial" w:cs="Arial"/>
          <w:sz w:val="22"/>
          <w:szCs w:val="22"/>
        </w:rPr>
        <w:t xml:space="preserve"> Baseline characteristics (safety population)</w:t>
      </w:r>
    </w:p>
    <w:p w:rsidR="00055733" w:rsidRPr="00FE7540" w:rsidRDefault="00055733" w:rsidP="00055733">
      <w:pPr>
        <w:rPr>
          <w:rFonts w:ascii="Arial" w:hAnsi="Arial" w:cs="Arial"/>
          <w:sz w:val="22"/>
          <w:szCs w:val="22"/>
        </w:rPr>
      </w:pPr>
    </w:p>
    <w:tbl>
      <w:tblPr>
        <w:tblW w:w="8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295"/>
        <w:gridCol w:w="1502"/>
        <w:gridCol w:w="1503"/>
      </w:tblGrid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40">
              <w:rPr>
                <w:rFonts w:ascii="Arial" w:hAnsi="Arial" w:cs="Arial"/>
                <w:b/>
                <w:sz w:val="20"/>
                <w:szCs w:val="20"/>
              </w:rPr>
              <w:t>Everolimus</w:t>
            </w:r>
            <w:r w:rsidRPr="00FE7540">
              <w:rPr>
                <w:rFonts w:ascii="Arial" w:hAnsi="Arial" w:cs="Arial"/>
                <w:b/>
                <w:sz w:val="20"/>
                <w:szCs w:val="20"/>
              </w:rPr>
              <w:br/>
              <w:t>(n=155)</w:t>
            </w:r>
            <w:r w:rsidRPr="00FE754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40">
              <w:rPr>
                <w:rFonts w:ascii="Arial" w:hAnsi="Arial" w:cs="Arial"/>
                <w:b/>
                <w:sz w:val="20"/>
                <w:szCs w:val="20"/>
              </w:rPr>
              <w:t>CsA</w:t>
            </w:r>
            <w:r w:rsidRPr="00FE7540">
              <w:rPr>
                <w:rFonts w:ascii="Arial" w:hAnsi="Arial" w:cs="Arial"/>
                <w:b/>
                <w:sz w:val="20"/>
                <w:szCs w:val="20"/>
              </w:rPr>
              <w:br/>
              <w:t>(n=145)</w:t>
            </w:r>
            <w:r w:rsidRPr="00FE754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40">
              <w:rPr>
                <w:rFonts w:ascii="Arial" w:hAnsi="Arial" w:cs="Arial"/>
                <w:b/>
                <w:sz w:val="20"/>
                <w:szCs w:val="20"/>
              </w:rPr>
              <w:t>P value</w:t>
            </w:r>
            <w:r w:rsidRPr="00FE754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46.9 (11.7)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46.7 (11.9)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0.883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Male gender, n (%)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102 (66)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86 (59)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0.282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Ethnic origin, n (%)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White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Asian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Other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br/>
              <w:t>152 (98)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2 (1)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 (&lt;1)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139 (96)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 (3)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2 (1)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0.323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Body mass index (kg/m</w:t>
            </w:r>
            <w:r w:rsidRPr="00FE754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E7540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25.6 (4.0)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24.4 (4.0)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40">
              <w:rPr>
                <w:rFonts w:ascii="Arial" w:hAnsi="Arial" w:cs="Arial"/>
                <w:b/>
                <w:sz w:val="20"/>
                <w:szCs w:val="20"/>
              </w:rPr>
              <w:t>0.010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End-stage disease leading to transplantation, n (%)   </w:t>
            </w:r>
            <w:r w:rsidRPr="00FE7540">
              <w:rPr>
                <w:rFonts w:ascii="Arial" w:hAnsi="Arial" w:cs="Arial"/>
                <w:sz w:val="20"/>
                <w:szCs w:val="20"/>
              </w:rPr>
              <w:br/>
              <w:t xml:space="preserve">   Glomerulonephritis/glomerular disease</w:t>
            </w:r>
          </w:p>
          <w:p w:rsidR="00055733" w:rsidRPr="00FE7540" w:rsidRDefault="00055733" w:rsidP="00B1708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Polycystic disease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IgA nephropathy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Hypertension or </w:t>
            </w:r>
            <w:proofErr w:type="spellStart"/>
            <w:r w:rsidRPr="00FE7540">
              <w:rPr>
                <w:rFonts w:ascii="Arial" w:hAnsi="Arial" w:cs="Arial"/>
                <w:sz w:val="20"/>
                <w:szCs w:val="20"/>
              </w:rPr>
              <w:t>nephrosclerosis</w:t>
            </w:r>
            <w:proofErr w:type="spellEnd"/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  <w:lang w:val="en-GB" w:eastAsia="en-GB"/>
              </w:rPr>
              <w:t>Pyelonephritis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Other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Unknown 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42 (27)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27 (17)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19 (12)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11 (7)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11 (7)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39 (25)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6 (4)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47 (32)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24 (17)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17 (12)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9 (6)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 (3)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38 (26)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6 (4)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0.715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7540">
              <w:rPr>
                <w:rFonts w:ascii="Arial" w:hAnsi="Arial" w:cs="Arial"/>
                <w:sz w:val="20"/>
                <w:szCs w:val="20"/>
              </w:rPr>
              <w:t>Pretransplant</w:t>
            </w:r>
            <w:proofErr w:type="spellEnd"/>
            <w:r w:rsidRPr="00FE7540">
              <w:rPr>
                <w:rFonts w:ascii="Arial" w:hAnsi="Arial" w:cs="Arial"/>
                <w:sz w:val="20"/>
                <w:szCs w:val="20"/>
              </w:rPr>
              <w:t xml:space="preserve"> dialysis, n (%)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141 (91)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137 (94)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0.274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Number of previous renal transplants, n (%)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0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1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134 (86)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21 (14)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br/>
              <w:t>122 (84)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19 (13)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 (3)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0.626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  <w:lang w:val="en-GB" w:eastAsia="en-GB"/>
              </w:rPr>
              <w:t>Panel-reactive antibodies &gt;5% at most recent assessment, n (%)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 (&lt;1)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 (3)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0.201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  <w:lang w:val="en-GB" w:eastAsia="en-GB"/>
              </w:rPr>
              <w:t>Cold ischemia time (h) (deceased donors)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14.0 (5.7)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14.6 (5.0)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0.409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Diabetes at baseline, n (%)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13 (8)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12 (8)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Donor age (years)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47.5 (12.4)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47.6 (13.1)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0.946</w:t>
            </w:r>
          </w:p>
        </w:tc>
      </w:tr>
      <w:tr w:rsidR="00055733" w:rsidRPr="00FE7540" w:rsidTr="00B1708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Donor type, n (%)</w:t>
            </w:r>
            <w:r w:rsidRPr="00FE7540">
              <w:rPr>
                <w:rFonts w:ascii="Arial" w:hAnsi="Arial" w:cs="Arial"/>
                <w:sz w:val="20"/>
                <w:szCs w:val="20"/>
              </w:rPr>
              <w:br/>
              <w:t xml:space="preserve">   Living related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Living unrelated</w:t>
            </w:r>
          </w:p>
          <w:p w:rsidR="00055733" w:rsidRPr="00FE7540" w:rsidRDefault="00055733" w:rsidP="00B170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 xml:space="preserve">   Deceased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br/>
              <w:t>27 (17)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15 (10)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113 (73)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br/>
              <w:t>30 (21)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8 (6)</w:t>
            </w:r>
          </w:p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107 (74)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33" w:rsidRPr="00FE7540" w:rsidRDefault="00055733" w:rsidP="00B170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40">
              <w:rPr>
                <w:rFonts w:ascii="Arial" w:hAnsi="Arial" w:cs="Arial"/>
                <w:sz w:val="20"/>
                <w:szCs w:val="20"/>
              </w:rPr>
              <w:t>0.346</w:t>
            </w:r>
          </w:p>
        </w:tc>
      </w:tr>
    </w:tbl>
    <w:p w:rsidR="00055733" w:rsidRPr="00FE7540" w:rsidRDefault="00055733" w:rsidP="00055733">
      <w:pPr>
        <w:ind w:left="-284"/>
        <w:rPr>
          <w:rFonts w:ascii="Arial" w:hAnsi="Arial" w:cs="Arial"/>
          <w:sz w:val="20"/>
          <w:szCs w:val="20"/>
        </w:rPr>
      </w:pPr>
      <w:r w:rsidRPr="00FE7540">
        <w:rPr>
          <w:rFonts w:ascii="Arial" w:hAnsi="Arial" w:cs="Arial"/>
          <w:sz w:val="20"/>
          <w:szCs w:val="20"/>
        </w:rPr>
        <w:t xml:space="preserve">    Continuous variables are shown as mean (SD)</w:t>
      </w:r>
    </w:p>
    <w:p w:rsidR="00055733" w:rsidRPr="00FE7540" w:rsidRDefault="00055733" w:rsidP="00055733">
      <w:pPr>
        <w:rPr>
          <w:rFonts w:ascii="Arial" w:hAnsi="Arial" w:cs="Arial"/>
          <w:sz w:val="20"/>
          <w:szCs w:val="20"/>
        </w:rPr>
      </w:pPr>
      <w:proofErr w:type="gramStart"/>
      <w:r w:rsidRPr="00FE7540">
        <w:rPr>
          <w:rFonts w:ascii="Arial" w:hAnsi="Arial" w:cs="Arial"/>
          <w:sz w:val="20"/>
          <w:szCs w:val="20"/>
          <w:vertAlign w:val="superscript"/>
        </w:rPr>
        <w:lastRenderedPageBreak/>
        <w:t>a</w:t>
      </w:r>
      <w:proofErr w:type="gramEnd"/>
      <w:r w:rsidRPr="00FE7540">
        <w:rPr>
          <w:rFonts w:ascii="Arial" w:hAnsi="Arial" w:cs="Arial"/>
          <w:sz w:val="20"/>
          <w:szCs w:val="20"/>
        </w:rPr>
        <w:t xml:space="preserve"> One patient randomized to CsA was given everolimus in error</w:t>
      </w:r>
      <w:r w:rsidRPr="00FE7540">
        <w:rPr>
          <w:rFonts w:ascii="Arial" w:hAnsi="Arial" w:cs="Arial"/>
          <w:sz w:val="20"/>
          <w:szCs w:val="20"/>
        </w:rPr>
        <w:br/>
      </w:r>
      <w:r w:rsidRPr="00FE7540">
        <w:rPr>
          <w:rFonts w:ascii="Arial" w:hAnsi="Arial" w:cs="Arial"/>
          <w:sz w:val="20"/>
          <w:szCs w:val="20"/>
          <w:vertAlign w:val="superscript"/>
        </w:rPr>
        <w:t>b</w:t>
      </w:r>
      <w:r w:rsidRPr="00FE7540">
        <w:rPr>
          <w:rFonts w:ascii="Arial" w:hAnsi="Arial" w:cs="Arial"/>
          <w:sz w:val="20"/>
          <w:szCs w:val="20"/>
        </w:rPr>
        <w:t xml:space="preserve"> T-test (two-sided), Fisher's test (two-sided) or Chi square test as appropriate</w:t>
      </w:r>
    </w:p>
    <w:p w:rsidR="00055733" w:rsidRPr="00FE7540" w:rsidRDefault="00055733" w:rsidP="00055733">
      <w:pPr>
        <w:rPr>
          <w:rFonts w:ascii="Arial" w:hAnsi="Arial" w:cs="Arial"/>
          <w:sz w:val="20"/>
          <w:szCs w:val="20"/>
        </w:rPr>
      </w:pPr>
      <w:r w:rsidRPr="00FE7540">
        <w:rPr>
          <w:rFonts w:ascii="Arial" w:hAnsi="Arial" w:cs="Arial"/>
          <w:sz w:val="20"/>
          <w:szCs w:val="20"/>
        </w:rPr>
        <w:t>CsA cyclosporine; SD, standard deviation</w:t>
      </w:r>
    </w:p>
    <w:p w:rsidR="00055733" w:rsidRPr="00FE7540" w:rsidRDefault="00055733" w:rsidP="00055733">
      <w:pPr>
        <w:ind w:left="-142"/>
        <w:rPr>
          <w:rFonts w:ascii="Arial" w:hAnsi="Arial" w:cs="Arial"/>
          <w:sz w:val="22"/>
          <w:szCs w:val="22"/>
        </w:rPr>
      </w:pPr>
      <w:r w:rsidRPr="00FE7540">
        <w:rPr>
          <w:rFonts w:ascii="Arial" w:hAnsi="Arial" w:cs="Arial"/>
          <w:sz w:val="20"/>
          <w:szCs w:val="20"/>
        </w:rPr>
        <w:br w:type="page"/>
      </w:r>
      <w:proofErr w:type="gramStart"/>
      <w:r w:rsidR="00E96E9D" w:rsidRPr="00E96E9D">
        <w:rPr>
          <w:rFonts w:ascii="Arial" w:hAnsi="Arial" w:cs="Arial"/>
          <w:b/>
          <w:sz w:val="22"/>
          <w:szCs w:val="22"/>
        </w:rPr>
        <w:lastRenderedPageBreak/>
        <w:t>Additional</w:t>
      </w:r>
      <w:r w:rsidRPr="00FE7540">
        <w:rPr>
          <w:rFonts w:ascii="Arial" w:hAnsi="Arial" w:cs="Arial"/>
          <w:b/>
          <w:sz w:val="22"/>
          <w:szCs w:val="22"/>
        </w:rPr>
        <w:t xml:space="preserve"> Table </w:t>
      </w:r>
      <w:r w:rsidR="00DC5D70">
        <w:rPr>
          <w:rFonts w:ascii="Arial" w:hAnsi="Arial" w:cs="Arial"/>
          <w:b/>
          <w:sz w:val="22"/>
          <w:szCs w:val="22"/>
        </w:rPr>
        <w:t>S</w:t>
      </w:r>
      <w:r w:rsidRPr="00FE7540">
        <w:rPr>
          <w:rFonts w:ascii="Arial" w:hAnsi="Arial" w:cs="Arial"/>
          <w:b/>
          <w:sz w:val="22"/>
          <w:szCs w:val="22"/>
        </w:rPr>
        <w:t>2</w:t>
      </w:r>
      <w:r w:rsidRPr="00FE7540">
        <w:rPr>
          <w:rFonts w:ascii="Arial" w:hAnsi="Arial" w:cs="Arial"/>
          <w:sz w:val="22"/>
          <w:szCs w:val="22"/>
        </w:rPr>
        <w:t>.</w:t>
      </w:r>
      <w:proofErr w:type="gramEnd"/>
      <w:r w:rsidRPr="00FE7540">
        <w:rPr>
          <w:rFonts w:ascii="Arial" w:hAnsi="Arial" w:cs="Arial"/>
          <w:sz w:val="22"/>
          <w:szCs w:val="22"/>
        </w:rPr>
        <w:t xml:space="preserve"> Immunosuppression at five years post-transplant (safety population), n (%)</w:t>
      </w:r>
    </w:p>
    <w:p w:rsidR="00055733" w:rsidRPr="00FE7540" w:rsidRDefault="00055733" w:rsidP="00055733">
      <w:pPr>
        <w:rPr>
          <w:rFonts w:ascii="Arial" w:hAnsi="Arial" w:cs="Arial"/>
          <w:sz w:val="22"/>
          <w:szCs w:val="22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00"/>
        <w:gridCol w:w="2500"/>
      </w:tblGrid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E7540">
              <w:rPr>
                <w:rFonts w:ascii="Arial" w:hAnsi="Arial" w:cs="Arial"/>
                <w:b/>
                <w:sz w:val="22"/>
                <w:szCs w:val="22"/>
              </w:rPr>
              <w:t>Everolimus</w:t>
            </w:r>
            <w:r w:rsidRPr="00FE7540">
              <w:rPr>
                <w:rFonts w:ascii="Arial" w:hAnsi="Arial" w:cs="Arial"/>
                <w:b/>
                <w:sz w:val="22"/>
                <w:szCs w:val="22"/>
              </w:rPr>
              <w:br/>
              <w:t>(n=155)</w:t>
            </w:r>
            <w:r w:rsidRPr="00FE7540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E7540">
              <w:rPr>
                <w:rFonts w:ascii="Arial" w:hAnsi="Arial" w:cs="Arial"/>
                <w:b/>
                <w:sz w:val="22"/>
                <w:szCs w:val="22"/>
              </w:rPr>
              <w:t>CsA</w:t>
            </w:r>
            <w:r w:rsidRPr="00FE7540">
              <w:rPr>
                <w:rFonts w:ascii="Arial" w:hAnsi="Arial" w:cs="Arial"/>
                <w:b/>
                <w:sz w:val="22"/>
                <w:szCs w:val="22"/>
              </w:rPr>
              <w:br/>
              <w:t>(n=145)</w:t>
            </w:r>
            <w:r w:rsidRPr="00FE7540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a</w:t>
            </w:r>
          </w:p>
        </w:tc>
      </w:tr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Everolimus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70 (45.2)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10 (6.9)</w:t>
            </w:r>
          </w:p>
        </w:tc>
      </w:tr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CsA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19 (12.3)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85 (58.6)</w:t>
            </w:r>
          </w:p>
        </w:tc>
      </w:tr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Tacrolimus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28 (18.1)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11 (7.6)</w:t>
            </w:r>
          </w:p>
        </w:tc>
      </w:tr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Everolimus + tacrolimus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1 (0.6)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1 (0.7)</w:t>
            </w:r>
          </w:p>
        </w:tc>
      </w:tr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Sirolimus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1 (0.6)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4 (2.8)</w:t>
            </w:r>
          </w:p>
        </w:tc>
      </w:tr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EC-MPS monotherapy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2 (1.3)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55733" w:rsidRPr="00FE7540" w:rsidTr="00B1708A">
        <w:tc>
          <w:tcPr>
            <w:tcW w:w="4248" w:type="dxa"/>
          </w:tcPr>
          <w:p w:rsidR="00055733" w:rsidRPr="00FE7540" w:rsidRDefault="00055733" w:rsidP="00B1708A">
            <w:pPr>
              <w:spacing w:line="360" w:lineRule="auto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Missing data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34 (21.9)</w:t>
            </w:r>
          </w:p>
        </w:tc>
        <w:tc>
          <w:tcPr>
            <w:tcW w:w="2500" w:type="dxa"/>
          </w:tcPr>
          <w:p w:rsidR="00055733" w:rsidRPr="00FE7540" w:rsidRDefault="00055733" w:rsidP="00B1708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540">
              <w:rPr>
                <w:rFonts w:ascii="Arial" w:hAnsi="Arial" w:cs="Arial"/>
                <w:sz w:val="22"/>
                <w:szCs w:val="22"/>
              </w:rPr>
              <w:t>34 (23.4)</w:t>
            </w:r>
          </w:p>
        </w:tc>
      </w:tr>
    </w:tbl>
    <w:p w:rsidR="00055733" w:rsidRPr="00FE7540" w:rsidRDefault="00055733" w:rsidP="00055733">
      <w:pPr>
        <w:rPr>
          <w:rFonts w:ascii="Arial" w:hAnsi="Arial" w:cs="Arial"/>
          <w:sz w:val="22"/>
          <w:szCs w:val="22"/>
        </w:rPr>
      </w:pPr>
      <w:r w:rsidRPr="00FE7540">
        <w:rPr>
          <w:rFonts w:ascii="Arial" w:hAnsi="Arial" w:cs="Arial"/>
          <w:sz w:val="22"/>
          <w:szCs w:val="22"/>
        </w:rPr>
        <w:br/>
      </w:r>
      <w:proofErr w:type="gramStart"/>
      <w:r w:rsidRPr="00FE7540">
        <w:rPr>
          <w:rFonts w:ascii="Arial" w:hAnsi="Arial" w:cs="Arial"/>
          <w:sz w:val="22"/>
          <w:szCs w:val="22"/>
          <w:vertAlign w:val="superscript"/>
        </w:rPr>
        <w:t>a</w:t>
      </w:r>
      <w:proofErr w:type="gramEnd"/>
      <w:r w:rsidRPr="00FE7540">
        <w:rPr>
          <w:rFonts w:ascii="Arial" w:hAnsi="Arial" w:cs="Arial"/>
          <w:sz w:val="22"/>
          <w:szCs w:val="22"/>
        </w:rPr>
        <w:t xml:space="preserve"> One patient assigned to CsA was given everolimus in error</w:t>
      </w:r>
    </w:p>
    <w:p w:rsidR="00055733" w:rsidRPr="00FE7540" w:rsidRDefault="00055733" w:rsidP="00055733">
      <w:pPr>
        <w:rPr>
          <w:rFonts w:ascii="Arial" w:hAnsi="Arial" w:cs="Arial"/>
          <w:sz w:val="22"/>
          <w:szCs w:val="22"/>
        </w:rPr>
      </w:pPr>
      <w:r w:rsidRPr="00FE7540">
        <w:rPr>
          <w:rFonts w:ascii="Arial" w:hAnsi="Arial" w:cs="Arial"/>
          <w:sz w:val="22"/>
          <w:szCs w:val="22"/>
        </w:rPr>
        <w:t xml:space="preserve">CsA, cyclosporine; EC-MPS, enteric-coated mycophenolate sodium </w:t>
      </w:r>
    </w:p>
    <w:p w:rsidR="00055733" w:rsidRPr="00FE7540" w:rsidRDefault="00055733" w:rsidP="00055733">
      <w:pPr>
        <w:rPr>
          <w:rFonts w:ascii="Arial" w:hAnsi="Arial" w:cs="Arial"/>
          <w:b/>
          <w:sz w:val="22"/>
          <w:szCs w:val="22"/>
        </w:rPr>
      </w:pPr>
      <w:r w:rsidRPr="00FE7540">
        <w:rPr>
          <w:rFonts w:ascii="Arial" w:hAnsi="Arial" w:cs="Arial"/>
          <w:b/>
          <w:sz w:val="22"/>
          <w:szCs w:val="22"/>
        </w:rPr>
        <w:br w:type="page"/>
      </w:r>
    </w:p>
    <w:p w:rsidR="00055733" w:rsidRPr="00FE7540" w:rsidRDefault="00055733" w:rsidP="00055733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  <w:sectPr w:rsidR="00055733" w:rsidRPr="00FE7540" w:rsidSect="0032745A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055733" w:rsidRPr="00E227CF" w:rsidRDefault="00E96E9D" w:rsidP="00055733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lastRenderedPageBreak/>
        <w:t xml:space="preserve">Additional </w:t>
      </w:r>
      <w:r w:rsidR="00055733" w:rsidRPr="00E227CF">
        <w:rPr>
          <w:rFonts w:ascii="Arial" w:hAnsi="Arial" w:cs="Arial"/>
          <w:b/>
          <w:sz w:val="22"/>
          <w:szCs w:val="22"/>
        </w:rPr>
        <w:t xml:space="preserve">Table </w:t>
      </w:r>
      <w:r w:rsidR="00DC5D70">
        <w:rPr>
          <w:rFonts w:ascii="Arial" w:hAnsi="Arial" w:cs="Arial"/>
          <w:b/>
          <w:sz w:val="22"/>
          <w:szCs w:val="22"/>
        </w:rPr>
        <w:t>S</w:t>
      </w:r>
      <w:r w:rsidR="00055733" w:rsidRPr="00E227CF">
        <w:rPr>
          <w:rFonts w:ascii="Arial" w:hAnsi="Arial" w:cs="Arial"/>
          <w:b/>
          <w:sz w:val="22"/>
          <w:szCs w:val="22"/>
        </w:rPr>
        <w:t>3.</w:t>
      </w:r>
      <w:proofErr w:type="gramEnd"/>
      <w:r w:rsidR="00055733" w:rsidRPr="00E227CF">
        <w:rPr>
          <w:rFonts w:ascii="Arial" w:hAnsi="Arial" w:cs="Arial"/>
          <w:b/>
          <w:sz w:val="22"/>
          <w:szCs w:val="22"/>
        </w:rPr>
        <w:t xml:space="preserve"> </w:t>
      </w:r>
      <w:r w:rsidR="00055733" w:rsidRPr="00E227CF">
        <w:rPr>
          <w:rFonts w:ascii="Arial" w:hAnsi="Arial" w:cs="Arial"/>
          <w:sz w:val="22"/>
          <w:szCs w:val="22"/>
        </w:rPr>
        <w:t xml:space="preserve">Pathology assessment of biopsies according to Banff criteria in patients with ≥1 biopsy not categorized as 'protocol-specified' or 'investigator-initiated'. </w:t>
      </w:r>
    </w:p>
    <w:p w:rsidR="00055733" w:rsidRPr="00E227CF" w:rsidRDefault="00055733" w:rsidP="00055733">
      <w:pPr>
        <w:rPr>
          <w:rFonts w:ascii="Arial" w:hAnsi="Arial" w:cs="Arial"/>
          <w:sz w:val="22"/>
          <w:szCs w:val="22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1701"/>
      </w:tblGrid>
      <w:tr w:rsidR="00055733" w:rsidRPr="00E227CF" w:rsidTr="00B1708A">
        <w:tc>
          <w:tcPr>
            <w:tcW w:w="3936" w:type="dxa"/>
            <w:vMerge w:val="restart"/>
          </w:tcPr>
          <w:p w:rsidR="00055733" w:rsidRPr="00E227CF" w:rsidRDefault="00055733" w:rsidP="00B170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227CF">
              <w:rPr>
                <w:rFonts w:ascii="Arial" w:hAnsi="Arial" w:cs="Arial"/>
                <w:b/>
                <w:sz w:val="20"/>
                <w:szCs w:val="20"/>
              </w:rPr>
              <w:t>n</w:t>
            </w:r>
            <w:proofErr w:type="gramEnd"/>
            <w:r w:rsidRPr="00E227CF">
              <w:rPr>
                <w:rFonts w:ascii="Arial" w:hAnsi="Arial" w:cs="Arial"/>
                <w:b/>
                <w:sz w:val="20"/>
                <w:szCs w:val="20"/>
              </w:rPr>
              <w:t xml:space="preserve"> (%)</w:t>
            </w:r>
          </w:p>
        </w:tc>
      </w:tr>
      <w:tr w:rsidR="00055733" w:rsidRPr="00E227CF" w:rsidTr="00B1708A">
        <w:tc>
          <w:tcPr>
            <w:tcW w:w="3936" w:type="dxa"/>
            <w:vMerge/>
          </w:tcPr>
          <w:p w:rsidR="00055733" w:rsidRPr="00E227CF" w:rsidRDefault="00055733" w:rsidP="00B1708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7CF">
              <w:rPr>
                <w:rFonts w:ascii="Arial" w:hAnsi="Arial" w:cs="Arial"/>
                <w:b/>
                <w:sz w:val="20"/>
                <w:szCs w:val="20"/>
              </w:rPr>
              <w:t>Everolimus</w:t>
            </w:r>
          </w:p>
          <w:p w:rsidR="00055733" w:rsidRPr="00E227CF" w:rsidRDefault="00055733" w:rsidP="00B170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7CF">
              <w:rPr>
                <w:rFonts w:ascii="Arial" w:hAnsi="Arial" w:cs="Arial"/>
                <w:b/>
                <w:sz w:val="20"/>
                <w:szCs w:val="20"/>
              </w:rPr>
              <w:t>(N=15)</w:t>
            </w:r>
          </w:p>
        </w:tc>
        <w:tc>
          <w:tcPr>
            <w:tcW w:w="1701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7CF">
              <w:rPr>
                <w:rFonts w:ascii="Arial" w:hAnsi="Arial" w:cs="Arial"/>
                <w:b/>
                <w:sz w:val="20"/>
                <w:szCs w:val="20"/>
              </w:rPr>
              <w:t>CsA</w:t>
            </w:r>
            <w:r w:rsidRPr="00E227CF">
              <w:rPr>
                <w:rFonts w:ascii="Arial" w:hAnsi="Arial" w:cs="Arial"/>
                <w:b/>
                <w:sz w:val="20"/>
                <w:szCs w:val="20"/>
              </w:rPr>
              <w:br/>
              <w:t>(N=11)</w:t>
            </w:r>
          </w:p>
        </w:tc>
      </w:tr>
      <w:tr w:rsidR="00055733" w:rsidRPr="00E227CF" w:rsidTr="00B1708A">
        <w:tc>
          <w:tcPr>
            <w:tcW w:w="3936" w:type="dxa"/>
          </w:tcPr>
          <w:p w:rsidR="00055733" w:rsidRPr="00E227CF" w:rsidRDefault="00055733" w:rsidP="00B1708A">
            <w:pPr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 xml:space="preserve">BPAR, any 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 xml:space="preserve">      Grade 1A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 xml:space="preserve">      Grade 1B</w:t>
            </w:r>
          </w:p>
        </w:tc>
        <w:tc>
          <w:tcPr>
            <w:tcW w:w="1417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br/>
              <w:t>0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2</w:t>
            </w:r>
          </w:p>
        </w:tc>
        <w:tc>
          <w:tcPr>
            <w:tcW w:w="1701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br/>
              <w:t>1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0</w:t>
            </w:r>
          </w:p>
        </w:tc>
      </w:tr>
      <w:tr w:rsidR="00055733" w:rsidRPr="00E227CF" w:rsidTr="00B1708A">
        <w:tc>
          <w:tcPr>
            <w:tcW w:w="3936" w:type="dxa"/>
          </w:tcPr>
          <w:p w:rsidR="00055733" w:rsidRPr="00E227CF" w:rsidRDefault="00055733" w:rsidP="00B1708A">
            <w:pPr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 xml:space="preserve">Antibody-mediated rejection         </w:t>
            </w:r>
          </w:p>
        </w:tc>
        <w:tc>
          <w:tcPr>
            <w:tcW w:w="1417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5733" w:rsidRPr="00E227CF" w:rsidTr="00B1708A">
        <w:tc>
          <w:tcPr>
            <w:tcW w:w="3936" w:type="dxa"/>
          </w:tcPr>
          <w:p w:rsidR="00055733" w:rsidRPr="00E227CF" w:rsidRDefault="00055733" w:rsidP="00B1708A">
            <w:pPr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 xml:space="preserve">Chronic/sclerosing allograft nephropathy 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 xml:space="preserve">     Grade 1 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 xml:space="preserve">     Grade 2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 xml:space="preserve">     Grade 3       </w:t>
            </w:r>
          </w:p>
        </w:tc>
        <w:tc>
          <w:tcPr>
            <w:tcW w:w="1417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br/>
              <w:t>2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0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0</w:t>
            </w:r>
          </w:p>
        </w:tc>
        <w:tc>
          <w:tcPr>
            <w:tcW w:w="1701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br/>
              <w:t>0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1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0</w:t>
            </w:r>
          </w:p>
        </w:tc>
      </w:tr>
      <w:tr w:rsidR="00055733" w:rsidRPr="00E227CF" w:rsidTr="00B1708A">
        <w:tc>
          <w:tcPr>
            <w:tcW w:w="3936" w:type="dxa"/>
          </w:tcPr>
          <w:p w:rsidR="00055733" w:rsidRPr="00E227CF" w:rsidRDefault="00055733" w:rsidP="00B1708A">
            <w:pPr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 xml:space="preserve">CNI toxicity lesions </w:t>
            </w:r>
          </w:p>
          <w:p w:rsidR="00055733" w:rsidRPr="00E227CF" w:rsidRDefault="00055733" w:rsidP="00B1708A">
            <w:pPr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>Borderline lesions</w:t>
            </w:r>
          </w:p>
          <w:p w:rsidR="00055733" w:rsidRPr="00E227CF" w:rsidRDefault="00055733" w:rsidP="00B1708A">
            <w:pPr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>Acute tubular necrosis</w:t>
            </w:r>
          </w:p>
          <w:p w:rsidR="00055733" w:rsidRPr="00E227CF" w:rsidRDefault="00055733" w:rsidP="00B1708A">
            <w:pPr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 xml:space="preserve">Donor lesions      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 xml:space="preserve">Other     </w:t>
            </w:r>
          </w:p>
        </w:tc>
        <w:tc>
          <w:tcPr>
            <w:tcW w:w="1417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>3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8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1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0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1</w:t>
            </w:r>
          </w:p>
        </w:tc>
        <w:tc>
          <w:tcPr>
            <w:tcW w:w="1701" w:type="dxa"/>
          </w:tcPr>
          <w:p w:rsidR="00055733" w:rsidRPr="00E227CF" w:rsidRDefault="00055733" w:rsidP="00B170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27CF">
              <w:rPr>
                <w:rFonts w:ascii="Arial" w:hAnsi="Arial" w:cs="Arial"/>
                <w:sz w:val="20"/>
                <w:szCs w:val="20"/>
              </w:rPr>
              <w:t>3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3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2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1</w:t>
            </w:r>
            <w:r w:rsidRPr="00E227CF">
              <w:rPr>
                <w:rFonts w:ascii="Arial" w:hAnsi="Arial" w:cs="Arial"/>
                <w:sz w:val="20"/>
                <w:szCs w:val="20"/>
              </w:rPr>
              <w:br/>
              <w:t>3</w:t>
            </w:r>
          </w:p>
        </w:tc>
      </w:tr>
    </w:tbl>
    <w:p w:rsidR="00055733" w:rsidRPr="004F0140" w:rsidRDefault="00055733" w:rsidP="00055733">
      <w:pPr>
        <w:spacing w:before="100" w:beforeAutospacing="1" w:after="100" w:afterAutospacing="1"/>
        <w:rPr>
          <w:rFonts w:ascii="Arial" w:hAnsi="Arial" w:cs="Arial"/>
          <w:b/>
          <w:color w:val="FF0000"/>
          <w:sz w:val="22"/>
          <w:szCs w:val="22"/>
        </w:rPr>
      </w:pPr>
    </w:p>
    <w:p w:rsidR="00055733" w:rsidRPr="00FE7540" w:rsidRDefault="00055733" w:rsidP="00055733">
      <w:pPr>
        <w:rPr>
          <w:rFonts w:ascii="Arial" w:hAnsi="Arial" w:cs="Arial"/>
          <w:sz w:val="22"/>
          <w:szCs w:val="22"/>
        </w:rPr>
      </w:pPr>
      <w:r w:rsidRPr="00FE7540">
        <w:rPr>
          <w:rFonts w:ascii="Arial" w:hAnsi="Arial" w:cs="Arial"/>
          <w:b/>
          <w:sz w:val="22"/>
          <w:szCs w:val="22"/>
        </w:rPr>
        <w:br w:type="page"/>
      </w:r>
      <w:r w:rsidR="00E96E9D">
        <w:rPr>
          <w:rFonts w:ascii="Arial" w:hAnsi="Arial" w:cs="Arial"/>
          <w:b/>
          <w:sz w:val="22"/>
          <w:szCs w:val="22"/>
        </w:rPr>
        <w:lastRenderedPageBreak/>
        <w:t>Additional</w:t>
      </w:r>
      <w:r w:rsidRPr="00FE7540">
        <w:rPr>
          <w:rFonts w:ascii="Arial" w:hAnsi="Arial" w:cs="Arial"/>
          <w:b/>
          <w:sz w:val="22"/>
          <w:szCs w:val="22"/>
        </w:rPr>
        <w:t xml:space="preserve"> Figure </w:t>
      </w:r>
      <w:r w:rsidR="006A0A48">
        <w:rPr>
          <w:rFonts w:ascii="Arial" w:hAnsi="Arial" w:cs="Arial"/>
          <w:b/>
          <w:sz w:val="22"/>
          <w:szCs w:val="22"/>
        </w:rPr>
        <w:t>S</w:t>
      </w:r>
      <w:bookmarkStart w:id="0" w:name="_GoBack"/>
      <w:bookmarkEnd w:id="0"/>
      <w:r w:rsidRPr="00FE7540">
        <w:rPr>
          <w:rFonts w:ascii="Arial" w:hAnsi="Arial" w:cs="Arial"/>
          <w:b/>
          <w:sz w:val="22"/>
          <w:szCs w:val="22"/>
        </w:rPr>
        <w:t>1</w:t>
      </w:r>
      <w:r w:rsidRPr="00FE7540">
        <w:rPr>
          <w:rFonts w:ascii="Arial" w:hAnsi="Arial" w:cs="Arial"/>
          <w:b/>
          <w:sz w:val="22"/>
          <w:szCs w:val="22"/>
        </w:rPr>
        <w:br/>
      </w:r>
      <w:proofErr w:type="spellStart"/>
      <w:r w:rsidRPr="00FE7540">
        <w:rPr>
          <w:rFonts w:ascii="Arial" w:hAnsi="Arial" w:cs="Arial"/>
          <w:sz w:val="22"/>
          <w:szCs w:val="22"/>
        </w:rPr>
        <w:t>CsA</w:t>
      </w:r>
      <w:proofErr w:type="spellEnd"/>
      <w:r w:rsidRPr="00FE7540">
        <w:rPr>
          <w:rFonts w:ascii="Arial" w:hAnsi="Arial" w:cs="Arial"/>
          <w:sz w:val="22"/>
          <w:szCs w:val="22"/>
        </w:rPr>
        <w:t>, cyclosporine</w:t>
      </w:r>
    </w:p>
    <w:p w:rsidR="00055733" w:rsidRPr="00FE7540" w:rsidRDefault="00055733" w:rsidP="00055733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</w:rPr>
      </w:pPr>
    </w:p>
    <w:p w:rsidR="00055733" w:rsidRPr="00FE7540" w:rsidRDefault="00055733" w:rsidP="00055733">
      <w:pPr>
        <w:autoSpaceDE w:val="0"/>
        <w:autoSpaceDN w:val="0"/>
        <w:adjustRightInd w:val="0"/>
        <w:spacing w:before="100" w:beforeAutospacing="1" w:after="100" w:afterAutospacing="1"/>
        <w:rPr>
          <w:rFonts w:ascii="Arial" w:hAnsi="Arial" w:cs="Arial"/>
          <w:b/>
          <w:sz w:val="22"/>
          <w:szCs w:val="22"/>
          <w:lang w:val="en-GB"/>
        </w:rPr>
      </w:pPr>
      <w:r w:rsidRPr="00FE7540">
        <w:rPr>
          <w:rFonts w:ascii="Arial" w:hAnsi="Arial" w:cs="Arial"/>
          <w:b/>
          <w:noProof/>
          <w:sz w:val="22"/>
          <w:szCs w:val="22"/>
          <w:lang w:eastAsia="en-US"/>
        </w:rPr>
        <w:drawing>
          <wp:inline distT="0" distB="0" distL="0" distR="0">
            <wp:extent cx="5476875" cy="4019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733" w:rsidRPr="00FE7540" w:rsidRDefault="00055733" w:rsidP="00055733">
      <w:pPr>
        <w:autoSpaceDE w:val="0"/>
        <w:autoSpaceDN w:val="0"/>
        <w:adjustRightInd w:val="0"/>
        <w:spacing w:before="100" w:beforeAutospacing="1" w:after="100" w:afterAutospacing="1"/>
        <w:rPr>
          <w:rFonts w:ascii="Arial" w:hAnsi="Arial" w:cs="Arial"/>
          <w:b/>
          <w:sz w:val="22"/>
          <w:szCs w:val="22"/>
          <w:lang w:val="en-GB"/>
        </w:rPr>
      </w:pPr>
    </w:p>
    <w:p w:rsidR="00891034" w:rsidRDefault="00891034"/>
    <w:sectPr w:rsidR="00891034" w:rsidSect="0032745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55733"/>
    <w:rsid w:val="00055733"/>
    <w:rsid w:val="00186EB7"/>
    <w:rsid w:val="003D2C22"/>
    <w:rsid w:val="006A0A48"/>
    <w:rsid w:val="00770B22"/>
    <w:rsid w:val="007962B5"/>
    <w:rsid w:val="00891034"/>
    <w:rsid w:val="00A779FE"/>
    <w:rsid w:val="00DC5D70"/>
    <w:rsid w:val="00E06ECA"/>
    <w:rsid w:val="00E96E9D"/>
    <w:rsid w:val="00FB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73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5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733"/>
    <w:rPr>
      <w:rFonts w:ascii="Tahoma" w:eastAsia="MS Mincho" w:hAnsi="Tahoma" w:cs="Tahoma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404</Words>
  <Characters>2306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Felicity Kay</dc:creator>
  <cp:lastModifiedBy>JCVILLEGAS</cp:lastModifiedBy>
  <cp:revision>7</cp:revision>
  <dcterms:created xsi:type="dcterms:W3CDTF">2017-09-12T08:00:00Z</dcterms:created>
  <dcterms:modified xsi:type="dcterms:W3CDTF">2018-06-18T23:10:00Z</dcterms:modified>
</cp:coreProperties>
</file>