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CB2" w:rsidRPr="000F157E" w:rsidRDefault="006006C1" w:rsidP="00025CB2">
      <w:pPr>
        <w:spacing w:after="0" w:line="240" w:lineRule="auto"/>
        <w:outlineLvl w:val="0"/>
        <w:rPr>
          <w:b/>
        </w:rPr>
      </w:pPr>
      <w:r>
        <w:rPr>
          <w:b/>
        </w:rPr>
        <w:t>Additional file 1</w:t>
      </w:r>
      <w:bookmarkStart w:id="0" w:name="_GoBack"/>
      <w:bookmarkEnd w:id="0"/>
    </w:p>
    <w:p w:rsidR="0037706D" w:rsidRDefault="0037706D" w:rsidP="0037706D">
      <w:pPr>
        <w:spacing w:after="0" w:line="240" w:lineRule="auto"/>
      </w:pPr>
    </w:p>
    <w:p w:rsidR="0037706D" w:rsidRPr="000F157E" w:rsidRDefault="0037706D" w:rsidP="0037706D">
      <w:pPr>
        <w:spacing w:line="240" w:lineRule="auto"/>
        <w:outlineLvl w:val="0"/>
        <w:rPr>
          <w:rFonts w:ascii="Calibri" w:hAnsi="Calibri" w:cs="Calibri"/>
          <w:b/>
        </w:rPr>
      </w:pPr>
      <w:r w:rsidRPr="000F157E">
        <w:rPr>
          <w:rFonts w:ascii="Calibri" w:eastAsiaTheme="majorEastAsia" w:hAnsi="Calibri" w:cs="Calibri"/>
          <w:b/>
        </w:rPr>
        <w:t>Patient-Reported Advantages and Disadvantages of Peritoneal Dialysis: Results from the PDOPPS</w:t>
      </w:r>
    </w:p>
    <w:p w:rsidR="00025CB2" w:rsidRPr="00025CB2" w:rsidRDefault="009076C3" w:rsidP="006026A7">
      <w:pPr>
        <w:spacing w:line="240" w:lineRule="auto"/>
        <w:rPr>
          <w:b/>
        </w:rPr>
      </w:pPr>
      <w:r w:rsidRPr="00AE22A3">
        <w:rPr>
          <w:rFonts w:cstheme="minorHAnsi"/>
        </w:rPr>
        <w:t>Nidhi Sukul, Junhui Zhao, Douglas S. Ful</w:t>
      </w:r>
      <w:r w:rsidR="00BF1047">
        <w:rPr>
          <w:rFonts w:cstheme="minorHAnsi"/>
        </w:rPr>
        <w:t>l</w:t>
      </w:r>
      <w:r w:rsidRPr="00AE22A3">
        <w:rPr>
          <w:rFonts w:cstheme="minorHAnsi"/>
        </w:rPr>
        <w:t xml:space="preserve">er, </w:t>
      </w:r>
      <w:r w:rsidRPr="00AE22A3">
        <w:t>Angelo Karaboyas,</w:t>
      </w:r>
      <w:r w:rsidRPr="00AE22A3">
        <w:rPr>
          <w:rFonts w:cstheme="minorHAnsi"/>
        </w:rPr>
        <w:t xml:space="preserve"> Brian Bieber, James A. Sloand, Lalita Subramanian, David W. Johnson, Matthew J. Oliver, Kriang Tungsanga, Tadashi Tomo, Rachael L. Morton, Hal Morgenstern, Bruce M. Robinson, Jeffrey Perl, on behalf of the clinical application of PD therapy working group</w:t>
      </w:r>
    </w:p>
    <w:p w:rsidR="0037706D" w:rsidRDefault="0037706D" w:rsidP="00025CB2">
      <w:pPr>
        <w:spacing w:after="0" w:line="240" w:lineRule="auto"/>
        <w:outlineLvl w:val="1"/>
        <w:rPr>
          <w:b/>
        </w:rPr>
      </w:pPr>
      <w:r>
        <w:rPr>
          <w:b/>
        </w:rPr>
        <w:br w:type="page"/>
      </w:r>
    </w:p>
    <w:p w:rsidR="00025CB2" w:rsidRDefault="00025CB2" w:rsidP="00025CB2">
      <w:pPr>
        <w:spacing w:after="0" w:line="240" w:lineRule="auto"/>
        <w:outlineLvl w:val="1"/>
        <w:rPr>
          <w:b/>
        </w:rPr>
      </w:pPr>
      <w:r>
        <w:rPr>
          <w:b/>
        </w:rPr>
        <w:lastRenderedPageBreak/>
        <w:t>SUPPLEMENTAL TABLES</w:t>
      </w:r>
    </w:p>
    <w:p w:rsidR="00025CB2" w:rsidRDefault="00025CB2" w:rsidP="00025CB2">
      <w:pPr>
        <w:spacing w:after="0" w:line="240" w:lineRule="auto"/>
        <w:rPr>
          <w:b/>
        </w:rPr>
      </w:pPr>
    </w:p>
    <w:p w:rsidR="00025CB2" w:rsidRPr="0022537D" w:rsidRDefault="00025CB2" w:rsidP="007C609B">
      <w:pPr>
        <w:spacing w:after="0" w:line="240" w:lineRule="auto"/>
        <w:outlineLvl w:val="2"/>
        <w:rPr>
          <w:b/>
        </w:rPr>
      </w:pPr>
      <w:r w:rsidRPr="00025CB2">
        <w:rPr>
          <w:b/>
        </w:rPr>
        <w:t xml:space="preserve">Supplemental Table </w:t>
      </w:r>
      <w:r w:rsidR="002512EE">
        <w:rPr>
          <w:b/>
        </w:rPr>
        <w:t>S</w:t>
      </w:r>
      <w:r w:rsidRPr="00025CB2">
        <w:rPr>
          <w:b/>
        </w:rPr>
        <w:t>1. Comparison of patient characteristics for those included v</w:t>
      </w:r>
      <w:r w:rsidR="005816D9">
        <w:rPr>
          <w:b/>
        </w:rPr>
        <w:t>ersu</w:t>
      </w:r>
      <w:r w:rsidRPr="00025CB2">
        <w:rPr>
          <w:b/>
        </w:rPr>
        <w:t>s excluded from the</w:t>
      </w:r>
      <w:r w:rsidRPr="0022537D">
        <w:rPr>
          <w:b/>
        </w:rPr>
        <w:t xml:space="preserve"> study population. </w:t>
      </w:r>
    </w:p>
    <w:tbl>
      <w:tblPr>
        <w:tblW w:w="7700" w:type="dxa"/>
        <w:tblLook w:val="04A0" w:firstRow="1" w:lastRow="0" w:firstColumn="1" w:lastColumn="0" w:noHBand="0" w:noVBand="1"/>
      </w:tblPr>
      <w:tblGrid>
        <w:gridCol w:w="4780"/>
        <w:gridCol w:w="1460"/>
        <w:gridCol w:w="1460"/>
      </w:tblGrid>
      <w:tr w:rsidR="00025CB2" w:rsidRPr="00A36C43" w:rsidTr="00565A5E">
        <w:trPr>
          <w:trHeight w:val="300"/>
        </w:trPr>
        <w:tc>
          <w:tcPr>
            <w:tcW w:w="4780" w:type="dxa"/>
            <w:tcBorders>
              <w:top w:val="single" w:sz="4" w:space="0" w:color="auto"/>
              <w:left w:val="nil"/>
              <w:bottom w:val="nil"/>
              <w:right w:val="nil"/>
            </w:tcBorders>
            <w:shd w:val="clear" w:color="auto" w:fill="auto"/>
            <w:noWrap/>
            <w:vAlign w:val="bottom"/>
            <w:hideMark/>
          </w:tcPr>
          <w:p w:rsidR="00025CB2" w:rsidRPr="009076C3" w:rsidRDefault="00025CB2" w:rsidP="00565A5E">
            <w:pPr>
              <w:spacing w:after="0" w:line="240" w:lineRule="auto"/>
              <w:rPr>
                <w:rFonts w:ascii="Calibri" w:eastAsia="Times New Roman" w:hAnsi="Calibri" w:cs="Calibri"/>
                <w:b/>
              </w:rPr>
            </w:pPr>
            <w:r w:rsidRPr="009076C3">
              <w:rPr>
                <w:rFonts w:ascii="Calibri" w:eastAsia="Times New Roman" w:hAnsi="Calibri" w:cs="Calibri"/>
                <w:b/>
              </w:rPr>
              <w:t>Patient characteristic</w:t>
            </w:r>
          </w:p>
        </w:tc>
        <w:tc>
          <w:tcPr>
            <w:tcW w:w="1460" w:type="dxa"/>
            <w:tcBorders>
              <w:top w:val="single" w:sz="4" w:space="0" w:color="auto"/>
              <w:left w:val="nil"/>
              <w:bottom w:val="nil"/>
              <w:right w:val="nil"/>
            </w:tcBorders>
            <w:shd w:val="clear" w:color="auto" w:fill="auto"/>
            <w:noWrap/>
            <w:vAlign w:val="bottom"/>
            <w:hideMark/>
          </w:tcPr>
          <w:p w:rsidR="00025CB2" w:rsidRPr="009076C3" w:rsidRDefault="00025CB2" w:rsidP="00565A5E">
            <w:pPr>
              <w:spacing w:after="0" w:line="240" w:lineRule="auto"/>
              <w:jc w:val="center"/>
              <w:rPr>
                <w:rFonts w:ascii="Calibri" w:eastAsia="Times New Roman" w:hAnsi="Calibri" w:cs="Calibri"/>
                <w:b/>
              </w:rPr>
            </w:pPr>
            <w:r w:rsidRPr="009076C3">
              <w:rPr>
                <w:rFonts w:ascii="Calibri" w:eastAsia="Times New Roman" w:hAnsi="Calibri" w:cs="Calibri"/>
                <w:b/>
              </w:rPr>
              <w:t>Included</w:t>
            </w:r>
          </w:p>
        </w:tc>
        <w:tc>
          <w:tcPr>
            <w:tcW w:w="1460" w:type="dxa"/>
            <w:tcBorders>
              <w:top w:val="single" w:sz="4" w:space="0" w:color="auto"/>
              <w:left w:val="nil"/>
              <w:bottom w:val="nil"/>
              <w:right w:val="nil"/>
            </w:tcBorders>
            <w:shd w:val="clear" w:color="auto" w:fill="auto"/>
            <w:noWrap/>
            <w:vAlign w:val="bottom"/>
            <w:hideMark/>
          </w:tcPr>
          <w:p w:rsidR="00025CB2" w:rsidRPr="009076C3" w:rsidRDefault="00025CB2" w:rsidP="00565A5E">
            <w:pPr>
              <w:spacing w:after="0" w:line="240" w:lineRule="auto"/>
              <w:jc w:val="center"/>
              <w:rPr>
                <w:rFonts w:ascii="Calibri" w:eastAsia="Times New Roman" w:hAnsi="Calibri" w:cs="Calibri"/>
                <w:b/>
              </w:rPr>
            </w:pPr>
            <w:r w:rsidRPr="009076C3">
              <w:rPr>
                <w:rFonts w:ascii="Calibri" w:eastAsia="Times New Roman" w:hAnsi="Calibri" w:cs="Calibri"/>
                <w:b/>
              </w:rPr>
              <w:t>Excluded</w:t>
            </w:r>
          </w:p>
        </w:tc>
      </w:tr>
      <w:tr w:rsidR="00025CB2" w:rsidRPr="00A36C43" w:rsidTr="00565A5E">
        <w:trPr>
          <w:trHeight w:val="300"/>
        </w:trPr>
        <w:tc>
          <w:tcPr>
            <w:tcW w:w="4780" w:type="dxa"/>
            <w:tcBorders>
              <w:top w:val="nil"/>
              <w:left w:val="nil"/>
              <w:bottom w:val="single" w:sz="4" w:space="0" w:color="auto"/>
              <w:right w:val="nil"/>
            </w:tcBorders>
            <w:shd w:val="clear" w:color="auto" w:fill="auto"/>
            <w:noWrap/>
            <w:vAlign w:val="bottom"/>
            <w:hideMark/>
          </w:tcPr>
          <w:p w:rsidR="00025CB2" w:rsidRPr="005816D9" w:rsidRDefault="00025CB2" w:rsidP="00565A5E">
            <w:pPr>
              <w:spacing w:after="0" w:line="240" w:lineRule="auto"/>
              <w:rPr>
                <w:rFonts w:ascii="Calibri" w:eastAsia="Times New Roman" w:hAnsi="Calibri" w:cs="Calibri"/>
              </w:rPr>
            </w:pPr>
            <w:r w:rsidRPr="005816D9">
              <w:rPr>
                <w:rFonts w:ascii="Calibri" w:eastAsia="Times New Roman" w:hAnsi="Calibri" w:cs="Calibri"/>
              </w:rPr>
              <w:t>N patients</w:t>
            </w:r>
          </w:p>
        </w:tc>
        <w:tc>
          <w:tcPr>
            <w:tcW w:w="1460" w:type="dxa"/>
            <w:tcBorders>
              <w:top w:val="nil"/>
              <w:left w:val="nil"/>
              <w:bottom w:val="single" w:sz="4" w:space="0" w:color="auto"/>
              <w:right w:val="nil"/>
            </w:tcBorders>
            <w:shd w:val="clear" w:color="auto" w:fill="auto"/>
            <w:noWrap/>
            <w:vAlign w:val="bottom"/>
            <w:hideMark/>
          </w:tcPr>
          <w:p w:rsidR="00025CB2" w:rsidRPr="005816D9" w:rsidRDefault="00025CB2" w:rsidP="00565A5E">
            <w:pPr>
              <w:spacing w:after="0" w:line="240" w:lineRule="auto"/>
              <w:jc w:val="center"/>
              <w:rPr>
                <w:rFonts w:ascii="Calibri" w:eastAsia="Times New Roman" w:hAnsi="Calibri" w:cs="Calibri"/>
              </w:rPr>
            </w:pPr>
            <w:r w:rsidRPr="005816D9">
              <w:rPr>
                <w:rFonts w:ascii="Calibri" w:eastAsia="Times New Roman" w:hAnsi="Calibri" w:cs="Calibri"/>
              </w:rPr>
              <w:t>2760</w:t>
            </w:r>
          </w:p>
        </w:tc>
        <w:tc>
          <w:tcPr>
            <w:tcW w:w="1460" w:type="dxa"/>
            <w:tcBorders>
              <w:top w:val="nil"/>
              <w:left w:val="nil"/>
              <w:bottom w:val="single" w:sz="4" w:space="0" w:color="auto"/>
              <w:right w:val="nil"/>
            </w:tcBorders>
            <w:shd w:val="clear" w:color="auto" w:fill="auto"/>
            <w:noWrap/>
            <w:vAlign w:val="bottom"/>
            <w:hideMark/>
          </w:tcPr>
          <w:p w:rsidR="00025CB2" w:rsidRPr="005816D9" w:rsidRDefault="00025CB2" w:rsidP="00565A5E">
            <w:pPr>
              <w:spacing w:after="0" w:line="240" w:lineRule="auto"/>
              <w:jc w:val="center"/>
              <w:rPr>
                <w:rFonts w:ascii="Calibri" w:eastAsia="Times New Roman" w:hAnsi="Calibri" w:cs="Calibri"/>
              </w:rPr>
            </w:pPr>
            <w:r w:rsidRPr="005816D9">
              <w:rPr>
                <w:rFonts w:ascii="Calibri" w:eastAsia="Times New Roman" w:hAnsi="Calibri" w:cs="Calibri"/>
              </w:rPr>
              <w:t>2514</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sidRPr="00A36C43">
              <w:rPr>
                <w:rFonts w:ascii="Calibri" w:eastAsia="Times New Roman" w:hAnsi="Calibri" w:cs="Calibri"/>
              </w:rPr>
              <w:t>Age, years</w:t>
            </w:r>
          </w:p>
        </w:tc>
        <w:tc>
          <w:tcPr>
            <w:tcW w:w="1460" w:type="dxa"/>
            <w:tcBorders>
              <w:top w:val="single" w:sz="4" w:space="0" w:color="auto"/>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60.9(14.2)</w:t>
            </w:r>
          </w:p>
        </w:tc>
        <w:tc>
          <w:tcPr>
            <w:tcW w:w="1460" w:type="dxa"/>
            <w:tcBorders>
              <w:top w:val="single" w:sz="4" w:space="0" w:color="auto"/>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58.6(15.5)</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Pr>
                <w:rFonts w:ascii="Calibri" w:eastAsia="Times New Roman" w:hAnsi="Calibri" w:cs="Calibri"/>
              </w:rPr>
              <w:t>Sex</w:t>
            </w:r>
            <w:r w:rsidRPr="00A36C43">
              <w:rPr>
                <w:rFonts w:ascii="Calibri" w:eastAsia="Times New Roman" w:hAnsi="Calibri" w:cs="Calibri"/>
              </w:rPr>
              <w:t>, % male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59%</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61%</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A61EB6">
            <w:pPr>
              <w:spacing w:after="0" w:line="240" w:lineRule="auto"/>
              <w:rPr>
                <w:rFonts w:ascii="Calibri" w:eastAsia="Times New Roman" w:hAnsi="Calibri" w:cs="Calibri"/>
              </w:rPr>
            </w:pPr>
            <w:r w:rsidRPr="00A36C43">
              <w:rPr>
                <w:rFonts w:ascii="Calibri" w:eastAsia="Times New Roman" w:hAnsi="Calibri" w:cs="Calibri"/>
              </w:rPr>
              <w:t>B</w:t>
            </w:r>
            <w:r w:rsidR="00FE4AEC">
              <w:rPr>
                <w:rFonts w:ascii="Calibri" w:eastAsia="Times New Roman" w:hAnsi="Calibri" w:cs="Calibri"/>
              </w:rPr>
              <w:t>MI</w:t>
            </w:r>
            <w:r w:rsidRPr="00A36C43">
              <w:rPr>
                <w:rFonts w:ascii="Calibri" w:eastAsia="Times New Roman" w:hAnsi="Calibri" w:cs="Calibri"/>
              </w:rPr>
              <w:t>, kg/m</w:t>
            </w:r>
            <w:r w:rsidRPr="00A36C43">
              <w:rPr>
                <w:rFonts w:ascii="Calibri" w:eastAsia="Times New Roman" w:hAnsi="Calibri" w:cs="Calibri"/>
                <w:vertAlign w:val="superscript"/>
              </w:rPr>
              <w:t>2</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26.8(6.1)</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28.1(6.4)</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5816D9" w:rsidP="00A61EB6">
            <w:pPr>
              <w:spacing w:after="0" w:line="240" w:lineRule="auto"/>
              <w:rPr>
                <w:rFonts w:ascii="Calibri" w:eastAsia="Times New Roman" w:hAnsi="Calibri" w:cs="Calibri"/>
              </w:rPr>
            </w:pPr>
            <w:r>
              <w:rPr>
                <w:rFonts w:ascii="Calibri" w:eastAsia="Times New Roman" w:hAnsi="Calibri" w:cs="Calibri"/>
              </w:rPr>
              <w:t>P</w:t>
            </w:r>
            <w:r w:rsidR="00025CB2" w:rsidRPr="00A36C43">
              <w:rPr>
                <w:rFonts w:ascii="Calibri" w:eastAsia="Times New Roman" w:hAnsi="Calibri" w:cs="Calibri"/>
              </w:rPr>
              <w:t>D vintage, years</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1.99(2.24)</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1.34(1.63)</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A61EB6">
            <w:pPr>
              <w:spacing w:after="0" w:line="240" w:lineRule="auto"/>
              <w:rPr>
                <w:rFonts w:ascii="Calibri" w:eastAsia="Times New Roman" w:hAnsi="Calibri" w:cs="Calibri"/>
              </w:rPr>
            </w:pPr>
            <w:r w:rsidRPr="00A36C43">
              <w:rPr>
                <w:rFonts w:ascii="Calibri" w:eastAsia="Times New Roman" w:hAnsi="Calibri" w:cs="Calibri"/>
              </w:rPr>
              <w:t>PD modality, % APD</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62%</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74%</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sidRPr="00A36C43">
              <w:rPr>
                <w:rFonts w:ascii="Calibri" w:eastAsia="Times New Roman" w:hAnsi="Calibri" w:cs="Calibri"/>
              </w:rPr>
              <w:t>Day dwell, %</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66%</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52%</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sidRPr="00A36C43">
              <w:rPr>
                <w:rFonts w:ascii="Calibri" w:eastAsia="Times New Roman" w:hAnsi="Calibri" w:cs="Calibri"/>
              </w:rPr>
              <w:t>Comorbid conditions (%)</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Times New Roman" w:eastAsia="Times New Roman" w:hAnsi="Times New Roman" w:cs="Times New Roman"/>
                <w:sz w:val="20"/>
                <w:szCs w:val="20"/>
              </w:rPr>
            </w:pP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Coronary artery disease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21%</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22%</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Cancer (non-skin)</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11%</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9%</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Other cardiovascular disease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14%</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13%</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Cerebrovascular disease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10%</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6%</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Congestive heart failure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15%</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12%</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Diabetes</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44%</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50%</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Gastrointestinal bleeding</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Hypertension</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91%</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87%</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Lung disease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5%</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6%</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Neurologic disease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4%</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4%</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Psychiatric disorder</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12%</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14%</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Peripheral vascular disease</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13%</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14%</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ind w:firstLineChars="100" w:firstLine="220"/>
              <w:rPr>
                <w:rFonts w:ascii="Calibri" w:eastAsia="Times New Roman" w:hAnsi="Calibri" w:cs="Calibri"/>
              </w:rPr>
            </w:pPr>
            <w:r w:rsidRPr="00A36C43">
              <w:rPr>
                <w:rFonts w:ascii="Calibri" w:eastAsia="Times New Roman" w:hAnsi="Calibri" w:cs="Calibri"/>
              </w:rPr>
              <w:t>Gangrene/recurrent cellulitis</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2%</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sidRPr="00A36C43">
              <w:rPr>
                <w:rFonts w:ascii="Calibri" w:eastAsia="Times New Roman" w:hAnsi="Calibri" w:cs="Calibri"/>
              </w:rPr>
              <w:t xml:space="preserve">Albumin, g/dL </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3.45(0.56)</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3.39(0.55)</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sidRPr="00A36C43">
              <w:rPr>
                <w:rFonts w:ascii="Calibri" w:eastAsia="Times New Roman" w:hAnsi="Calibri" w:cs="Calibri"/>
              </w:rPr>
              <w:t>24</w:t>
            </w:r>
            <w:r>
              <w:rPr>
                <w:rFonts w:ascii="Calibri" w:eastAsia="Times New Roman" w:hAnsi="Calibri" w:cs="Calibri"/>
              </w:rPr>
              <w:t>-</w:t>
            </w:r>
            <w:r w:rsidRPr="00A36C43">
              <w:rPr>
                <w:rFonts w:ascii="Calibri" w:eastAsia="Times New Roman" w:hAnsi="Calibri" w:cs="Calibri"/>
              </w:rPr>
              <w:t>hour urine volume, L</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0.95(0.76)</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0.95(0.77)</w:t>
            </w:r>
          </w:p>
        </w:tc>
      </w:tr>
      <w:tr w:rsidR="00025CB2" w:rsidRPr="00A36C43" w:rsidTr="00565A5E">
        <w:trPr>
          <w:trHeight w:val="300"/>
        </w:trPr>
        <w:tc>
          <w:tcPr>
            <w:tcW w:w="478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sidRPr="00A36C43">
              <w:rPr>
                <w:rFonts w:ascii="Calibri" w:eastAsia="Times New Roman" w:hAnsi="Calibri" w:cs="Calibri"/>
              </w:rPr>
              <w:t>Prescribed therapy volume, L/day</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7.92(3.92)</w:t>
            </w:r>
          </w:p>
        </w:tc>
        <w:tc>
          <w:tcPr>
            <w:tcW w:w="1460" w:type="dxa"/>
            <w:tcBorders>
              <w:top w:val="nil"/>
              <w:left w:val="nil"/>
              <w:bottom w:val="nil"/>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7.98(4.41)</w:t>
            </w:r>
          </w:p>
        </w:tc>
      </w:tr>
      <w:tr w:rsidR="00025CB2" w:rsidRPr="00A36C43" w:rsidTr="00565A5E">
        <w:trPr>
          <w:trHeight w:val="300"/>
        </w:trPr>
        <w:tc>
          <w:tcPr>
            <w:tcW w:w="4780" w:type="dxa"/>
            <w:tcBorders>
              <w:top w:val="nil"/>
              <w:left w:val="nil"/>
              <w:bottom w:val="single" w:sz="4" w:space="0" w:color="auto"/>
              <w:right w:val="nil"/>
            </w:tcBorders>
            <w:shd w:val="clear" w:color="auto" w:fill="auto"/>
            <w:noWrap/>
            <w:vAlign w:val="bottom"/>
            <w:hideMark/>
          </w:tcPr>
          <w:p w:rsidR="00025CB2" w:rsidRPr="00A36C43" w:rsidRDefault="00025CB2" w:rsidP="00565A5E">
            <w:pPr>
              <w:spacing w:after="0" w:line="240" w:lineRule="auto"/>
              <w:rPr>
                <w:rFonts w:ascii="Calibri" w:eastAsia="Times New Roman" w:hAnsi="Calibri" w:cs="Calibri"/>
              </w:rPr>
            </w:pPr>
            <w:r w:rsidRPr="00A36C43">
              <w:rPr>
                <w:rFonts w:ascii="Calibri" w:eastAsia="Times New Roman" w:hAnsi="Calibri" w:cs="Calibri"/>
              </w:rPr>
              <w:t>Peritoneal Kt/V urea</w:t>
            </w:r>
          </w:p>
        </w:tc>
        <w:tc>
          <w:tcPr>
            <w:tcW w:w="1460" w:type="dxa"/>
            <w:tcBorders>
              <w:top w:val="nil"/>
              <w:left w:val="nil"/>
              <w:bottom w:val="single" w:sz="4" w:space="0" w:color="auto"/>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1.39(0.53)</w:t>
            </w:r>
          </w:p>
        </w:tc>
        <w:tc>
          <w:tcPr>
            <w:tcW w:w="1460" w:type="dxa"/>
            <w:tcBorders>
              <w:top w:val="nil"/>
              <w:left w:val="nil"/>
              <w:bottom w:val="single" w:sz="4" w:space="0" w:color="auto"/>
              <w:right w:val="nil"/>
            </w:tcBorders>
            <w:shd w:val="clear" w:color="auto" w:fill="auto"/>
            <w:noWrap/>
            <w:vAlign w:val="bottom"/>
            <w:hideMark/>
          </w:tcPr>
          <w:p w:rsidR="00025CB2" w:rsidRPr="00A36C43" w:rsidRDefault="00025CB2" w:rsidP="00565A5E">
            <w:pPr>
              <w:spacing w:after="0" w:line="240" w:lineRule="auto"/>
              <w:jc w:val="center"/>
              <w:rPr>
                <w:rFonts w:ascii="Calibri" w:eastAsia="Times New Roman" w:hAnsi="Calibri" w:cs="Calibri"/>
              </w:rPr>
            </w:pPr>
            <w:r w:rsidRPr="00A36C43">
              <w:rPr>
                <w:rFonts w:ascii="Calibri" w:eastAsia="Times New Roman" w:hAnsi="Calibri" w:cs="Calibri"/>
              </w:rPr>
              <w:t>1.47(0.53)</w:t>
            </w:r>
          </w:p>
        </w:tc>
      </w:tr>
    </w:tbl>
    <w:p w:rsidR="00025CB2" w:rsidRDefault="00025CB2" w:rsidP="006026A7">
      <w:pPr>
        <w:spacing w:after="0" w:line="240" w:lineRule="auto"/>
        <w:rPr>
          <w:sz w:val="20"/>
          <w:szCs w:val="20"/>
        </w:rPr>
      </w:pPr>
      <w:r w:rsidRPr="006026A7">
        <w:rPr>
          <w:sz w:val="20"/>
          <w:szCs w:val="20"/>
        </w:rPr>
        <w:t>Mean (standard deviation) or % shown</w:t>
      </w:r>
      <w:r w:rsidR="00FE4AEC">
        <w:rPr>
          <w:sz w:val="20"/>
          <w:szCs w:val="20"/>
        </w:rPr>
        <w:t>.</w:t>
      </w:r>
      <w:r w:rsidRPr="006026A7">
        <w:rPr>
          <w:sz w:val="20"/>
          <w:szCs w:val="20"/>
        </w:rPr>
        <w:t xml:space="preserve"> </w:t>
      </w:r>
    </w:p>
    <w:p w:rsidR="00FE4AEC" w:rsidRDefault="00FE4AEC" w:rsidP="006026A7">
      <w:pPr>
        <w:spacing w:after="0" w:line="240" w:lineRule="auto"/>
        <w:rPr>
          <w:sz w:val="20"/>
          <w:szCs w:val="20"/>
        </w:rPr>
      </w:pPr>
      <w:r>
        <w:rPr>
          <w:sz w:val="20"/>
          <w:szCs w:val="20"/>
        </w:rPr>
        <w:t>Abbreviations: APD, automated peritoneal dialysis; BMI, body mass index; PD, peritoneal dialysis.</w:t>
      </w:r>
    </w:p>
    <w:p w:rsidR="00FE4AEC" w:rsidRPr="006026A7" w:rsidRDefault="00FE4AEC" w:rsidP="006026A7">
      <w:pPr>
        <w:spacing w:after="0" w:line="240" w:lineRule="auto"/>
        <w:rPr>
          <w:sz w:val="20"/>
          <w:szCs w:val="20"/>
        </w:rPr>
      </w:pPr>
    </w:p>
    <w:p w:rsidR="005B3A14" w:rsidRPr="006026A7" w:rsidRDefault="005B3A14" w:rsidP="006026A7">
      <w:pPr>
        <w:spacing w:after="0" w:line="240" w:lineRule="auto"/>
        <w:rPr>
          <w:sz w:val="20"/>
          <w:szCs w:val="20"/>
        </w:rPr>
        <w:sectPr w:rsidR="005B3A14" w:rsidRPr="006026A7" w:rsidSect="00BF1047">
          <w:footerReference w:type="default" r:id="rId7"/>
          <w:pgSz w:w="12240" w:h="15840"/>
          <w:pgMar w:top="1440" w:right="1440" w:bottom="1440" w:left="1440" w:header="720" w:footer="720" w:gutter="0"/>
          <w:cols w:space="720"/>
          <w:docGrid w:linePitch="360"/>
        </w:sectPr>
      </w:pPr>
    </w:p>
    <w:p w:rsidR="00025CB2" w:rsidRDefault="00025CB2" w:rsidP="00025CB2"/>
    <w:p w:rsidR="00025CB2" w:rsidRPr="0022537D" w:rsidRDefault="00025CB2" w:rsidP="007C609B">
      <w:pPr>
        <w:spacing w:after="0" w:line="240" w:lineRule="auto"/>
        <w:outlineLvl w:val="2"/>
        <w:rPr>
          <w:b/>
        </w:rPr>
      </w:pPr>
      <w:r w:rsidRPr="00025CB2">
        <w:rPr>
          <w:b/>
        </w:rPr>
        <w:t xml:space="preserve">Supplemental Table </w:t>
      </w:r>
      <w:r w:rsidR="002512EE">
        <w:rPr>
          <w:b/>
        </w:rPr>
        <w:t>S</w:t>
      </w:r>
      <w:r w:rsidRPr="00025CB2">
        <w:rPr>
          <w:b/>
        </w:rPr>
        <w:t>2. Patient characteristics by answer responses for “space taken up by PD</w:t>
      </w:r>
      <w:r w:rsidRPr="0022537D">
        <w:rPr>
          <w:b/>
        </w:rPr>
        <w:t xml:space="preserve"> </w:t>
      </w:r>
      <w:r>
        <w:rPr>
          <w:b/>
        </w:rPr>
        <w:t>s</w:t>
      </w:r>
      <w:r w:rsidRPr="0022537D">
        <w:rPr>
          <w:b/>
        </w:rPr>
        <w:t>upplies”.</w:t>
      </w:r>
    </w:p>
    <w:tbl>
      <w:tblPr>
        <w:tblW w:w="10783" w:type="dxa"/>
        <w:tblInd w:w="108" w:type="dxa"/>
        <w:tblLook w:val="04A0" w:firstRow="1" w:lastRow="0" w:firstColumn="1" w:lastColumn="0" w:noHBand="0" w:noVBand="1"/>
      </w:tblPr>
      <w:tblGrid>
        <w:gridCol w:w="4668"/>
        <w:gridCol w:w="2550"/>
        <w:gridCol w:w="1273"/>
        <w:gridCol w:w="2292"/>
      </w:tblGrid>
      <w:tr w:rsidR="00025CB2" w:rsidRPr="00797D33" w:rsidTr="00565A5E">
        <w:trPr>
          <w:trHeight w:val="253"/>
        </w:trPr>
        <w:tc>
          <w:tcPr>
            <w:tcW w:w="4668" w:type="dxa"/>
            <w:tcBorders>
              <w:top w:val="single" w:sz="4" w:space="0" w:color="auto"/>
              <w:left w:val="nil"/>
              <w:bottom w:val="nil"/>
              <w:right w:val="nil"/>
            </w:tcBorders>
            <w:shd w:val="clear" w:color="auto" w:fill="auto"/>
            <w:noWrap/>
            <w:vAlign w:val="bottom"/>
            <w:hideMark/>
          </w:tcPr>
          <w:p w:rsidR="00025CB2" w:rsidRPr="00171722" w:rsidRDefault="00025CB2" w:rsidP="00565A5E">
            <w:pPr>
              <w:spacing w:after="0" w:line="240" w:lineRule="auto"/>
              <w:rPr>
                <w:rFonts w:ascii="Calibri" w:eastAsia="Times New Roman" w:hAnsi="Calibri" w:cs="Calibri"/>
                <w:b/>
              </w:rPr>
            </w:pPr>
            <w:r w:rsidRPr="00171722">
              <w:rPr>
                <w:rFonts w:ascii="Calibri" w:eastAsia="Times New Roman" w:hAnsi="Calibri" w:cs="Calibri"/>
                <w:b/>
              </w:rPr>
              <w:t> </w:t>
            </w:r>
          </w:p>
        </w:tc>
        <w:tc>
          <w:tcPr>
            <w:tcW w:w="6115" w:type="dxa"/>
            <w:gridSpan w:val="3"/>
            <w:tcBorders>
              <w:top w:val="single" w:sz="4" w:space="0" w:color="auto"/>
              <w:left w:val="nil"/>
              <w:bottom w:val="single" w:sz="4" w:space="0" w:color="auto"/>
              <w:right w:val="nil"/>
            </w:tcBorders>
            <w:shd w:val="clear" w:color="auto" w:fill="auto"/>
            <w:noWrap/>
            <w:vAlign w:val="bottom"/>
            <w:hideMark/>
          </w:tcPr>
          <w:p w:rsidR="00025CB2" w:rsidRPr="00171722" w:rsidRDefault="00025CB2" w:rsidP="00565A5E">
            <w:pPr>
              <w:spacing w:after="0" w:line="240" w:lineRule="auto"/>
              <w:jc w:val="center"/>
              <w:rPr>
                <w:rFonts w:ascii="Calibri" w:eastAsia="Times New Roman" w:hAnsi="Calibri" w:cs="Calibri"/>
                <w:b/>
              </w:rPr>
            </w:pPr>
            <w:r w:rsidRPr="00171722">
              <w:rPr>
                <w:rFonts w:ascii="Calibri" w:eastAsia="Times New Roman" w:hAnsi="Calibri" w:cs="Calibri"/>
                <w:b/>
              </w:rPr>
              <w:t>Space taken up by PD supplies</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171722" w:rsidRDefault="00025CB2" w:rsidP="00565A5E">
            <w:pPr>
              <w:spacing w:after="0" w:line="240" w:lineRule="auto"/>
              <w:rPr>
                <w:rFonts w:ascii="Calibri" w:eastAsia="Times New Roman" w:hAnsi="Calibri" w:cs="Calibri"/>
                <w:b/>
              </w:rPr>
            </w:pPr>
            <w:r w:rsidRPr="00171722">
              <w:rPr>
                <w:rFonts w:ascii="Calibri" w:eastAsia="Times New Roman" w:hAnsi="Calibri" w:cs="Calibri"/>
                <w:b/>
              </w:rPr>
              <w:t>Patient characteristic</w:t>
            </w:r>
          </w:p>
        </w:tc>
        <w:tc>
          <w:tcPr>
            <w:tcW w:w="2550" w:type="dxa"/>
            <w:tcBorders>
              <w:top w:val="nil"/>
              <w:left w:val="nil"/>
              <w:bottom w:val="nil"/>
              <w:right w:val="nil"/>
            </w:tcBorders>
            <w:shd w:val="clear" w:color="auto" w:fill="auto"/>
            <w:noWrap/>
            <w:vAlign w:val="bottom"/>
            <w:hideMark/>
          </w:tcPr>
          <w:p w:rsidR="00025CB2" w:rsidRPr="00171722" w:rsidRDefault="00025CB2" w:rsidP="00565A5E">
            <w:pPr>
              <w:spacing w:after="0" w:line="240" w:lineRule="auto"/>
              <w:jc w:val="center"/>
              <w:rPr>
                <w:rFonts w:ascii="Calibri" w:eastAsia="Times New Roman" w:hAnsi="Calibri" w:cs="Calibri"/>
                <w:b/>
              </w:rPr>
            </w:pPr>
            <w:r>
              <w:rPr>
                <w:rFonts w:ascii="Calibri" w:eastAsia="Times New Roman" w:hAnsi="Calibri" w:cs="Calibri"/>
                <w:b/>
              </w:rPr>
              <w:t>D</w:t>
            </w:r>
            <w:r w:rsidRPr="00171722">
              <w:rPr>
                <w:rFonts w:ascii="Calibri" w:eastAsia="Times New Roman" w:hAnsi="Calibri" w:cs="Calibri"/>
                <w:b/>
              </w:rPr>
              <w:t>isadvantage</w:t>
            </w:r>
          </w:p>
        </w:tc>
        <w:tc>
          <w:tcPr>
            <w:tcW w:w="1273" w:type="dxa"/>
            <w:tcBorders>
              <w:top w:val="nil"/>
              <w:left w:val="nil"/>
              <w:bottom w:val="nil"/>
              <w:right w:val="nil"/>
            </w:tcBorders>
            <w:shd w:val="clear" w:color="auto" w:fill="auto"/>
            <w:noWrap/>
            <w:vAlign w:val="bottom"/>
            <w:hideMark/>
          </w:tcPr>
          <w:p w:rsidR="00025CB2" w:rsidRPr="00171722" w:rsidRDefault="00025CB2" w:rsidP="00565A5E">
            <w:pPr>
              <w:spacing w:after="0" w:line="240" w:lineRule="auto"/>
              <w:jc w:val="center"/>
              <w:rPr>
                <w:rFonts w:ascii="Calibri" w:eastAsia="Times New Roman" w:hAnsi="Calibri" w:cs="Calibri"/>
                <w:b/>
              </w:rPr>
            </w:pPr>
            <w:r w:rsidRPr="00171722">
              <w:rPr>
                <w:rFonts w:ascii="Calibri" w:eastAsia="Times New Roman" w:hAnsi="Calibri" w:cs="Calibri"/>
                <w:b/>
              </w:rPr>
              <w:t>Neutral</w:t>
            </w:r>
          </w:p>
        </w:tc>
        <w:tc>
          <w:tcPr>
            <w:tcW w:w="2292" w:type="dxa"/>
            <w:tcBorders>
              <w:top w:val="nil"/>
              <w:left w:val="nil"/>
              <w:bottom w:val="nil"/>
              <w:right w:val="nil"/>
            </w:tcBorders>
            <w:shd w:val="clear" w:color="auto" w:fill="auto"/>
            <w:noWrap/>
            <w:vAlign w:val="bottom"/>
            <w:hideMark/>
          </w:tcPr>
          <w:p w:rsidR="00025CB2" w:rsidRPr="00171722" w:rsidRDefault="00025CB2" w:rsidP="00565A5E">
            <w:pPr>
              <w:spacing w:after="0" w:line="240" w:lineRule="auto"/>
              <w:jc w:val="center"/>
              <w:rPr>
                <w:rFonts w:ascii="Calibri" w:eastAsia="Times New Roman" w:hAnsi="Calibri" w:cs="Calibri"/>
                <w:b/>
              </w:rPr>
            </w:pPr>
            <w:r>
              <w:rPr>
                <w:rFonts w:ascii="Calibri" w:eastAsia="Times New Roman" w:hAnsi="Calibri" w:cs="Calibri"/>
                <w:b/>
              </w:rPr>
              <w:t>A</w:t>
            </w:r>
            <w:r w:rsidRPr="00171722">
              <w:rPr>
                <w:rFonts w:ascii="Calibri" w:eastAsia="Times New Roman" w:hAnsi="Calibri" w:cs="Calibri"/>
                <w:b/>
              </w:rPr>
              <w:t>dvantage</w:t>
            </w:r>
          </w:p>
        </w:tc>
      </w:tr>
      <w:tr w:rsidR="00025CB2" w:rsidRPr="00797D33" w:rsidTr="00565A5E">
        <w:trPr>
          <w:trHeight w:val="253"/>
        </w:trPr>
        <w:tc>
          <w:tcPr>
            <w:tcW w:w="4668" w:type="dxa"/>
            <w:tcBorders>
              <w:top w:val="nil"/>
              <w:left w:val="nil"/>
              <w:bottom w:val="single" w:sz="4" w:space="0" w:color="auto"/>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N patients</w:t>
            </w:r>
          </w:p>
        </w:tc>
        <w:tc>
          <w:tcPr>
            <w:tcW w:w="2550" w:type="dxa"/>
            <w:tcBorders>
              <w:top w:val="nil"/>
              <w:left w:val="nil"/>
              <w:bottom w:val="single" w:sz="4" w:space="0" w:color="auto"/>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866</w:t>
            </w:r>
          </w:p>
        </w:tc>
        <w:tc>
          <w:tcPr>
            <w:tcW w:w="1273" w:type="dxa"/>
            <w:tcBorders>
              <w:top w:val="nil"/>
              <w:left w:val="nil"/>
              <w:bottom w:val="single" w:sz="4" w:space="0" w:color="auto"/>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1171</w:t>
            </w:r>
          </w:p>
        </w:tc>
        <w:tc>
          <w:tcPr>
            <w:tcW w:w="2292" w:type="dxa"/>
            <w:tcBorders>
              <w:top w:val="nil"/>
              <w:left w:val="nil"/>
              <w:bottom w:val="single" w:sz="4" w:space="0" w:color="auto"/>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684</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Age, years</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57.3(14.8)</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61.7(14.0)</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63.8(13.1)</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Pr>
                <w:rFonts w:ascii="Calibri" w:eastAsia="Times New Roman" w:hAnsi="Calibri" w:cs="Calibri"/>
              </w:rPr>
              <w:t>Sex</w:t>
            </w:r>
            <w:r w:rsidRPr="00797D33">
              <w:rPr>
                <w:rFonts w:ascii="Calibri" w:eastAsia="Times New Roman" w:hAnsi="Calibri" w:cs="Calibri"/>
              </w:rPr>
              <w:t>, % male</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57%</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59%</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61%</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A61EB6">
            <w:pPr>
              <w:spacing w:after="0" w:line="240" w:lineRule="auto"/>
              <w:rPr>
                <w:rFonts w:ascii="Calibri" w:eastAsia="Times New Roman" w:hAnsi="Calibri" w:cs="Calibri"/>
              </w:rPr>
            </w:pPr>
            <w:r w:rsidRPr="00797D33">
              <w:rPr>
                <w:rFonts w:ascii="Calibri" w:eastAsia="Times New Roman" w:hAnsi="Calibri" w:cs="Calibri"/>
              </w:rPr>
              <w:t>B</w:t>
            </w:r>
            <w:r w:rsidR="00FE4AEC">
              <w:rPr>
                <w:rFonts w:ascii="Calibri" w:eastAsia="Times New Roman" w:hAnsi="Calibri" w:cs="Calibri"/>
              </w:rPr>
              <w:t>MI</w:t>
            </w:r>
            <w:r w:rsidRPr="00797D33">
              <w:rPr>
                <w:rFonts w:ascii="Calibri" w:eastAsia="Times New Roman" w:hAnsi="Calibri" w:cs="Calibri"/>
              </w:rPr>
              <w:t>, kg/m2</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27.5(6.3)</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26.8(6.0)</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26.2(5.8)</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Diabetes, %</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44%</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44%</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50%</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5816D9" w:rsidP="00A61EB6">
            <w:pPr>
              <w:spacing w:after="0" w:line="240" w:lineRule="auto"/>
              <w:rPr>
                <w:rFonts w:ascii="Calibri" w:eastAsia="Times New Roman" w:hAnsi="Calibri" w:cs="Calibri"/>
              </w:rPr>
            </w:pPr>
            <w:r>
              <w:rPr>
                <w:rFonts w:ascii="Calibri" w:eastAsia="Times New Roman" w:hAnsi="Calibri" w:cs="Calibri"/>
              </w:rPr>
              <w:t>P</w:t>
            </w:r>
            <w:r w:rsidR="00025CB2" w:rsidRPr="00797D33">
              <w:rPr>
                <w:rFonts w:ascii="Calibri" w:eastAsia="Times New Roman" w:hAnsi="Calibri" w:cs="Calibri"/>
              </w:rPr>
              <w:t>D vintage, years</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1.76(2.06)</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1.99(2.18)</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2.19(2.34)</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A61EB6">
            <w:pPr>
              <w:spacing w:after="0" w:line="240" w:lineRule="auto"/>
              <w:rPr>
                <w:rFonts w:ascii="Calibri" w:eastAsia="Times New Roman" w:hAnsi="Calibri" w:cs="Calibri"/>
              </w:rPr>
            </w:pPr>
            <w:r w:rsidRPr="00797D33">
              <w:rPr>
                <w:rFonts w:ascii="Calibri" w:eastAsia="Times New Roman" w:hAnsi="Calibri" w:cs="Calibri"/>
              </w:rPr>
              <w:t>PD modality, % APD</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72%</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60%</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53%</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Day dwell, %</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60%</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67%</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69%</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 xml:space="preserve">Albumin, g/dL </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3.46(0.56)</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3.46(0.55)</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3.41(0.56)</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24</w:t>
            </w:r>
            <w:r>
              <w:rPr>
                <w:rFonts w:ascii="Calibri" w:eastAsia="Times New Roman" w:hAnsi="Calibri" w:cs="Calibri"/>
              </w:rPr>
              <w:t>-</w:t>
            </w:r>
            <w:r w:rsidRPr="00797D33">
              <w:rPr>
                <w:rFonts w:ascii="Calibri" w:eastAsia="Times New Roman" w:hAnsi="Calibri" w:cs="Calibri"/>
              </w:rPr>
              <w:t>hour urine volume, L</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0.95(0.76)</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0.98(0.78)</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0.90(0.73)</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Prescribed therapy volume, L/day</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8.39(4.23)</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7.84(3.82)</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7.60(3.68)</w:t>
            </w:r>
          </w:p>
        </w:tc>
      </w:tr>
      <w:tr w:rsidR="00025CB2" w:rsidRPr="00797D33" w:rsidTr="00565A5E">
        <w:trPr>
          <w:trHeight w:val="253"/>
        </w:trPr>
        <w:tc>
          <w:tcPr>
            <w:tcW w:w="4668"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rPr>
                <w:rFonts w:ascii="Calibri" w:eastAsia="Times New Roman" w:hAnsi="Calibri" w:cs="Calibri"/>
              </w:rPr>
            </w:pPr>
            <w:r w:rsidRPr="00797D33">
              <w:rPr>
                <w:rFonts w:ascii="Calibri" w:eastAsia="Times New Roman" w:hAnsi="Calibri" w:cs="Calibri"/>
              </w:rPr>
              <w:t>Peritoneal Kt/V urea</w:t>
            </w:r>
          </w:p>
        </w:tc>
        <w:tc>
          <w:tcPr>
            <w:tcW w:w="2550"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1.42(0.57)</w:t>
            </w:r>
          </w:p>
        </w:tc>
        <w:tc>
          <w:tcPr>
            <w:tcW w:w="1273"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1.35(0.49)</w:t>
            </w:r>
          </w:p>
        </w:tc>
        <w:tc>
          <w:tcPr>
            <w:tcW w:w="2292" w:type="dxa"/>
            <w:tcBorders>
              <w:top w:val="nil"/>
              <w:left w:val="nil"/>
              <w:bottom w:val="nil"/>
              <w:right w:val="nil"/>
            </w:tcBorders>
            <w:shd w:val="clear" w:color="auto" w:fill="auto"/>
            <w:noWrap/>
            <w:vAlign w:val="bottom"/>
            <w:hideMark/>
          </w:tcPr>
          <w:p w:rsidR="00025CB2" w:rsidRPr="00797D33" w:rsidRDefault="00025CB2" w:rsidP="00565A5E">
            <w:pPr>
              <w:spacing w:after="0" w:line="240" w:lineRule="auto"/>
              <w:jc w:val="center"/>
              <w:rPr>
                <w:rFonts w:ascii="Calibri" w:eastAsia="Times New Roman" w:hAnsi="Calibri" w:cs="Calibri"/>
              </w:rPr>
            </w:pPr>
            <w:r w:rsidRPr="00797D33">
              <w:rPr>
                <w:rFonts w:ascii="Calibri" w:eastAsia="Times New Roman" w:hAnsi="Calibri" w:cs="Calibri"/>
              </w:rPr>
              <w:t>1.43(0.53)</w:t>
            </w:r>
          </w:p>
        </w:tc>
      </w:tr>
      <w:tr w:rsidR="00025CB2" w:rsidRPr="008E7FD4" w:rsidTr="00565A5E">
        <w:trPr>
          <w:trHeight w:val="253"/>
        </w:trPr>
        <w:tc>
          <w:tcPr>
            <w:tcW w:w="4668"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rPr>
                <w:rFonts w:ascii="Calibri" w:eastAsia="Times New Roman" w:hAnsi="Calibri" w:cs="Calibri"/>
              </w:rPr>
            </w:pPr>
            <w:r w:rsidRPr="008E7FD4">
              <w:rPr>
                <w:rFonts w:ascii="Calibri" w:eastAsia="Times New Roman" w:hAnsi="Calibri" w:cs="Calibri"/>
              </w:rPr>
              <w:t>Living arrangement</w:t>
            </w:r>
          </w:p>
        </w:tc>
        <w:tc>
          <w:tcPr>
            <w:tcW w:w="2550"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p>
        </w:tc>
        <w:tc>
          <w:tcPr>
            <w:tcW w:w="1273"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p>
        </w:tc>
        <w:tc>
          <w:tcPr>
            <w:tcW w:w="2292"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p>
        </w:tc>
      </w:tr>
      <w:tr w:rsidR="00025CB2" w:rsidRPr="008E7FD4" w:rsidTr="00565A5E">
        <w:trPr>
          <w:trHeight w:val="253"/>
        </w:trPr>
        <w:tc>
          <w:tcPr>
            <w:tcW w:w="4668"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rPr>
                <w:rFonts w:ascii="Calibri" w:eastAsia="Times New Roman" w:hAnsi="Calibri" w:cs="Calibri"/>
              </w:rPr>
            </w:pPr>
            <w:r w:rsidRPr="008E7FD4">
              <w:rPr>
                <w:rFonts w:ascii="Calibri" w:eastAsia="Times New Roman" w:hAnsi="Calibri" w:cs="Calibri"/>
              </w:rPr>
              <w:t>   Lives alone</w:t>
            </w:r>
          </w:p>
        </w:tc>
        <w:tc>
          <w:tcPr>
            <w:tcW w:w="2550"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17%</w:t>
            </w:r>
          </w:p>
        </w:tc>
        <w:tc>
          <w:tcPr>
            <w:tcW w:w="1273"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12%</w:t>
            </w:r>
          </w:p>
        </w:tc>
        <w:tc>
          <w:tcPr>
            <w:tcW w:w="2292"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15%</w:t>
            </w:r>
          </w:p>
        </w:tc>
      </w:tr>
      <w:tr w:rsidR="00025CB2" w:rsidRPr="008E7FD4" w:rsidTr="00565A5E">
        <w:trPr>
          <w:trHeight w:val="253"/>
        </w:trPr>
        <w:tc>
          <w:tcPr>
            <w:tcW w:w="4668"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rPr>
                <w:rFonts w:ascii="Calibri" w:eastAsia="Times New Roman" w:hAnsi="Calibri" w:cs="Calibri"/>
              </w:rPr>
            </w:pPr>
            <w:r w:rsidRPr="008E7FD4">
              <w:rPr>
                <w:rFonts w:ascii="Calibri" w:eastAsia="Times New Roman" w:hAnsi="Calibri" w:cs="Calibri"/>
              </w:rPr>
              <w:t>   Lives with spouse, family</w:t>
            </w:r>
            <w:r w:rsidR="005816D9">
              <w:rPr>
                <w:rFonts w:ascii="Calibri" w:eastAsia="Times New Roman" w:hAnsi="Calibri" w:cs="Calibri"/>
              </w:rPr>
              <w:t>,</w:t>
            </w:r>
            <w:r w:rsidRPr="008E7FD4">
              <w:rPr>
                <w:rFonts w:ascii="Calibri" w:eastAsia="Times New Roman" w:hAnsi="Calibri" w:cs="Calibri"/>
              </w:rPr>
              <w:t xml:space="preserve"> or friends</w:t>
            </w:r>
          </w:p>
        </w:tc>
        <w:tc>
          <w:tcPr>
            <w:tcW w:w="2550"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81%</w:t>
            </w:r>
          </w:p>
        </w:tc>
        <w:tc>
          <w:tcPr>
            <w:tcW w:w="1273"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85%</w:t>
            </w:r>
          </w:p>
        </w:tc>
        <w:tc>
          <w:tcPr>
            <w:tcW w:w="2292" w:type="dxa"/>
            <w:tcBorders>
              <w:top w:val="nil"/>
              <w:left w:val="nil"/>
              <w:bottom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82%</w:t>
            </w:r>
          </w:p>
        </w:tc>
      </w:tr>
      <w:tr w:rsidR="00025CB2" w:rsidRPr="008E7FD4" w:rsidTr="00565A5E">
        <w:trPr>
          <w:trHeight w:val="253"/>
        </w:trPr>
        <w:tc>
          <w:tcPr>
            <w:tcW w:w="4668" w:type="dxa"/>
            <w:tcBorders>
              <w:top w:val="nil"/>
              <w:left w:val="nil"/>
              <w:right w:val="nil"/>
            </w:tcBorders>
            <w:shd w:val="clear" w:color="auto" w:fill="auto"/>
            <w:noWrap/>
            <w:vAlign w:val="bottom"/>
            <w:hideMark/>
          </w:tcPr>
          <w:p w:rsidR="00025CB2" w:rsidRPr="008E7FD4" w:rsidRDefault="00025CB2" w:rsidP="00565A5E">
            <w:pPr>
              <w:spacing w:after="0" w:line="240" w:lineRule="auto"/>
              <w:rPr>
                <w:rFonts w:ascii="Calibri" w:eastAsia="Times New Roman" w:hAnsi="Calibri" w:cs="Calibri"/>
              </w:rPr>
            </w:pPr>
            <w:r w:rsidRPr="008E7FD4">
              <w:rPr>
                <w:rFonts w:ascii="Calibri" w:eastAsia="Times New Roman" w:hAnsi="Calibri" w:cs="Calibri"/>
              </w:rPr>
              <w:t xml:space="preserve">   Nursing </w:t>
            </w:r>
            <w:r>
              <w:rPr>
                <w:rFonts w:ascii="Calibri" w:eastAsia="Times New Roman" w:hAnsi="Calibri" w:cs="Calibri"/>
              </w:rPr>
              <w:t>home/i</w:t>
            </w:r>
            <w:r w:rsidRPr="008E7FD4">
              <w:rPr>
                <w:rFonts w:ascii="Calibri" w:eastAsia="Times New Roman" w:hAnsi="Calibri" w:cs="Calibri"/>
              </w:rPr>
              <w:t xml:space="preserve">nstitution or </w:t>
            </w:r>
            <w:r>
              <w:rPr>
                <w:rFonts w:ascii="Calibri" w:eastAsia="Times New Roman" w:hAnsi="Calibri" w:cs="Calibri"/>
              </w:rPr>
              <w:t xml:space="preserve">assisted </w:t>
            </w:r>
            <w:r w:rsidRPr="008E7FD4">
              <w:rPr>
                <w:rFonts w:ascii="Calibri" w:eastAsia="Times New Roman" w:hAnsi="Calibri" w:cs="Calibri"/>
              </w:rPr>
              <w:t xml:space="preserve">living </w:t>
            </w:r>
            <w:r>
              <w:rPr>
                <w:rFonts w:ascii="Calibri" w:eastAsia="Times New Roman" w:hAnsi="Calibri" w:cs="Calibri"/>
              </w:rPr>
              <w:t>u</w:t>
            </w:r>
            <w:r w:rsidRPr="008E7FD4">
              <w:rPr>
                <w:rFonts w:ascii="Calibri" w:eastAsia="Times New Roman" w:hAnsi="Calibri" w:cs="Calibri"/>
              </w:rPr>
              <w:t>nit</w:t>
            </w:r>
          </w:p>
        </w:tc>
        <w:tc>
          <w:tcPr>
            <w:tcW w:w="2550" w:type="dxa"/>
            <w:tcBorders>
              <w:top w:val="nil"/>
              <w:left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0%</w:t>
            </w:r>
          </w:p>
        </w:tc>
        <w:tc>
          <w:tcPr>
            <w:tcW w:w="1273" w:type="dxa"/>
            <w:tcBorders>
              <w:top w:val="nil"/>
              <w:left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1%</w:t>
            </w:r>
          </w:p>
        </w:tc>
        <w:tc>
          <w:tcPr>
            <w:tcW w:w="2292" w:type="dxa"/>
            <w:tcBorders>
              <w:top w:val="nil"/>
              <w:left w:val="nil"/>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1%</w:t>
            </w:r>
          </w:p>
        </w:tc>
      </w:tr>
      <w:tr w:rsidR="00025CB2" w:rsidRPr="008E7FD4" w:rsidTr="00565A5E">
        <w:trPr>
          <w:trHeight w:val="253"/>
        </w:trPr>
        <w:tc>
          <w:tcPr>
            <w:tcW w:w="4668" w:type="dxa"/>
            <w:tcBorders>
              <w:top w:val="nil"/>
              <w:left w:val="nil"/>
              <w:bottom w:val="single" w:sz="4" w:space="0" w:color="auto"/>
              <w:right w:val="nil"/>
            </w:tcBorders>
            <w:shd w:val="clear" w:color="auto" w:fill="auto"/>
            <w:noWrap/>
            <w:vAlign w:val="bottom"/>
            <w:hideMark/>
          </w:tcPr>
          <w:p w:rsidR="00025CB2" w:rsidRPr="008E7FD4" w:rsidRDefault="00025CB2" w:rsidP="00565A5E">
            <w:pPr>
              <w:spacing w:after="0" w:line="240" w:lineRule="auto"/>
              <w:rPr>
                <w:rFonts w:ascii="Calibri" w:eastAsia="Times New Roman" w:hAnsi="Calibri" w:cs="Calibri"/>
              </w:rPr>
            </w:pPr>
            <w:r w:rsidRPr="008E7FD4">
              <w:rPr>
                <w:rFonts w:ascii="Calibri" w:eastAsia="Times New Roman" w:hAnsi="Calibri" w:cs="Calibri"/>
              </w:rPr>
              <w:t>   Unknown</w:t>
            </w:r>
          </w:p>
        </w:tc>
        <w:tc>
          <w:tcPr>
            <w:tcW w:w="2550" w:type="dxa"/>
            <w:tcBorders>
              <w:top w:val="nil"/>
              <w:left w:val="nil"/>
              <w:bottom w:val="single" w:sz="4" w:space="0" w:color="auto"/>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2%</w:t>
            </w:r>
          </w:p>
        </w:tc>
        <w:tc>
          <w:tcPr>
            <w:tcW w:w="1273" w:type="dxa"/>
            <w:tcBorders>
              <w:top w:val="nil"/>
              <w:left w:val="nil"/>
              <w:bottom w:val="single" w:sz="4" w:space="0" w:color="auto"/>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1%</w:t>
            </w:r>
          </w:p>
        </w:tc>
        <w:tc>
          <w:tcPr>
            <w:tcW w:w="2292" w:type="dxa"/>
            <w:tcBorders>
              <w:top w:val="nil"/>
              <w:left w:val="nil"/>
              <w:bottom w:val="single" w:sz="4" w:space="0" w:color="auto"/>
              <w:right w:val="nil"/>
            </w:tcBorders>
            <w:shd w:val="clear" w:color="auto" w:fill="auto"/>
            <w:noWrap/>
            <w:vAlign w:val="bottom"/>
            <w:hideMark/>
          </w:tcPr>
          <w:p w:rsidR="00025CB2" w:rsidRPr="008E7FD4" w:rsidRDefault="00025CB2" w:rsidP="00565A5E">
            <w:pPr>
              <w:spacing w:after="0" w:line="240" w:lineRule="auto"/>
              <w:jc w:val="center"/>
              <w:rPr>
                <w:rFonts w:ascii="Calibri" w:eastAsia="Times New Roman" w:hAnsi="Calibri" w:cs="Calibri"/>
              </w:rPr>
            </w:pPr>
            <w:r w:rsidRPr="008E7FD4">
              <w:rPr>
                <w:rFonts w:ascii="Calibri" w:eastAsia="Times New Roman" w:hAnsi="Calibri" w:cs="Calibri"/>
              </w:rPr>
              <w:t>2%</w:t>
            </w:r>
          </w:p>
        </w:tc>
      </w:tr>
    </w:tbl>
    <w:p w:rsidR="00025CB2" w:rsidRPr="006026A7" w:rsidRDefault="00025CB2" w:rsidP="006026A7">
      <w:pPr>
        <w:spacing w:after="0" w:line="240" w:lineRule="auto"/>
        <w:rPr>
          <w:sz w:val="20"/>
          <w:szCs w:val="20"/>
        </w:rPr>
      </w:pPr>
      <w:r w:rsidRPr="006026A7">
        <w:rPr>
          <w:sz w:val="20"/>
          <w:szCs w:val="20"/>
        </w:rPr>
        <w:t>Mean (standard deviation) or % shown</w:t>
      </w:r>
      <w:r w:rsidR="00FE4AEC">
        <w:rPr>
          <w:sz w:val="20"/>
          <w:szCs w:val="20"/>
        </w:rPr>
        <w:t>.</w:t>
      </w:r>
    </w:p>
    <w:p w:rsidR="00FE4AEC" w:rsidRPr="006026A7" w:rsidRDefault="00FE4AEC" w:rsidP="006026A7">
      <w:pPr>
        <w:spacing w:after="0" w:line="240" w:lineRule="auto"/>
        <w:rPr>
          <w:sz w:val="20"/>
          <w:szCs w:val="20"/>
        </w:rPr>
      </w:pPr>
      <w:r w:rsidRPr="006026A7">
        <w:rPr>
          <w:sz w:val="20"/>
          <w:szCs w:val="20"/>
        </w:rPr>
        <w:t xml:space="preserve">Abbreviations: </w:t>
      </w:r>
      <w:r>
        <w:rPr>
          <w:sz w:val="20"/>
          <w:szCs w:val="20"/>
        </w:rPr>
        <w:t>APD, automated peritoneal dialysis; BMI, body mass index; PD, peritoneal dialysis.</w:t>
      </w:r>
    </w:p>
    <w:p w:rsidR="00BF1047" w:rsidRDefault="00BF1047" w:rsidP="00025CB2">
      <w:pPr>
        <w:spacing w:after="0" w:line="240" w:lineRule="auto"/>
        <w:rPr>
          <w:b/>
        </w:rPr>
        <w:sectPr w:rsidR="00BF1047" w:rsidSect="00BF1047">
          <w:pgSz w:w="15840" w:h="12240" w:orient="landscape"/>
          <w:pgMar w:top="1440" w:right="1440" w:bottom="1440" w:left="1440" w:header="720" w:footer="720" w:gutter="0"/>
          <w:cols w:space="720"/>
          <w:docGrid w:linePitch="360"/>
        </w:sectPr>
      </w:pPr>
    </w:p>
    <w:p w:rsidR="00DA22F5" w:rsidRDefault="00A04C05" w:rsidP="00A073C9"/>
    <w:sectPr w:rsidR="00DA22F5" w:rsidSect="00BF10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C05" w:rsidRDefault="00A04C05" w:rsidP="000E0E19">
      <w:pPr>
        <w:spacing w:after="0" w:line="240" w:lineRule="auto"/>
      </w:pPr>
      <w:r>
        <w:separator/>
      </w:r>
    </w:p>
  </w:endnote>
  <w:endnote w:type="continuationSeparator" w:id="0">
    <w:p w:rsidR="00A04C05" w:rsidRDefault="00A04C05" w:rsidP="000E0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079556"/>
      <w:docPartObj>
        <w:docPartGallery w:val="Page Numbers (Bottom of Page)"/>
        <w:docPartUnique/>
      </w:docPartObj>
    </w:sdtPr>
    <w:sdtEndPr>
      <w:rPr>
        <w:rFonts w:ascii="Calibri" w:hAnsi="Calibri" w:cs="Calibri"/>
        <w:noProof/>
        <w:sz w:val="18"/>
        <w:szCs w:val="18"/>
      </w:rPr>
    </w:sdtEndPr>
    <w:sdtContent>
      <w:p w:rsidR="000E0E19" w:rsidRPr="000E0E19" w:rsidRDefault="000E0E19">
        <w:pPr>
          <w:pStyle w:val="Footer"/>
          <w:jc w:val="right"/>
          <w:rPr>
            <w:rFonts w:ascii="Calibri" w:hAnsi="Calibri" w:cs="Calibri"/>
            <w:sz w:val="18"/>
            <w:szCs w:val="18"/>
          </w:rPr>
        </w:pPr>
        <w:r w:rsidRPr="000E0E19">
          <w:rPr>
            <w:rFonts w:ascii="Calibri" w:hAnsi="Calibri" w:cs="Calibri"/>
            <w:sz w:val="18"/>
            <w:szCs w:val="18"/>
          </w:rPr>
          <w:fldChar w:fldCharType="begin"/>
        </w:r>
        <w:r w:rsidRPr="000E0E19">
          <w:rPr>
            <w:rFonts w:ascii="Calibri" w:hAnsi="Calibri" w:cs="Calibri"/>
            <w:sz w:val="18"/>
            <w:szCs w:val="18"/>
          </w:rPr>
          <w:instrText xml:space="preserve"> PAGE   \* MERGEFORMAT </w:instrText>
        </w:r>
        <w:r w:rsidRPr="000E0E19">
          <w:rPr>
            <w:rFonts w:ascii="Calibri" w:hAnsi="Calibri" w:cs="Calibri"/>
            <w:sz w:val="18"/>
            <w:szCs w:val="18"/>
          </w:rPr>
          <w:fldChar w:fldCharType="separate"/>
        </w:r>
        <w:r w:rsidR="006006C1">
          <w:rPr>
            <w:rFonts w:ascii="Calibri" w:hAnsi="Calibri" w:cs="Calibri"/>
            <w:noProof/>
            <w:sz w:val="18"/>
            <w:szCs w:val="18"/>
          </w:rPr>
          <w:t>1</w:t>
        </w:r>
        <w:r w:rsidRPr="000E0E19">
          <w:rPr>
            <w:rFonts w:ascii="Calibri" w:hAnsi="Calibri" w:cs="Calibri"/>
            <w:noProof/>
            <w:sz w:val="18"/>
            <w:szCs w:val="18"/>
          </w:rPr>
          <w:fldChar w:fldCharType="end"/>
        </w:r>
      </w:p>
    </w:sdtContent>
  </w:sdt>
  <w:p w:rsidR="000E0E19" w:rsidRDefault="000E0E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C05" w:rsidRDefault="00A04C05" w:rsidP="000E0E19">
      <w:pPr>
        <w:spacing w:after="0" w:line="240" w:lineRule="auto"/>
      </w:pPr>
      <w:r>
        <w:separator/>
      </w:r>
    </w:p>
  </w:footnote>
  <w:footnote w:type="continuationSeparator" w:id="0">
    <w:p w:rsidR="00A04C05" w:rsidRDefault="00A04C05" w:rsidP="000E0E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025CB2"/>
    <w:rsid w:val="00025CB2"/>
    <w:rsid w:val="0005390A"/>
    <w:rsid w:val="000E0E19"/>
    <w:rsid w:val="000F157E"/>
    <w:rsid w:val="001937AA"/>
    <w:rsid w:val="001C0C06"/>
    <w:rsid w:val="002512EE"/>
    <w:rsid w:val="0037706D"/>
    <w:rsid w:val="004C28BA"/>
    <w:rsid w:val="004E775E"/>
    <w:rsid w:val="005816D9"/>
    <w:rsid w:val="005B3A14"/>
    <w:rsid w:val="006006C1"/>
    <w:rsid w:val="006026A7"/>
    <w:rsid w:val="007C609B"/>
    <w:rsid w:val="007E661B"/>
    <w:rsid w:val="0081204B"/>
    <w:rsid w:val="00881B16"/>
    <w:rsid w:val="008D4C05"/>
    <w:rsid w:val="009076C3"/>
    <w:rsid w:val="00962242"/>
    <w:rsid w:val="00A04C05"/>
    <w:rsid w:val="00A073C9"/>
    <w:rsid w:val="00A14081"/>
    <w:rsid w:val="00A61EB6"/>
    <w:rsid w:val="00AE22A3"/>
    <w:rsid w:val="00B00005"/>
    <w:rsid w:val="00B9430E"/>
    <w:rsid w:val="00BB6BC6"/>
    <w:rsid w:val="00BE58A0"/>
    <w:rsid w:val="00BE5F47"/>
    <w:rsid w:val="00BF1047"/>
    <w:rsid w:val="00C36B66"/>
    <w:rsid w:val="00CA6A0A"/>
    <w:rsid w:val="00FA51E3"/>
    <w:rsid w:val="00FB7810"/>
    <w:rsid w:val="00FD11EB"/>
    <w:rsid w:val="00FE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CB2"/>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E19"/>
    <w:rPr>
      <w:rFonts w:eastAsiaTheme="minorEastAsia"/>
      <w:lang w:eastAsia="zh-CN"/>
    </w:rPr>
  </w:style>
  <w:style w:type="paragraph" w:styleId="Footer">
    <w:name w:val="footer"/>
    <w:basedOn w:val="Normal"/>
    <w:link w:val="FooterChar"/>
    <w:uiPriority w:val="99"/>
    <w:unhideWhenUsed/>
    <w:rsid w:val="000E0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E19"/>
    <w:rPr>
      <w:rFonts w:eastAsiaTheme="minorEastAsia"/>
      <w:lang w:eastAsia="zh-CN"/>
    </w:rPr>
  </w:style>
  <w:style w:type="paragraph" w:styleId="BalloonText">
    <w:name w:val="Balloon Text"/>
    <w:basedOn w:val="Normal"/>
    <w:link w:val="BalloonTextChar"/>
    <w:uiPriority w:val="99"/>
    <w:semiHidden/>
    <w:unhideWhenUsed/>
    <w:rsid w:val="0090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6C3"/>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CB2"/>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E19"/>
    <w:rPr>
      <w:rFonts w:eastAsiaTheme="minorEastAsia"/>
      <w:lang w:eastAsia="zh-CN"/>
    </w:rPr>
  </w:style>
  <w:style w:type="paragraph" w:styleId="Footer">
    <w:name w:val="footer"/>
    <w:basedOn w:val="Normal"/>
    <w:link w:val="FooterChar"/>
    <w:uiPriority w:val="99"/>
    <w:unhideWhenUsed/>
    <w:rsid w:val="000E0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E19"/>
    <w:rPr>
      <w:rFonts w:eastAsiaTheme="minorEastAsia"/>
      <w:lang w:eastAsia="zh-CN"/>
    </w:rPr>
  </w:style>
  <w:style w:type="paragraph" w:styleId="BalloonText">
    <w:name w:val="Balloon Text"/>
    <w:basedOn w:val="Normal"/>
    <w:link w:val="BalloonTextChar"/>
    <w:uiPriority w:val="99"/>
    <w:semiHidden/>
    <w:unhideWhenUsed/>
    <w:rsid w:val="0090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6C3"/>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Arbor Research Collaborative for Health</Company>
  <LinksUpToDate>false</LinksUpToDate>
  <CharactersWithSpaces>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Van Doren</dc:creator>
  <cp:lastModifiedBy>HCALUM</cp:lastModifiedBy>
  <cp:revision>6</cp:revision>
  <dcterms:created xsi:type="dcterms:W3CDTF">2018-09-10T22:05:00Z</dcterms:created>
  <dcterms:modified xsi:type="dcterms:W3CDTF">2019-03-22T02:05:00Z</dcterms:modified>
</cp:coreProperties>
</file>