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182C1" w14:textId="30BBDC2F" w:rsidR="00B947E4" w:rsidRDefault="00082D5F" w:rsidP="00B947E4">
      <w:pPr>
        <w:widowControl/>
        <w:spacing w:line="480" w:lineRule="auto"/>
        <w:rPr>
          <w:rFonts w:ascii="Times New Roman" w:hAnsi="Times New Roman"/>
          <w:sz w:val="24"/>
          <w:szCs w:val="24"/>
        </w:rPr>
      </w:pPr>
      <w:bookmarkStart w:id="0" w:name="OLE_LINK422"/>
      <w:r w:rsidRPr="00082D5F">
        <w:rPr>
          <w:rFonts w:ascii="Times New Roman" w:hAnsi="Times New Roman"/>
          <w:b/>
          <w:bCs/>
          <w:color w:val="000000"/>
          <w:sz w:val="28"/>
          <w:szCs w:val="32"/>
        </w:rPr>
        <w:t>A</w:t>
      </w:r>
      <w:r w:rsidR="004801A0">
        <w:rPr>
          <w:rFonts w:ascii="Times New Roman" w:hAnsi="Times New Roman"/>
          <w:b/>
          <w:bCs/>
          <w:color w:val="000000"/>
          <w:sz w:val="28"/>
          <w:szCs w:val="32"/>
        </w:rPr>
        <w:t xml:space="preserve">dditional file </w:t>
      </w:r>
      <w:r w:rsidR="009C0647">
        <w:rPr>
          <w:rFonts w:ascii="Times New Roman" w:hAnsi="Times New Roman"/>
          <w:b/>
          <w:bCs/>
          <w:color w:val="000000"/>
          <w:sz w:val="28"/>
          <w:szCs w:val="32"/>
        </w:rPr>
        <w:t>2</w:t>
      </w:r>
      <w:bookmarkStart w:id="1" w:name="_GoBack"/>
      <w:bookmarkEnd w:id="1"/>
      <w:r w:rsidR="00B947E4" w:rsidRPr="00082D5F">
        <w:rPr>
          <w:rFonts w:ascii="Times New Roman" w:hAnsi="Times New Roman"/>
          <w:b/>
          <w:bCs/>
          <w:color w:val="000000"/>
          <w:sz w:val="28"/>
          <w:szCs w:val="32"/>
        </w:rPr>
        <w:t xml:space="preserve">. </w:t>
      </w:r>
      <w:bookmarkEnd w:id="0"/>
      <w:r w:rsidR="00B947E4" w:rsidRPr="00F51EA6">
        <w:rPr>
          <w:rFonts w:ascii="Times New Roman" w:hAnsi="Times New Roman"/>
          <w:b/>
          <w:bCs/>
          <w:color w:val="000000"/>
          <w:sz w:val="28"/>
          <w:szCs w:val="32"/>
        </w:rPr>
        <w:t>Assessment domains of risk of bias</w:t>
      </w:r>
    </w:p>
    <w:p w14:paraId="19A1F46A" w14:textId="67536846" w:rsidR="00B947E4" w:rsidRPr="006F136B"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We assessed risk of bias for sequence generation, allocation concealment, blinding, selective reporting, incomplete outcome data and other sources of bias, and determined overall risk of bias based on predefined rules, utilizing the Cochrane Collaboration risk of bias tool</w:t>
      </w:r>
      <w:r>
        <w:rPr>
          <w:rFonts w:ascii="Times New Roman" w:hAnsi="Times New Roman"/>
          <w:sz w:val="24"/>
          <w:szCs w:val="24"/>
        </w:rPr>
        <w:t>.</w:t>
      </w:r>
      <w:r w:rsidRPr="000C3068">
        <w:rPr>
          <w:rFonts w:ascii="Times New Roman" w:hAnsi="Times New Roman"/>
          <w:sz w:val="24"/>
          <w:vertAlign w:val="superscript"/>
        </w:rPr>
        <w:t>1</w:t>
      </w:r>
      <w:r w:rsidRPr="006F136B">
        <w:rPr>
          <w:rFonts w:ascii="Times New Roman" w:hAnsi="Times New Roman"/>
          <w:sz w:val="24"/>
          <w:szCs w:val="24"/>
        </w:rPr>
        <w:t xml:space="preserve"> </w:t>
      </w:r>
    </w:p>
    <w:p w14:paraId="752A593A" w14:textId="02FF12CB" w:rsidR="00B947E4" w:rsidRDefault="00B947E4" w:rsidP="00B947E4">
      <w:pPr>
        <w:widowControl/>
        <w:spacing w:line="480" w:lineRule="auto"/>
        <w:rPr>
          <w:rFonts w:ascii="Times New Roman" w:hAnsi="Times New Roman"/>
          <w:sz w:val="24"/>
          <w:szCs w:val="24"/>
        </w:rPr>
      </w:pPr>
      <w:r w:rsidRPr="006F136B">
        <w:rPr>
          <w:rFonts w:ascii="Times New Roman" w:hAnsi="Times New Roman"/>
          <w:b/>
          <w:bCs/>
          <w:sz w:val="24"/>
          <w:szCs w:val="24"/>
        </w:rPr>
        <w:t>Sequence generation</w:t>
      </w:r>
      <w:r w:rsidR="004801A0">
        <w:rPr>
          <w:rFonts w:ascii="Times New Roman" w:hAnsi="Times New Roman"/>
          <w:sz w:val="24"/>
          <w:szCs w:val="24"/>
        </w:rPr>
        <w:t xml:space="preserve"> </w:t>
      </w:r>
      <w:r w:rsidRPr="006F136B">
        <w:rPr>
          <w:rFonts w:ascii="Times New Roman" w:hAnsi="Times New Roman"/>
          <w:sz w:val="24"/>
          <w:szCs w:val="24"/>
        </w:rPr>
        <w:t>(</w:t>
      </w:r>
      <w:r w:rsidRPr="006F136B">
        <w:rPr>
          <w:rFonts w:ascii="Times New Roman" w:hAnsi="Times New Roman"/>
          <w:b/>
          <w:bCs/>
          <w:sz w:val="24"/>
          <w:szCs w:val="24"/>
        </w:rPr>
        <w:t>Selection bias)</w:t>
      </w:r>
      <w:r w:rsidRPr="006F136B">
        <w:rPr>
          <w:rFonts w:ascii="Times New Roman" w:hAnsi="Times New Roman"/>
          <w:sz w:val="24"/>
          <w:szCs w:val="24"/>
        </w:rPr>
        <w:br/>
        <w:t>• Low risk of bias, if randomization was generated by a computer, or a table of random</w:t>
      </w:r>
      <w:r>
        <w:rPr>
          <w:rFonts w:ascii="Times New Roman" w:hAnsi="Times New Roman"/>
          <w:sz w:val="24"/>
          <w:szCs w:val="24"/>
        </w:rPr>
        <w:t xml:space="preserve"> </w:t>
      </w:r>
      <w:r w:rsidRPr="006F136B">
        <w:rPr>
          <w:rFonts w:ascii="Times New Roman" w:hAnsi="Times New Roman"/>
          <w:sz w:val="24"/>
          <w:szCs w:val="24"/>
        </w:rPr>
        <w:t>numbers.</w:t>
      </w:r>
    </w:p>
    <w:p w14:paraId="74ADF449"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High risk of bias, if method of randomization was inadequate (i.e. "quasi-randomized").</w:t>
      </w:r>
    </w:p>
    <w:p w14:paraId="50819C37"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Unclear risk of bias, if method of randomization was not described.</w:t>
      </w:r>
    </w:p>
    <w:p w14:paraId="1752C206"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b/>
          <w:bCs/>
          <w:sz w:val="24"/>
          <w:szCs w:val="24"/>
        </w:rPr>
        <w:t xml:space="preserve">Allocation concealment </w:t>
      </w:r>
      <w:r w:rsidRPr="006F136B">
        <w:rPr>
          <w:rFonts w:ascii="Times New Roman" w:hAnsi="Times New Roman"/>
          <w:sz w:val="24"/>
          <w:szCs w:val="24"/>
        </w:rPr>
        <w:t>(</w:t>
      </w:r>
      <w:r w:rsidRPr="006F136B">
        <w:rPr>
          <w:rFonts w:ascii="Times New Roman" w:hAnsi="Times New Roman"/>
          <w:b/>
          <w:bCs/>
          <w:sz w:val="24"/>
          <w:szCs w:val="24"/>
        </w:rPr>
        <w:t>Selection bias)</w:t>
      </w:r>
      <w:r w:rsidRPr="006F136B">
        <w:rPr>
          <w:rFonts w:ascii="Times New Roman" w:hAnsi="Times New Roman"/>
          <w:sz w:val="24"/>
          <w:szCs w:val="24"/>
        </w:rPr>
        <w:br/>
        <w:t>• Low risk of bias, if the method of allocation involved a central independent unit or</w:t>
      </w:r>
      <w:r>
        <w:rPr>
          <w:rFonts w:ascii="Times New Roman" w:hAnsi="Times New Roman"/>
          <w:sz w:val="24"/>
          <w:szCs w:val="24"/>
        </w:rPr>
        <w:t xml:space="preserve"> </w:t>
      </w:r>
      <w:r w:rsidRPr="006F136B">
        <w:rPr>
          <w:rFonts w:ascii="Times New Roman" w:hAnsi="Times New Roman"/>
          <w:sz w:val="24"/>
          <w:szCs w:val="24"/>
        </w:rPr>
        <w:t>consecutively numbered sealed envelopes.</w:t>
      </w:r>
    </w:p>
    <w:p w14:paraId="5CEA2410"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High risk of bias, if allocation sequence was known to the investigators or conducted with an inadequate method.</w:t>
      </w:r>
    </w:p>
    <w:p w14:paraId="1D766962"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Unclear risk of bias, if the method of allocation concealment was not described.</w:t>
      </w:r>
    </w:p>
    <w:p w14:paraId="62B599D5" w14:textId="77777777" w:rsidR="00B947E4" w:rsidRDefault="00B947E4" w:rsidP="00B947E4">
      <w:pPr>
        <w:widowControl/>
        <w:spacing w:line="480" w:lineRule="auto"/>
        <w:rPr>
          <w:rFonts w:ascii="Times New Roman" w:hAnsi="Times New Roman"/>
          <w:sz w:val="24"/>
          <w:szCs w:val="24"/>
        </w:rPr>
      </w:pPr>
      <w:bookmarkStart w:id="2" w:name="OLE_LINK51"/>
      <w:bookmarkStart w:id="3" w:name="OLE_LINK52"/>
      <w:r w:rsidRPr="006F136B">
        <w:rPr>
          <w:rFonts w:ascii="Times New Roman" w:hAnsi="Times New Roman"/>
          <w:b/>
          <w:bCs/>
          <w:sz w:val="24"/>
          <w:szCs w:val="24"/>
        </w:rPr>
        <w:t>Blinding of participants and personnel (Performance bias)</w:t>
      </w:r>
      <w:r w:rsidRPr="006F136B">
        <w:rPr>
          <w:rFonts w:ascii="Times New Roman" w:hAnsi="Times New Roman"/>
          <w:sz w:val="24"/>
          <w:szCs w:val="24"/>
        </w:rPr>
        <w:br/>
        <w:t>• Low risk of bias, if the study was of a double-blind design.</w:t>
      </w:r>
    </w:p>
    <w:p w14:paraId="6BDB7A49"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High risk of bias, if the study was open-label.</w:t>
      </w:r>
    </w:p>
    <w:p w14:paraId="5DEF30AA"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Unclear risk of bias, if there was insufficient information to determine whether the study was double-blind or open-label.</w:t>
      </w:r>
      <w:bookmarkEnd w:id="2"/>
      <w:bookmarkEnd w:id="3"/>
    </w:p>
    <w:p w14:paraId="3C2AC432"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b/>
          <w:bCs/>
          <w:sz w:val="24"/>
          <w:szCs w:val="24"/>
        </w:rPr>
        <w:lastRenderedPageBreak/>
        <w:t>Blinding of</w:t>
      </w:r>
      <w:r>
        <w:rPr>
          <w:rFonts w:ascii="Times New Roman" w:hAnsi="Times New Roman"/>
          <w:b/>
          <w:bCs/>
          <w:sz w:val="24"/>
          <w:szCs w:val="24"/>
        </w:rPr>
        <w:t xml:space="preserve"> </w:t>
      </w:r>
      <w:bookmarkStart w:id="4" w:name="OLE_LINK53"/>
      <w:bookmarkStart w:id="5" w:name="OLE_LINK56"/>
      <w:r>
        <w:rPr>
          <w:rFonts w:ascii="Times New Roman" w:hAnsi="Times New Roman"/>
          <w:b/>
          <w:bCs/>
          <w:sz w:val="24"/>
          <w:szCs w:val="24"/>
        </w:rPr>
        <w:t>outcome assessment</w:t>
      </w:r>
      <w:bookmarkEnd w:id="4"/>
      <w:bookmarkEnd w:id="5"/>
      <w:r w:rsidRPr="006F136B">
        <w:rPr>
          <w:rFonts w:ascii="Times New Roman" w:hAnsi="Times New Roman"/>
          <w:b/>
          <w:bCs/>
          <w:sz w:val="24"/>
          <w:szCs w:val="24"/>
        </w:rPr>
        <w:t xml:space="preserve"> (</w:t>
      </w:r>
      <w:r>
        <w:rPr>
          <w:rFonts w:ascii="Times New Roman" w:hAnsi="Times New Roman"/>
          <w:b/>
          <w:bCs/>
          <w:sz w:val="24"/>
          <w:szCs w:val="24"/>
        </w:rPr>
        <w:t>Detection</w:t>
      </w:r>
      <w:r w:rsidRPr="006F136B">
        <w:rPr>
          <w:rFonts w:ascii="Times New Roman" w:hAnsi="Times New Roman"/>
          <w:b/>
          <w:bCs/>
          <w:sz w:val="24"/>
          <w:szCs w:val="24"/>
        </w:rPr>
        <w:t xml:space="preserve"> bias)</w:t>
      </w:r>
      <w:r w:rsidRPr="006F136B">
        <w:rPr>
          <w:rFonts w:ascii="Times New Roman" w:hAnsi="Times New Roman"/>
          <w:sz w:val="24"/>
          <w:szCs w:val="24"/>
        </w:rPr>
        <w:br/>
        <w:t xml:space="preserve">• Low risk of bias, if </w:t>
      </w:r>
      <w:bookmarkStart w:id="6" w:name="OLE_LINK65"/>
      <w:bookmarkStart w:id="7" w:name="OLE_LINK66"/>
      <w:r w:rsidRPr="006F136B">
        <w:rPr>
          <w:rFonts w:ascii="Times New Roman" w:hAnsi="Times New Roman"/>
          <w:sz w:val="24"/>
          <w:szCs w:val="24"/>
        </w:rPr>
        <w:t xml:space="preserve">the </w:t>
      </w:r>
      <w:r w:rsidRPr="00D578A6">
        <w:rPr>
          <w:rFonts w:ascii="Times New Roman" w:hAnsi="Times New Roman"/>
          <w:sz w:val="24"/>
          <w:szCs w:val="24"/>
        </w:rPr>
        <w:t>outcome assessment</w:t>
      </w:r>
      <w:r w:rsidRPr="006F136B">
        <w:rPr>
          <w:rFonts w:ascii="Times New Roman" w:hAnsi="Times New Roman"/>
          <w:sz w:val="24"/>
          <w:szCs w:val="24"/>
        </w:rPr>
        <w:t xml:space="preserve"> was </w:t>
      </w:r>
      <w:r>
        <w:rPr>
          <w:rFonts w:ascii="Times New Roman" w:hAnsi="Times New Roman"/>
          <w:sz w:val="24"/>
          <w:szCs w:val="24"/>
        </w:rPr>
        <w:t>blind</w:t>
      </w:r>
      <w:bookmarkEnd w:id="6"/>
      <w:bookmarkEnd w:id="7"/>
      <w:r w:rsidRPr="006F136B">
        <w:rPr>
          <w:rFonts w:ascii="Times New Roman" w:hAnsi="Times New Roman"/>
          <w:sz w:val="24"/>
          <w:szCs w:val="24"/>
        </w:rPr>
        <w:t>.</w:t>
      </w:r>
    </w:p>
    <w:p w14:paraId="4FB59538"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xml:space="preserve">• High risk of bias, if </w:t>
      </w:r>
      <w:r>
        <w:rPr>
          <w:rFonts w:ascii="Times New Roman" w:hAnsi="Times New Roman"/>
          <w:sz w:val="24"/>
          <w:szCs w:val="24"/>
        </w:rPr>
        <w:t>the outcome assessment was open</w:t>
      </w:r>
      <w:r w:rsidRPr="006F136B">
        <w:rPr>
          <w:rFonts w:ascii="Times New Roman" w:hAnsi="Times New Roman"/>
          <w:sz w:val="24"/>
          <w:szCs w:val="24"/>
        </w:rPr>
        <w:t>.</w:t>
      </w:r>
    </w:p>
    <w:p w14:paraId="042A6422"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xml:space="preserve">• Unclear risk of bias, if there was insufficient information to determine whether </w:t>
      </w:r>
      <w:r w:rsidRPr="00D578A6">
        <w:rPr>
          <w:rFonts w:ascii="Times New Roman" w:hAnsi="Times New Roman"/>
          <w:sz w:val="24"/>
          <w:szCs w:val="24"/>
        </w:rPr>
        <w:t>the outcome assessment was blind</w:t>
      </w:r>
      <w:r w:rsidRPr="006F136B">
        <w:rPr>
          <w:rFonts w:ascii="Times New Roman" w:hAnsi="Times New Roman"/>
          <w:sz w:val="24"/>
          <w:szCs w:val="24"/>
        </w:rPr>
        <w:t xml:space="preserve"> or open.</w:t>
      </w:r>
    </w:p>
    <w:p w14:paraId="69501735"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b/>
          <w:bCs/>
          <w:sz w:val="24"/>
          <w:szCs w:val="24"/>
        </w:rPr>
        <w:t>Selective outcome reporting (Detection bias)</w:t>
      </w:r>
      <w:r w:rsidRPr="006F136B">
        <w:rPr>
          <w:rFonts w:ascii="Times New Roman" w:hAnsi="Times New Roman"/>
          <w:sz w:val="24"/>
          <w:szCs w:val="24"/>
        </w:rPr>
        <w:br/>
        <w:t>• Low risk of bias, if the specific outcome was reported adequately for all treatment arms.</w:t>
      </w:r>
    </w:p>
    <w:p w14:paraId="4097488F"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High risk of bias, if the specific outcome was reported with inadequate detail for the data to be included in a meta-analysis or if it was reported only for a subset of the randomized population.</w:t>
      </w:r>
    </w:p>
    <w:p w14:paraId="06C77CE8"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Unclear risk of bias, if there was insufficient information to assess whether the risk of bias of selective outcome reporting was present.</w:t>
      </w:r>
    </w:p>
    <w:p w14:paraId="2E0F736D"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b/>
          <w:bCs/>
          <w:sz w:val="24"/>
          <w:szCs w:val="24"/>
        </w:rPr>
        <w:t>Incomplete outcome data (Attrition bias)</w:t>
      </w:r>
      <w:r w:rsidRPr="006F136B">
        <w:rPr>
          <w:rFonts w:ascii="Times New Roman" w:hAnsi="Times New Roman"/>
          <w:sz w:val="24"/>
          <w:szCs w:val="24"/>
        </w:rPr>
        <w:br/>
        <w:t>• Low risk of bias, if</w:t>
      </w:r>
    </w:p>
    <w:p w14:paraId="21CBD758"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1. attrition rate was balanced between treatment arms and relatively low (below 20%),</w:t>
      </w:r>
      <w:r>
        <w:rPr>
          <w:rFonts w:ascii="Times New Roman" w:hAnsi="Times New Roman" w:hint="eastAsia"/>
          <w:sz w:val="24"/>
          <w:szCs w:val="24"/>
        </w:rPr>
        <w:t xml:space="preserve"> </w:t>
      </w:r>
      <w:r w:rsidRPr="006F136B">
        <w:rPr>
          <w:rFonts w:ascii="Times New Roman" w:hAnsi="Times New Roman"/>
          <w:sz w:val="24"/>
          <w:szCs w:val="24"/>
        </w:rPr>
        <w:t>and</w:t>
      </w:r>
    </w:p>
    <w:p w14:paraId="24110E08"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2. reasons for discontinuation were described, and</w:t>
      </w:r>
    </w:p>
    <w:p w14:paraId="3D541230"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3. an intention-to-treat analysis was performed, and</w:t>
      </w:r>
    </w:p>
    <w:p w14:paraId="5D4A87A3"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4. an appropriate method of imputation of missing outcome data was applied.</w:t>
      </w:r>
    </w:p>
    <w:p w14:paraId="0F426E01"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High risk of bias, if</w:t>
      </w:r>
    </w:p>
    <w:p w14:paraId="0282E486"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1. withdrawal rates were unbalanced between treatment arms or more than 20%, or</w:t>
      </w:r>
    </w:p>
    <w:p w14:paraId="72859915"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lastRenderedPageBreak/>
        <w:t>2. reasons for drop-outs were not clearly described, or</w:t>
      </w:r>
    </w:p>
    <w:p w14:paraId="0A4EA183"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3. an inappropriate analysis was performed (i.e. per protocol analysis), or</w:t>
      </w:r>
    </w:p>
    <w:p w14:paraId="0596D1C5"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4. an inappropriate imputation method (i.e. last observation carried forward method) was used to handle missing data.</w:t>
      </w:r>
    </w:p>
    <w:p w14:paraId="05FA285E" w14:textId="77777777" w:rsidR="00B947E4" w:rsidRDefault="00B947E4" w:rsidP="00B947E4">
      <w:pPr>
        <w:widowControl/>
        <w:spacing w:line="480" w:lineRule="auto"/>
        <w:rPr>
          <w:rFonts w:ascii="Times New Roman" w:hAnsi="Times New Roman"/>
          <w:sz w:val="24"/>
          <w:szCs w:val="24"/>
        </w:rPr>
      </w:pPr>
      <w:r w:rsidRPr="006F136B">
        <w:rPr>
          <w:rFonts w:ascii="Times New Roman" w:hAnsi="Times New Roman"/>
          <w:sz w:val="24"/>
          <w:szCs w:val="24"/>
        </w:rPr>
        <w:t>• Unclear risk of bias, if it is not clear whether there were any drop-outs, or reasons for these withdrawals are not clear, or no method of imputation of missing data is mentioned.</w:t>
      </w:r>
    </w:p>
    <w:p w14:paraId="68EB61A8" w14:textId="0651A397" w:rsidR="00B947E4" w:rsidRPr="00B10ADF" w:rsidRDefault="00B947E4" w:rsidP="00B947E4">
      <w:pPr>
        <w:widowControl/>
        <w:spacing w:line="480" w:lineRule="auto"/>
        <w:rPr>
          <w:rFonts w:ascii="Times New Roman" w:hAnsi="Times New Roman"/>
          <w:b/>
          <w:bCs/>
          <w:sz w:val="24"/>
          <w:szCs w:val="24"/>
        </w:rPr>
      </w:pPr>
      <w:bookmarkStart w:id="8" w:name="OLE_LINK399"/>
      <w:bookmarkStart w:id="9" w:name="OLE_LINK394"/>
      <w:r w:rsidRPr="00B10ADF">
        <w:rPr>
          <w:rFonts w:ascii="Times New Roman" w:hAnsi="Times New Roman"/>
          <w:b/>
          <w:sz w:val="24"/>
          <w:szCs w:val="24"/>
        </w:rPr>
        <w:t>Pharmaceutical industry funding</w:t>
      </w:r>
      <w:bookmarkEnd w:id="8"/>
      <w:bookmarkEnd w:id="9"/>
      <w:r w:rsidR="000C3068">
        <w:rPr>
          <w:rFonts w:ascii="Times New Roman" w:hAnsi="Times New Roman"/>
          <w:b/>
          <w:sz w:val="24"/>
          <w:szCs w:val="24"/>
        </w:rPr>
        <w:t xml:space="preserve"> (</w:t>
      </w:r>
      <w:r w:rsidR="000C3068">
        <w:rPr>
          <w:rFonts w:ascii="Times New Roman" w:hAnsi="Times New Roman" w:hint="eastAsia"/>
          <w:b/>
          <w:sz w:val="24"/>
          <w:szCs w:val="24"/>
        </w:rPr>
        <w:t>S</w:t>
      </w:r>
      <w:r w:rsidR="000C3068">
        <w:rPr>
          <w:rFonts w:ascii="Times New Roman" w:hAnsi="Times New Roman"/>
          <w:b/>
          <w:sz w:val="24"/>
          <w:szCs w:val="24"/>
        </w:rPr>
        <w:t>ponsor bias)</w:t>
      </w:r>
      <w:r w:rsidR="000C3068" w:rsidRPr="000C3068">
        <w:rPr>
          <w:rFonts w:ascii="Times New Roman" w:hAnsi="Times New Roman"/>
          <w:sz w:val="24"/>
          <w:szCs w:val="24"/>
          <w:vertAlign w:val="superscript"/>
        </w:rPr>
        <w:t>2</w:t>
      </w:r>
    </w:p>
    <w:p w14:paraId="7B1B54B9" w14:textId="77777777" w:rsidR="00915238" w:rsidRDefault="00B947E4" w:rsidP="00B947E4">
      <w:pPr>
        <w:widowControl/>
        <w:spacing w:line="480" w:lineRule="auto"/>
        <w:rPr>
          <w:rFonts w:ascii="Times New Roman" w:hAnsi="Times New Roman"/>
          <w:sz w:val="24"/>
          <w:szCs w:val="24"/>
        </w:rPr>
      </w:pPr>
      <w:bookmarkStart w:id="10" w:name="OLE_LINK406"/>
      <w:bookmarkStart w:id="11" w:name="OLE_LINK407"/>
      <w:r w:rsidRPr="00B10ADF">
        <w:rPr>
          <w:rFonts w:ascii="Times New Roman" w:hAnsi="Times New Roman"/>
          <w:sz w:val="24"/>
          <w:szCs w:val="24"/>
        </w:rPr>
        <w:t>• Low risk of bias, if the trial was not funded by a drug manufacturer.</w:t>
      </w:r>
    </w:p>
    <w:p w14:paraId="290E5D1F" w14:textId="627D470B" w:rsidR="00B947E4" w:rsidRPr="00B10ADF" w:rsidRDefault="00B947E4" w:rsidP="00B947E4">
      <w:pPr>
        <w:widowControl/>
        <w:spacing w:line="480" w:lineRule="auto"/>
        <w:rPr>
          <w:rFonts w:ascii="Times New Roman" w:hAnsi="Times New Roman"/>
          <w:sz w:val="24"/>
          <w:szCs w:val="24"/>
        </w:rPr>
      </w:pPr>
      <w:r w:rsidRPr="00B10ADF">
        <w:rPr>
          <w:rFonts w:ascii="Times New Roman" w:hAnsi="Times New Roman"/>
          <w:sz w:val="24"/>
          <w:szCs w:val="24"/>
        </w:rPr>
        <w:t>• High risk of bias, if the trial was funded by a drug manufacturer.</w:t>
      </w:r>
    </w:p>
    <w:p w14:paraId="2717481A" w14:textId="77777777" w:rsidR="00B947E4" w:rsidRPr="000C3068" w:rsidRDefault="00B947E4" w:rsidP="00B947E4">
      <w:pPr>
        <w:widowControl/>
        <w:spacing w:line="480" w:lineRule="auto"/>
        <w:rPr>
          <w:rFonts w:ascii="Times New Roman" w:hAnsi="Times New Roman"/>
          <w:sz w:val="24"/>
        </w:rPr>
      </w:pPr>
      <w:r w:rsidRPr="00B10ADF">
        <w:rPr>
          <w:rFonts w:ascii="Times New Roman" w:hAnsi="Times New Roman"/>
          <w:sz w:val="24"/>
          <w:szCs w:val="24"/>
        </w:rPr>
        <w:t>• Unclear risk of bias, if the source of funding was unclear.</w:t>
      </w:r>
      <w:bookmarkEnd w:id="10"/>
      <w:bookmarkEnd w:id="11"/>
    </w:p>
    <w:p w14:paraId="4335DF1E" w14:textId="02995FB8" w:rsidR="00B947E4" w:rsidRPr="00B10ADF" w:rsidRDefault="00B947E4" w:rsidP="00B947E4">
      <w:pPr>
        <w:widowControl/>
        <w:spacing w:line="480" w:lineRule="auto"/>
        <w:rPr>
          <w:rFonts w:ascii="Times New Roman" w:hAnsi="Times New Roman"/>
          <w:b/>
          <w:sz w:val="24"/>
          <w:szCs w:val="24"/>
        </w:rPr>
      </w:pPr>
      <w:bookmarkStart w:id="12" w:name="OLE_LINK400"/>
      <w:bookmarkStart w:id="13" w:name="OLE_LINK396"/>
      <w:bookmarkStart w:id="14" w:name="OLE_LINK395"/>
      <w:r w:rsidRPr="00B10ADF">
        <w:rPr>
          <w:rFonts w:ascii="Times New Roman" w:hAnsi="Times New Roman"/>
          <w:b/>
          <w:sz w:val="24"/>
          <w:szCs w:val="24"/>
        </w:rPr>
        <w:t>Author-industry financial ties and/or employment</w:t>
      </w:r>
      <w:bookmarkEnd w:id="12"/>
      <w:bookmarkEnd w:id="13"/>
      <w:bookmarkEnd w:id="14"/>
      <w:r w:rsidRPr="00B10ADF">
        <w:rPr>
          <w:rFonts w:ascii="Times New Roman" w:hAnsi="Times New Roman"/>
          <w:b/>
          <w:sz w:val="24"/>
          <w:szCs w:val="24"/>
        </w:rPr>
        <w:t xml:space="preserve"> </w:t>
      </w:r>
      <w:r w:rsidR="000C3068">
        <w:rPr>
          <w:rFonts w:ascii="Times New Roman" w:hAnsi="Times New Roman"/>
          <w:b/>
          <w:sz w:val="24"/>
          <w:szCs w:val="24"/>
        </w:rPr>
        <w:t>(Other bias)</w:t>
      </w:r>
      <w:r w:rsidR="000C3068" w:rsidRPr="000C3068">
        <w:rPr>
          <w:rFonts w:ascii="Times New Roman" w:hAnsi="Times New Roman"/>
          <w:sz w:val="24"/>
          <w:szCs w:val="24"/>
          <w:vertAlign w:val="superscript"/>
        </w:rPr>
        <w:t>2</w:t>
      </w:r>
    </w:p>
    <w:p w14:paraId="04BD5B4B" w14:textId="77777777" w:rsidR="00B947E4" w:rsidRPr="00B10ADF" w:rsidRDefault="00B947E4" w:rsidP="00B947E4">
      <w:pPr>
        <w:widowControl/>
        <w:spacing w:line="480" w:lineRule="auto"/>
        <w:rPr>
          <w:rFonts w:ascii="Times New Roman" w:hAnsi="Times New Roman"/>
          <w:sz w:val="24"/>
          <w:szCs w:val="24"/>
        </w:rPr>
      </w:pPr>
      <w:r w:rsidRPr="00B10ADF">
        <w:rPr>
          <w:rFonts w:ascii="Times New Roman" w:hAnsi="Times New Roman"/>
          <w:sz w:val="24"/>
          <w:szCs w:val="24"/>
        </w:rPr>
        <w:t xml:space="preserve">• Low risk of bias, if </w:t>
      </w:r>
      <w:bookmarkStart w:id="15" w:name="OLE_LINK410"/>
      <w:bookmarkStart w:id="16" w:name="OLE_LINK411"/>
      <w:r w:rsidRPr="00B10ADF">
        <w:rPr>
          <w:rFonts w:ascii="Times New Roman" w:hAnsi="Times New Roman"/>
          <w:sz w:val="24"/>
          <w:szCs w:val="24"/>
        </w:rPr>
        <w:t>any authors</w:t>
      </w:r>
      <w:bookmarkEnd w:id="15"/>
      <w:bookmarkEnd w:id="16"/>
      <w:r w:rsidRPr="00B10ADF">
        <w:rPr>
          <w:rFonts w:ascii="Times New Roman" w:hAnsi="Times New Roman"/>
          <w:sz w:val="24"/>
          <w:szCs w:val="24"/>
        </w:rPr>
        <w:t xml:space="preserve"> did not </w:t>
      </w:r>
      <w:bookmarkStart w:id="17" w:name="OLE_LINK412"/>
      <w:bookmarkStart w:id="18" w:name="OLE_LINK413"/>
      <w:r w:rsidRPr="00B10ADF">
        <w:rPr>
          <w:rFonts w:ascii="Times New Roman" w:hAnsi="Times New Roman"/>
          <w:sz w:val="24"/>
          <w:szCs w:val="24"/>
        </w:rPr>
        <w:t>disclose financial ties and/or employment by the pharmaceutical industry</w:t>
      </w:r>
      <w:bookmarkEnd w:id="17"/>
      <w:bookmarkEnd w:id="18"/>
      <w:r w:rsidRPr="00B10ADF">
        <w:rPr>
          <w:rFonts w:ascii="Times New Roman" w:hAnsi="Times New Roman"/>
          <w:sz w:val="24"/>
          <w:szCs w:val="24"/>
        </w:rPr>
        <w:t>.</w:t>
      </w:r>
    </w:p>
    <w:p w14:paraId="6F63F41B" w14:textId="77777777" w:rsidR="00B947E4" w:rsidRPr="00B10ADF" w:rsidRDefault="00B947E4" w:rsidP="00B947E4">
      <w:pPr>
        <w:widowControl/>
        <w:spacing w:line="480" w:lineRule="auto"/>
        <w:rPr>
          <w:rFonts w:ascii="Times New Roman" w:hAnsi="Times New Roman"/>
          <w:sz w:val="24"/>
          <w:szCs w:val="24"/>
        </w:rPr>
      </w:pPr>
      <w:r w:rsidRPr="00B10ADF">
        <w:rPr>
          <w:rFonts w:ascii="Times New Roman" w:hAnsi="Times New Roman"/>
          <w:sz w:val="24"/>
          <w:szCs w:val="24"/>
        </w:rPr>
        <w:t>• High risk of bias, if any authors disclose financial ties and/or employment by the pharmaceutical industry.</w:t>
      </w:r>
    </w:p>
    <w:p w14:paraId="6898A1EC" w14:textId="77777777" w:rsidR="00B947E4" w:rsidRPr="00B10ADF" w:rsidRDefault="00B947E4" w:rsidP="00B947E4">
      <w:pPr>
        <w:widowControl/>
        <w:spacing w:line="480" w:lineRule="auto"/>
        <w:rPr>
          <w:rFonts w:ascii="Times New Roman" w:hAnsi="Times New Roman"/>
          <w:sz w:val="24"/>
          <w:szCs w:val="24"/>
        </w:rPr>
      </w:pPr>
      <w:r w:rsidRPr="00B10ADF">
        <w:rPr>
          <w:rFonts w:ascii="Times New Roman" w:hAnsi="Times New Roman"/>
          <w:sz w:val="24"/>
          <w:szCs w:val="24"/>
        </w:rPr>
        <w:t>• Unclear risk of bias, if author-industry financial ties or affiliation were not reported.</w:t>
      </w:r>
    </w:p>
    <w:p w14:paraId="4288CD26" w14:textId="77777777" w:rsidR="00B947E4" w:rsidRPr="00E56D7F" w:rsidRDefault="00B947E4" w:rsidP="00B947E4">
      <w:pPr>
        <w:pStyle w:val="EndNoteBibliography"/>
        <w:spacing w:line="480" w:lineRule="auto"/>
        <w:rPr>
          <w:rFonts w:ascii="Times New Roman" w:hAnsi="Times New Roman" w:cs="Times New Roman"/>
        </w:rPr>
      </w:pPr>
    </w:p>
    <w:p w14:paraId="635F876D" w14:textId="77777777" w:rsidR="00B947E4" w:rsidRPr="008E5F7B" w:rsidRDefault="00B947E4" w:rsidP="00B947E4">
      <w:pPr>
        <w:pStyle w:val="EndNoteBibliography"/>
        <w:spacing w:line="480" w:lineRule="auto"/>
        <w:rPr>
          <w:rFonts w:ascii="Times New Roman" w:hAnsi="Times New Roman" w:cs="Times New Roman"/>
          <w:b/>
          <w:sz w:val="24"/>
          <w:szCs w:val="24"/>
        </w:rPr>
      </w:pPr>
      <w:r w:rsidRPr="008E5F7B">
        <w:rPr>
          <w:rFonts w:ascii="Times New Roman" w:hAnsi="Times New Roman" w:cs="Times New Roman" w:hint="eastAsia"/>
          <w:b/>
          <w:sz w:val="24"/>
          <w:szCs w:val="24"/>
        </w:rPr>
        <w:t>R</w:t>
      </w:r>
      <w:r w:rsidRPr="008E5F7B">
        <w:rPr>
          <w:rFonts w:ascii="Times New Roman" w:hAnsi="Times New Roman" w:cs="Times New Roman"/>
          <w:b/>
          <w:sz w:val="24"/>
          <w:szCs w:val="24"/>
        </w:rPr>
        <w:t>eference</w:t>
      </w:r>
    </w:p>
    <w:p w14:paraId="62DB5CFA" w14:textId="77777777" w:rsidR="00B947E4" w:rsidRPr="008E5F7B" w:rsidRDefault="00B947E4" w:rsidP="00B947E4">
      <w:pPr>
        <w:pStyle w:val="EndNoteBibliography"/>
        <w:spacing w:line="480" w:lineRule="auto"/>
        <w:rPr>
          <w:rFonts w:ascii="Times New Roman" w:hAnsi="Times New Roman" w:cs="Times New Roman"/>
          <w:sz w:val="24"/>
          <w:szCs w:val="24"/>
        </w:rPr>
      </w:pPr>
      <w:bookmarkStart w:id="19" w:name="OLE_LINK185"/>
      <w:bookmarkStart w:id="20" w:name="OLE_LINK186"/>
      <w:r w:rsidRPr="008E5F7B">
        <w:rPr>
          <w:rFonts w:ascii="Times New Roman" w:hAnsi="Times New Roman" w:cs="Times New Roman"/>
          <w:sz w:val="24"/>
          <w:szCs w:val="24"/>
        </w:rPr>
        <w:t>1.</w:t>
      </w:r>
      <w:r w:rsidRPr="008E5F7B">
        <w:rPr>
          <w:rFonts w:ascii="Times New Roman" w:hAnsi="Times New Roman" w:cs="Times New Roman"/>
          <w:sz w:val="24"/>
          <w:szCs w:val="24"/>
        </w:rPr>
        <w:tab/>
        <w:t xml:space="preserve">Higgins JP, Altman DG, Gotzsche PC, Juni P, Moher D, Oxman AD, Savovic J, Schulz KF, Weeks L, Sterne JA, Cochrane Bias Methods G, Cochrane Statistical Methods G. The Cochrane Collaboration's tool for assessing risk of bias in randomised </w:t>
      </w:r>
      <w:r w:rsidRPr="008E5F7B">
        <w:rPr>
          <w:rFonts w:ascii="Times New Roman" w:hAnsi="Times New Roman" w:cs="Times New Roman"/>
          <w:sz w:val="24"/>
          <w:szCs w:val="24"/>
        </w:rPr>
        <w:lastRenderedPageBreak/>
        <w:t>trials. BMJ. 2011;343:d5928</w:t>
      </w:r>
      <w:bookmarkEnd w:id="19"/>
      <w:bookmarkEnd w:id="20"/>
      <w:r w:rsidRPr="008E5F7B">
        <w:rPr>
          <w:rFonts w:ascii="Times New Roman" w:hAnsi="Times New Roman" w:cs="Times New Roman"/>
          <w:sz w:val="24"/>
          <w:szCs w:val="24"/>
        </w:rPr>
        <w:t>.</w:t>
      </w:r>
    </w:p>
    <w:p w14:paraId="148AD0BE" w14:textId="78FFAC6F" w:rsidR="0074584E" w:rsidRPr="008E5F7B" w:rsidRDefault="000C3068" w:rsidP="000C3068">
      <w:pPr>
        <w:spacing w:line="480" w:lineRule="auto"/>
        <w:rPr>
          <w:sz w:val="24"/>
          <w:szCs w:val="24"/>
        </w:rPr>
      </w:pPr>
      <w:r w:rsidRPr="008E5F7B">
        <w:rPr>
          <w:rFonts w:ascii="Times New Roman" w:hAnsi="Times New Roman"/>
          <w:noProof/>
          <w:sz w:val="24"/>
          <w:szCs w:val="24"/>
        </w:rPr>
        <w:t>2.</w:t>
      </w:r>
      <w:r w:rsidRPr="008E5F7B">
        <w:rPr>
          <w:rFonts w:ascii="Times New Roman" w:hAnsi="Times New Roman"/>
          <w:noProof/>
          <w:sz w:val="24"/>
          <w:szCs w:val="24"/>
        </w:rPr>
        <w:tab/>
        <w:t>Roseman M, Milette K, Bero LA, et al. Reporting of conflicts of interest in meta-analyses of trials of pharmacological treatments.</w:t>
      </w:r>
      <w:r w:rsidRPr="008E5F7B">
        <w:rPr>
          <w:rFonts w:ascii="Times New Roman" w:hAnsi="Times New Roman"/>
          <w:i/>
          <w:noProof/>
          <w:sz w:val="24"/>
          <w:szCs w:val="24"/>
        </w:rPr>
        <w:t xml:space="preserve"> JAMA.</w:t>
      </w:r>
      <w:r w:rsidRPr="008E5F7B">
        <w:rPr>
          <w:rFonts w:ascii="Times New Roman" w:hAnsi="Times New Roman"/>
          <w:noProof/>
          <w:sz w:val="24"/>
          <w:szCs w:val="24"/>
        </w:rPr>
        <w:t xml:space="preserve"> 2011;305(10):1008-1017.</w:t>
      </w:r>
    </w:p>
    <w:sectPr w:rsidR="0074584E" w:rsidRPr="008E5F7B" w:rsidSect="000C30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C0508" w14:textId="77777777" w:rsidR="00BF616C" w:rsidRDefault="00BF616C" w:rsidP="00870037">
      <w:r>
        <w:separator/>
      </w:r>
    </w:p>
  </w:endnote>
  <w:endnote w:type="continuationSeparator" w:id="0">
    <w:p w14:paraId="7A910F10" w14:textId="77777777" w:rsidR="00BF616C" w:rsidRDefault="00BF616C" w:rsidP="00870037">
      <w:r>
        <w:continuationSeparator/>
      </w:r>
    </w:p>
  </w:endnote>
  <w:endnote w:type="continuationNotice" w:id="1">
    <w:p w14:paraId="3CEF69B7" w14:textId="77777777" w:rsidR="00BF616C" w:rsidRDefault="00BF6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30AE6" w14:textId="77777777" w:rsidR="00BF616C" w:rsidRDefault="00BF616C" w:rsidP="00870037">
      <w:r>
        <w:separator/>
      </w:r>
    </w:p>
  </w:footnote>
  <w:footnote w:type="continuationSeparator" w:id="0">
    <w:p w14:paraId="7C528B15" w14:textId="77777777" w:rsidR="00BF616C" w:rsidRDefault="00BF616C" w:rsidP="00870037">
      <w:r>
        <w:continuationSeparator/>
      </w:r>
    </w:p>
  </w:footnote>
  <w:footnote w:type="continuationNotice" w:id="1">
    <w:p w14:paraId="15D149C1" w14:textId="77777777" w:rsidR="00BF616C" w:rsidRDefault="00BF616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E4"/>
    <w:rsid w:val="00082D5F"/>
    <w:rsid w:val="000C2584"/>
    <w:rsid w:val="000C3068"/>
    <w:rsid w:val="000E36D6"/>
    <w:rsid w:val="00157373"/>
    <w:rsid w:val="003205B6"/>
    <w:rsid w:val="0032736A"/>
    <w:rsid w:val="004801A0"/>
    <w:rsid w:val="0074584E"/>
    <w:rsid w:val="00855119"/>
    <w:rsid w:val="00870037"/>
    <w:rsid w:val="008E5F7B"/>
    <w:rsid w:val="00915238"/>
    <w:rsid w:val="009C0647"/>
    <w:rsid w:val="009F1B80"/>
    <w:rsid w:val="00A64933"/>
    <w:rsid w:val="00AF4043"/>
    <w:rsid w:val="00B947E4"/>
    <w:rsid w:val="00B97BFE"/>
    <w:rsid w:val="00BF616C"/>
    <w:rsid w:val="00C804BA"/>
    <w:rsid w:val="00F64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F20320"/>
  <w15:chartTrackingRefBased/>
  <w15:docId w15:val="{1B915BBB-D5E3-4B13-B4A5-FDB62BBB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47E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B947E4"/>
    <w:rPr>
      <w:rFonts w:cs="Calibri"/>
      <w:noProof/>
      <w:sz w:val="20"/>
    </w:rPr>
  </w:style>
  <w:style w:type="character" w:customStyle="1" w:styleId="EndNoteBibliographyChar">
    <w:name w:val="EndNote Bibliography Char"/>
    <w:link w:val="EndNoteBibliography"/>
    <w:rsid w:val="00B947E4"/>
    <w:rPr>
      <w:rFonts w:ascii="Calibri" w:eastAsia="宋体" w:hAnsi="Calibri" w:cs="Calibri"/>
      <w:noProof/>
      <w:sz w:val="20"/>
    </w:rPr>
  </w:style>
  <w:style w:type="paragraph" w:styleId="a3">
    <w:name w:val="header"/>
    <w:basedOn w:val="a"/>
    <w:link w:val="a4"/>
    <w:uiPriority w:val="99"/>
    <w:unhideWhenUsed/>
    <w:rsid w:val="008700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70037"/>
    <w:rPr>
      <w:rFonts w:ascii="Calibri" w:eastAsia="宋体" w:hAnsi="Calibri" w:cs="Times New Roman"/>
      <w:sz w:val="18"/>
      <w:szCs w:val="18"/>
    </w:rPr>
  </w:style>
  <w:style w:type="paragraph" w:styleId="a5">
    <w:name w:val="footer"/>
    <w:basedOn w:val="a"/>
    <w:link w:val="a6"/>
    <w:uiPriority w:val="99"/>
    <w:unhideWhenUsed/>
    <w:rsid w:val="00870037"/>
    <w:pPr>
      <w:tabs>
        <w:tab w:val="center" w:pos="4153"/>
        <w:tab w:val="right" w:pos="8306"/>
      </w:tabs>
      <w:snapToGrid w:val="0"/>
      <w:jc w:val="left"/>
    </w:pPr>
    <w:rPr>
      <w:sz w:val="18"/>
      <w:szCs w:val="18"/>
    </w:rPr>
  </w:style>
  <w:style w:type="character" w:customStyle="1" w:styleId="a6">
    <w:name w:val="页脚 字符"/>
    <w:basedOn w:val="a0"/>
    <w:link w:val="a5"/>
    <w:uiPriority w:val="99"/>
    <w:rsid w:val="00870037"/>
    <w:rPr>
      <w:rFonts w:ascii="Calibri" w:eastAsia="宋体" w:hAnsi="Calibri" w:cs="Times New Roman"/>
      <w:sz w:val="18"/>
      <w:szCs w:val="18"/>
    </w:rPr>
  </w:style>
  <w:style w:type="paragraph" w:styleId="a7">
    <w:name w:val="Balloon Text"/>
    <w:basedOn w:val="a"/>
    <w:link w:val="a8"/>
    <w:uiPriority w:val="99"/>
    <w:semiHidden/>
    <w:unhideWhenUsed/>
    <w:rsid w:val="00870037"/>
    <w:rPr>
      <w:sz w:val="18"/>
      <w:szCs w:val="18"/>
    </w:rPr>
  </w:style>
  <w:style w:type="character" w:customStyle="1" w:styleId="a8">
    <w:name w:val="批注框文本 字符"/>
    <w:basedOn w:val="a0"/>
    <w:link w:val="a7"/>
    <w:uiPriority w:val="99"/>
    <w:semiHidden/>
    <w:rsid w:val="00870037"/>
    <w:rPr>
      <w:rFonts w:ascii="Calibri" w:eastAsia="宋体" w:hAnsi="Calibri" w:cs="Times New Roman"/>
      <w:sz w:val="18"/>
      <w:szCs w:val="18"/>
    </w:rPr>
  </w:style>
  <w:style w:type="paragraph" w:styleId="a9">
    <w:name w:val="Revision"/>
    <w:hidden/>
    <w:uiPriority w:val="99"/>
    <w:semiHidden/>
    <w:rsid w:val="00870037"/>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596</Words>
  <Characters>3400</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xiaole su</dc:creator>
  <cp:keywords/>
  <dc:description/>
  <cp:lastModifiedBy>su xiaole</cp:lastModifiedBy>
  <cp:revision>2</cp:revision>
  <dcterms:created xsi:type="dcterms:W3CDTF">2019-07-25T01:08:00Z</dcterms:created>
  <dcterms:modified xsi:type="dcterms:W3CDTF">2019-07-25T01:08:00Z</dcterms:modified>
</cp:coreProperties>
</file>