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5309" w:type="dxa"/>
        <w:tblLayout w:type="fixed"/>
        <w:tblLook w:val="04A0" w:firstRow="1" w:lastRow="0" w:firstColumn="1" w:lastColumn="0" w:noHBand="0" w:noVBand="1"/>
      </w:tblPr>
      <w:tblGrid>
        <w:gridCol w:w="1372"/>
        <w:gridCol w:w="2314"/>
        <w:gridCol w:w="1842"/>
        <w:gridCol w:w="851"/>
        <w:gridCol w:w="709"/>
        <w:gridCol w:w="567"/>
        <w:gridCol w:w="709"/>
        <w:gridCol w:w="931"/>
        <w:gridCol w:w="1134"/>
        <w:gridCol w:w="1104"/>
        <w:gridCol w:w="1248"/>
        <w:gridCol w:w="908"/>
        <w:gridCol w:w="853"/>
        <w:gridCol w:w="8"/>
        <w:gridCol w:w="759"/>
      </w:tblGrid>
      <w:tr w:rsidR="00824CC4" w:rsidRPr="00824CC4" w14:paraId="6662089B" w14:textId="77777777" w:rsidTr="00AA54E7">
        <w:trPr>
          <w:trHeight w:val="575"/>
        </w:trPr>
        <w:tc>
          <w:tcPr>
            <w:tcW w:w="1455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89ADB0" w14:textId="5D95E691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Cs w:val="21"/>
              </w:rPr>
            </w:pPr>
            <w:bookmarkStart w:id="0" w:name="OLE_LINK208"/>
            <w:r>
              <w:rPr>
                <w:rFonts w:ascii="Arial" w:eastAsia="宋体" w:hAnsi="Arial" w:cs="Arial"/>
                <w:b/>
                <w:iCs/>
                <w:szCs w:val="21"/>
              </w:rPr>
              <w:t xml:space="preserve">Additional file </w:t>
            </w:r>
            <w:r w:rsidR="008C04BA">
              <w:rPr>
                <w:rFonts w:ascii="Arial" w:eastAsia="宋体" w:hAnsi="Arial" w:cs="Arial"/>
                <w:b/>
                <w:iCs/>
                <w:szCs w:val="21"/>
              </w:rPr>
              <w:t>5</w:t>
            </w:r>
            <w:r>
              <w:rPr>
                <w:rFonts w:ascii="Arial" w:eastAsia="宋体" w:hAnsi="Arial" w:cs="Arial"/>
                <w:b/>
                <w:iCs/>
                <w:szCs w:val="21"/>
              </w:rPr>
              <w:t xml:space="preserve">: </w:t>
            </w:r>
            <w:r w:rsidRPr="00824CC4">
              <w:rPr>
                <w:rFonts w:ascii="Arial" w:eastAsia="宋体" w:hAnsi="Arial" w:cs="Arial"/>
                <w:b/>
                <w:iCs/>
                <w:szCs w:val="21"/>
              </w:rPr>
              <w:t>Table S2</w:t>
            </w:r>
            <w:r w:rsidRPr="00824CC4">
              <w:rPr>
                <w:rFonts w:ascii="Arial" w:eastAsia="宋体" w:hAnsi="Arial" w:cs="Arial"/>
                <w:b/>
                <w:i/>
                <w:iCs/>
                <w:szCs w:val="21"/>
              </w:rPr>
              <w:t>.</w:t>
            </w:r>
            <w:r w:rsidRPr="00824CC4">
              <w:rPr>
                <w:rFonts w:ascii="Arial" w:eastAsia="宋体" w:hAnsi="Arial" w:cs="Arial"/>
                <w:b/>
                <w:iCs/>
                <w:szCs w:val="21"/>
              </w:rPr>
              <w:t xml:space="preserve"> </w:t>
            </w:r>
            <w:r w:rsidRPr="00824CC4">
              <w:rPr>
                <w:rFonts w:ascii="Arial" w:eastAsia="宋体" w:hAnsi="Arial" w:cs="Arial"/>
                <w:bCs/>
                <w:iCs/>
                <w:szCs w:val="21"/>
              </w:rPr>
              <w:t>Characteristics of Included Trials and Patients</w:t>
            </w:r>
            <w:bookmarkEnd w:id="0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9035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i/>
                <w:iCs/>
                <w:sz w:val="24"/>
              </w:rPr>
            </w:pPr>
          </w:p>
        </w:tc>
      </w:tr>
      <w:tr w:rsidR="00824CC4" w:rsidRPr="00824CC4" w14:paraId="58941362" w14:textId="77777777" w:rsidTr="00AA54E7">
        <w:trPr>
          <w:trHeight w:val="990"/>
        </w:trPr>
        <w:tc>
          <w:tcPr>
            <w:tcW w:w="1372" w:type="dxa"/>
            <w:tcBorders>
              <w:top w:val="single" w:sz="4" w:space="0" w:color="auto"/>
            </w:tcBorders>
            <w:vAlign w:val="center"/>
            <w:hideMark/>
          </w:tcPr>
          <w:p w14:paraId="59F100A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Study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vAlign w:val="center"/>
            <w:hideMark/>
          </w:tcPr>
          <w:p w14:paraId="0DB287B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Inclusion criteria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  <w:hideMark/>
          </w:tcPr>
          <w:p w14:paraId="150D662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3E14A48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Number of patients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38F7EDD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Mean follow-up</w:t>
            </w:r>
          </w:p>
          <w:p w14:paraId="1A6CFA9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months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  <w:hideMark/>
          </w:tcPr>
          <w:p w14:paraId="61D5913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Men</w:t>
            </w:r>
          </w:p>
          <w:p w14:paraId="59311DE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4C55443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Mean age, y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  <w:hideMark/>
          </w:tcPr>
          <w:p w14:paraId="7E25EFC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Definition of CKD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106BA4CB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Treatment group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  <w:hideMark/>
          </w:tcPr>
          <w:p w14:paraId="0C9DC5F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Control group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  <w:hideMark/>
          </w:tcPr>
          <w:p w14:paraId="1BC0030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Funding Source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  <w:hideMark/>
          </w:tcPr>
          <w:p w14:paraId="3041C24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Data source</w:t>
            </w: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  <w:hideMark/>
          </w:tcPr>
          <w:p w14:paraId="65C7966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Nonrandomized Co-Interventions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  <w:vAlign w:val="center"/>
          </w:tcPr>
          <w:p w14:paraId="34E1E17C" w14:textId="77777777" w:rsidR="00824CC4" w:rsidRPr="00824CC4" w:rsidRDefault="00824CC4" w:rsidP="00824CC4">
            <w:pPr>
              <w:widowControl/>
              <w:jc w:val="center"/>
              <w:rPr>
                <w:rFonts w:ascii="Arial" w:eastAsia="DengXian" w:hAnsi="Arial" w:cs="Arial"/>
                <w:b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sz w:val="18"/>
              </w:rPr>
              <w:t>Jadad score</w:t>
            </w:r>
          </w:p>
        </w:tc>
      </w:tr>
      <w:tr w:rsidR="00824CC4" w:rsidRPr="00824CC4" w14:paraId="44D3CBEA" w14:textId="77777777" w:rsidTr="00AA54E7">
        <w:trPr>
          <w:trHeight w:val="550"/>
        </w:trPr>
        <w:tc>
          <w:tcPr>
            <w:tcW w:w="1372" w:type="dxa"/>
            <w:vAlign w:val="center"/>
            <w:hideMark/>
          </w:tcPr>
          <w:p w14:paraId="43B87F6D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bookmarkStart w:id="1" w:name="_Hlk466138436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Anderson 1974</w:t>
            </w:r>
          </w:p>
        </w:tc>
        <w:tc>
          <w:tcPr>
            <w:tcW w:w="2314" w:type="dxa"/>
            <w:vAlign w:val="center"/>
            <w:hideMark/>
          </w:tcPr>
          <w:p w14:paraId="17FD56D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kidney transplant patients</w:t>
            </w:r>
          </w:p>
        </w:tc>
        <w:tc>
          <w:tcPr>
            <w:tcW w:w="1842" w:type="dxa"/>
            <w:vAlign w:val="center"/>
            <w:hideMark/>
          </w:tcPr>
          <w:p w14:paraId="6CF9FCB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graft loss; transplant rejection</w:t>
            </w:r>
          </w:p>
        </w:tc>
        <w:tc>
          <w:tcPr>
            <w:tcW w:w="851" w:type="dxa"/>
            <w:vAlign w:val="center"/>
            <w:hideMark/>
          </w:tcPr>
          <w:p w14:paraId="4D615E5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709" w:type="dxa"/>
            <w:vAlign w:val="center"/>
            <w:hideMark/>
          </w:tcPr>
          <w:p w14:paraId="2B6DD3C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567" w:type="dxa"/>
            <w:vAlign w:val="center"/>
            <w:hideMark/>
          </w:tcPr>
          <w:p w14:paraId="2F614EE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431CF22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48835E4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renal transplantation</w:t>
            </w:r>
          </w:p>
        </w:tc>
        <w:tc>
          <w:tcPr>
            <w:tcW w:w="1134" w:type="dxa"/>
            <w:vAlign w:val="center"/>
            <w:hideMark/>
          </w:tcPr>
          <w:p w14:paraId="72C55B0E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dipyridamole</w:t>
            </w:r>
          </w:p>
        </w:tc>
        <w:tc>
          <w:tcPr>
            <w:tcW w:w="1104" w:type="dxa"/>
            <w:vAlign w:val="center"/>
            <w:hideMark/>
          </w:tcPr>
          <w:p w14:paraId="184312F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603A359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3425ADE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248C5F0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bookmarkStart w:id="2" w:name="OLE_LINK444"/>
            <w:r w:rsidRPr="00824CC4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-</w:t>
            </w:r>
            <w:bookmarkEnd w:id="2"/>
          </w:p>
        </w:tc>
        <w:tc>
          <w:tcPr>
            <w:tcW w:w="767" w:type="dxa"/>
            <w:gridSpan w:val="2"/>
            <w:vAlign w:val="center"/>
          </w:tcPr>
          <w:p w14:paraId="3826D55B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1</w:t>
            </w:r>
          </w:p>
        </w:tc>
      </w:tr>
      <w:tr w:rsidR="00824CC4" w:rsidRPr="00824CC4" w14:paraId="3B900E69" w14:textId="77777777" w:rsidTr="00AA54E7">
        <w:trPr>
          <w:trHeight w:val="552"/>
        </w:trPr>
        <w:tc>
          <w:tcPr>
            <w:tcW w:w="1372" w:type="dxa"/>
            <w:vAlign w:val="center"/>
            <w:hideMark/>
          </w:tcPr>
          <w:p w14:paraId="0C42B145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Andrassy 1974</w:t>
            </w:r>
          </w:p>
        </w:tc>
        <w:tc>
          <w:tcPr>
            <w:tcW w:w="2314" w:type="dxa"/>
            <w:vAlign w:val="center"/>
            <w:hideMark/>
          </w:tcPr>
          <w:p w14:paraId="75974EB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kern w:val="0"/>
                <w:sz w:val="18"/>
                <w:szCs w:val="18"/>
              </w:rPr>
              <w:t>patients with ESRD</w:t>
            </w:r>
          </w:p>
        </w:tc>
        <w:tc>
          <w:tcPr>
            <w:tcW w:w="1842" w:type="dxa"/>
            <w:vAlign w:val="center"/>
            <w:hideMark/>
          </w:tcPr>
          <w:p w14:paraId="48B3106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failure; major and minor bleeding</w:t>
            </w:r>
          </w:p>
        </w:tc>
        <w:tc>
          <w:tcPr>
            <w:tcW w:w="851" w:type="dxa"/>
            <w:vAlign w:val="center"/>
            <w:hideMark/>
          </w:tcPr>
          <w:p w14:paraId="188A18E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709" w:type="dxa"/>
            <w:vAlign w:val="center"/>
            <w:hideMark/>
          </w:tcPr>
          <w:p w14:paraId="04EA9164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5D86EA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4B193DB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2261F29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22A48BE2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1D972EB3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4BE75B7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05AC1D2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36E62001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356695DD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53B481C2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2085A4CB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Kaegi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1974</w:t>
            </w:r>
          </w:p>
        </w:tc>
        <w:tc>
          <w:tcPr>
            <w:tcW w:w="2314" w:type="dxa"/>
            <w:vAlign w:val="center"/>
            <w:hideMark/>
          </w:tcPr>
          <w:p w14:paraId="420FC0A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with straight AV shunts</w:t>
            </w:r>
          </w:p>
        </w:tc>
        <w:tc>
          <w:tcPr>
            <w:tcW w:w="1842" w:type="dxa"/>
            <w:vAlign w:val="center"/>
            <w:hideMark/>
          </w:tcPr>
          <w:p w14:paraId="715DEC3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failure; major bleeding</w:t>
            </w:r>
          </w:p>
        </w:tc>
        <w:tc>
          <w:tcPr>
            <w:tcW w:w="851" w:type="dxa"/>
            <w:vAlign w:val="center"/>
            <w:hideMark/>
          </w:tcPr>
          <w:p w14:paraId="3B3C640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709" w:type="dxa"/>
            <w:vAlign w:val="center"/>
            <w:hideMark/>
          </w:tcPr>
          <w:p w14:paraId="16D7580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5E58264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09" w:type="dxa"/>
            <w:vAlign w:val="center"/>
            <w:hideMark/>
          </w:tcPr>
          <w:p w14:paraId="76C18506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31" w:type="dxa"/>
            <w:vAlign w:val="center"/>
            <w:hideMark/>
          </w:tcPr>
          <w:p w14:paraId="7919347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56FE6151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sulfinpyrazone</w:t>
            </w:r>
          </w:p>
        </w:tc>
        <w:tc>
          <w:tcPr>
            <w:tcW w:w="1104" w:type="dxa"/>
            <w:vAlign w:val="center"/>
            <w:hideMark/>
          </w:tcPr>
          <w:p w14:paraId="77E84128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2418887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 with drug supplied by industry</w:t>
            </w:r>
          </w:p>
        </w:tc>
        <w:tc>
          <w:tcPr>
            <w:tcW w:w="908" w:type="dxa"/>
            <w:vAlign w:val="center"/>
            <w:hideMark/>
          </w:tcPr>
          <w:p w14:paraId="5C388E5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00BA1154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7D3775F0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6F2E2902" w14:textId="77777777" w:rsidTr="00AA54E7">
        <w:trPr>
          <w:trHeight w:val="552"/>
        </w:trPr>
        <w:tc>
          <w:tcPr>
            <w:tcW w:w="1372" w:type="dxa"/>
            <w:vAlign w:val="center"/>
            <w:hideMark/>
          </w:tcPr>
          <w:p w14:paraId="4EE2C15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Michie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1977</w:t>
            </w:r>
          </w:p>
        </w:tc>
        <w:tc>
          <w:tcPr>
            <w:tcW w:w="2314" w:type="dxa"/>
            <w:vAlign w:val="center"/>
            <w:hideMark/>
          </w:tcPr>
          <w:p w14:paraId="6C2147C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scheduled to begin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53CC920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all-cause death; cardiovascular death; access failure</w:t>
            </w:r>
            <w:bookmarkStart w:id="3" w:name="_GoBack"/>
            <w:bookmarkEnd w:id="3"/>
          </w:p>
        </w:tc>
        <w:tc>
          <w:tcPr>
            <w:tcW w:w="851" w:type="dxa"/>
            <w:vAlign w:val="center"/>
            <w:hideMark/>
          </w:tcPr>
          <w:p w14:paraId="6A0C3CC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14:paraId="7283F39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4B2486C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709" w:type="dxa"/>
            <w:vAlign w:val="center"/>
            <w:hideMark/>
          </w:tcPr>
          <w:p w14:paraId="5354410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931" w:type="dxa"/>
            <w:vAlign w:val="center"/>
            <w:hideMark/>
          </w:tcPr>
          <w:p w14:paraId="6250CD7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50E63E98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sulfinpyrazone</w:t>
            </w:r>
          </w:p>
        </w:tc>
        <w:tc>
          <w:tcPr>
            <w:tcW w:w="1104" w:type="dxa"/>
            <w:vAlign w:val="center"/>
            <w:hideMark/>
          </w:tcPr>
          <w:p w14:paraId="2BFC1F3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024569B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3BF4DC2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3BADD19B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164EFC35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3</w:t>
            </w:r>
          </w:p>
        </w:tc>
      </w:tr>
      <w:tr w:rsidR="00824CC4" w:rsidRPr="00824CC4" w14:paraId="58279E2D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58E834ED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Donadio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1984</w:t>
            </w:r>
          </w:p>
        </w:tc>
        <w:tc>
          <w:tcPr>
            <w:tcW w:w="2314" w:type="dxa"/>
            <w:vAlign w:val="center"/>
            <w:hideMark/>
          </w:tcPr>
          <w:p w14:paraId="5F43440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biopsy proven MPGN</w:t>
            </w:r>
          </w:p>
        </w:tc>
        <w:tc>
          <w:tcPr>
            <w:tcW w:w="1842" w:type="dxa"/>
            <w:vAlign w:val="center"/>
            <w:hideMark/>
          </w:tcPr>
          <w:p w14:paraId="3295E23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kidney failure events; minor bleeding; </w:t>
            </w:r>
          </w:p>
        </w:tc>
        <w:tc>
          <w:tcPr>
            <w:tcW w:w="851" w:type="dxa"/>
            <w:vAlign w:val="center"/>
            <w:hideMark/>
          </w:tcPr>
          <w:p w14:paraId="3B15174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3329CAF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655C41F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709" w:type="dxa"/>
            <w:vAlign w:val="center"/>
            <w:hideMark/>
          </w:tcPr>
          <w:p w14:paraId="1F5B919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31" w:type="dxa"/>
            <w:vAlign w:val="center"/>
            <w:hideMark/>
          </w:tcPr>
          <w:p w14:paraId="16EC7D0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non-dialysis</w:t>
            </w:r>
          </w:p>
        </w:tc>
        <w:tc>
          <w:tcPr>
            <w:tcW w:w="1134" w:type="dxa"/>
            <w:vAlign w:val="center"/>
            <w:hideMark/>
          </w:tcPr>
          <w:p w14:paraId="09848FF2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dipyridamole+aspirin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14:paraId="3D92DEB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4676642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 with drug supplied by industry</w:t>
            </w:r>
          </w:p>
        </w:tc>
        <w:tc>
          <w:tcPr>
            <w:tcW w:w="908" w:type="dxa"/>
            <w:vAlign w:val="center"/>
            <w:hideMark/>
          </w:tcPr>
          <w:p w14:paraId="46EDE27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2F150FEC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5610A8C6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08243D47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02EC13E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Harter 1979</w:t>
            </w:r>
          </w:p>
        </w:tc>
        <w:tc>
          <w:tcPr>
            <w:tcW w:w="2314" w:type="dxa"/>
            <w:vAlign w:val="center"/>
            <w:hideMark/>
          </w:tcPr>
          <w:p w14:paraId="35C4E39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receiving AV shunts</w:t>
            </w:r>
          </w:p>
        </w:tc>
        <w:tc>
          <w:tcPr>
            <w:tcW w:w="1842" w:type="dxa"/>
            <w:vAlign w:val="center"/>
            <w:hideMark/>
          </w:tcPr>
          <w:p w14:paraId="5D5C84D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</w:t>
            </w:r>
          </w:p>
        </w:tc>
        <w:tc>
          <w:tcPr>
            <w:tcW w:w="851" w:type="dxa"/>
            <w:vAlign w:val="center"/>
            <w:hideMark/>
          </w:tcPr>
          <w:p w14:paraId="4161A45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709" w:type="dxa"/>
            <w:vAlign w:val="center"/>
            <w:hideMark/>
          </w:tcPr>
          <w:p w14:paraId="59EA953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567" w:type="dxa"/>
            <w:vAlign w:val="center"/>
            <w:hideMark/>
          </w:tcPr>
          <w:p w14:paraId="176A4EB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709" w:type="dxa"/>
            <w:vAlign w:val="center"/>
            <w:hideMark/>
          </w:tcPr>
          <w:p w14:paraId="645BB5F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31" w:type="dxa"/>
            <w:vAlign w:val="center"/>
            <w:hideMark/>
          </w:tcPr>
          <w:p w14:paraId="2D61015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7D7CAE42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3336036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3A2D4FC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 with drug supplied by industry</w:t>
            </w:r>
          </w:p>
        </w:tc>
        <w:tc>
          <w:tcPr>
            <w:tcW w:w="908" w:type="dxa"/>
            <w:vAlign w:val="center"/>
            <w:hideMark/>
          </w:tcPr>
          <w:p w14:paraId="775A321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5A40DABF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0514C05C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3</w:t>
            </w:r>
          </w:p>
        </w:tc>
      </w:tr>
      <w:tr w:rsidR="00824CC4" w:rsidRPr="00824CC4" w14:paraId="00AC3CD3" w14:textId="77777777" w:rsidTr="00AA54E7">
        <w:trPr>
          <w:trHeight w:val="1466"/>
        </w:trPr>
        <w:tc>
          <w:tcPr>
            <w:tcW w:w="1372" w:type="dxa"/>
            <w:vAlign w:val="center"/>
            <w:hideMark/>
          </w:tcPr>
          <w:p w14:paraId="714F749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Kobayashi 1980</w:t>
            </w:r>
          </w:p>
        </w:tc>
        <w:tc>
          <w:tcPr>
            <w:tcW w:w="2314" w:type="dxa"/>
            <w:vAlign w:val="center"/>
            <w:hideMark/>
          </w:tcPr>
          <w:p w14:paraId="10383CE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patients with AV external shunts or vascular grafts who had experienced more than one episode of thrombosis of their fistula during the preceding 4 weeks</w:t>
            </w:r>
          </w:p>
        </w:tc>
        <w:tc>
          <w:tcPr>
            <w:tcW w:w="1842" w:type="dxa"/>
            <w:vAlign w:val="center"/>
            <w:hideMark/>
          </w:tcPr>
          <w:p w14:paraId="5885AD4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major and minor bleeding</w:t>
            </w:r>
          </w:p>
        </w:tc>
        <w:tc>
          <w:tcPr>
            <w:tcW w:w="851" w:type="dxa"/>
            <w:vAlign w:val="center"/>
            <w:hideMark/>
          </w:tcPr>
          <w:p w14:paraId="1B54850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709" w:type="dxa"/>
            <w:vAlign w:val="center"/>
            <w:hideMark/>
          </w:tcPr>
          <w:p w14:paraId="1481604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42563BE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709" w:type="dxa"/>
            <w:vAlign w:val="center"/>
            <w:hideMark/>
          </w:tcPr>
          <w:p w14:paraId="014435A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30CA23E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55CF1FAB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05FEB98E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182130E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4C5D461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3155A63C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3DD71E25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3</w:t>
            </w:r>
          </w:p>
        </w:tc>
      </w:tr>
      <w:tr w:rsidR="00824CC4" w:rsidRPr="00824CC4" w14:paraId="5CCDE0B6" w14:textId="77777777" w:rsidTr="00AA54E7">
        <w:trPr>
          <w:trHeight w:val="694"/>
        </w:trPr>
        <w:tc>
          <w:tcPr>
            <w:tcW w:w="1372" w:type="dxa"/>
            <w:vAlign w:val="center"/>
            <w:hideMark/>
          </w:tcPr>
          <w:p w14:paraId="6AA613C9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ELL 1982</w:t>
            </w:r>
          </w:p>
        </w:tc>
        <w:tc>
          <w:tcPr>
            <w:tcW w:w="2314" w:type="dxa"/>
            <w:vAlign w:val="center"/>
            <w:hideMark/>
          </w:tcPr>
          <w:p w14:paraId="0051FB8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642A885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all-cause death; cardiovascular death</w:t>
            </w:r>
          </w:p>
        </w:tc>
        <w:tc>
          <w:tcPr>
            <w:tcW w:w="851" w:type="dxa"/>
            <w:vAlign w:val="center"/>
            <w:hideMark/>
          </w:tcPr>
          <w:p w14:paraId="4EBD2A7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4A136D6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6657DAA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536C569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7E43C15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085D0D90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74DDF09A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usual treatment</w:t>
            </w:r>
          </w:p>
        </w:tc>
        <w:tc>
          <w:tcPr>
            <w:tcW w:w="1248" w:type="dxa"/>
            <w:vAlign w:val="center"/>
            <w:hideMark/>
          </w:tcPr>
          <w:p w14:paraId="016432F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7C04F53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meta-analysis </w:t>
            </w:r>
          </w:p>
        </w:tc>
        <w:tc>
          <w:tcPr>
            <w:tcW w:w="853" w:type="dxa"/>
            <w:vAlign w:val="center"/>
            <w:hideMark/>
          </w:tcPr>
          <w:p w14:paraId="6541237D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0EFB613B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1</w:t>
            </w:r>
          </w:p>
        </w:tc>
      </w:tr>
      <w:tr w:rsidR="00824CC4" w:rsidRPr="00824CC4" w14:paraId="65140FBB" w14:textId="77777777" w:rsidTr="00AA54E7">
        <w:trPr>
          <w:trHeight w:val="364"/>
        </w:trPr>
        <w:tc>
          <w:tcPr>
            <w:tcW w:w="1372" w:type="dxa"/>
            <w:vAlign w:val="center"/>
            <w:hideMark/>
          </w:tcPr>
          <w:p w14:paraId="61327C82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Nyberg 1984</w:t>
            </w:r>
          </w:p>
        </w:tc>
        <w:tc>
          <w:tcPr>
            <w:tcW w:w="2314" w:type="dxa"/>
            <w:vAlign w:val="center"/>
            <w:hideMark/>
          </w:tcPr>
          <w:p w14:paraId="68DF719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DN</w:t>
            </w:r>
          </w:p>
        </w:tc>
        <w:tc>
          <w:tcPr>
            <w:tcW w:w="1842" w:type="dxa"/>
            <w:vAlign w:val="center"/>
            <w:hideMark/>
          </w:tcPr>
          <w:p w14:paraId="5F16DE4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change of eGFR</w:t>
            </w:r>
          </w:p>
        </w:tc>
        <w:tc>
          <w:tcPr>
            <w:tcW w:w="851" w:type="dxa"/>
            <w:vAlign w:val="center"/>
            <w:hideMark/>
          </w:tcPr>
          <w:p w14:paraId="0B59BA1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center"/>
            <w:hideMark/>
          </w:tcPr>
          <w:p w14:paraId="0C43A5B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1A3A512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4A47101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2340350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DN</w:t>
            </w:r>
          </w:p>
        </w:tc>
        <w:tc>
          <w:tcPr>
            <w:tcW w:w="1134" w:type="dxa"/>
            <w:vAlign w:val="center"/>
            <w:hideMark/>
          </w:tcPr>
          <w:p w14:paraId="713FAACE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3288897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3B0D570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09D1142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34FF80ED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4901CCA1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3</w:t>
            </w:r>
          </w:p>
        </w:tc>
      </w:tr>
      <w:tr w:rsidR="00824CC4" w:rsidRPr="00824CC4" w14:paraId="759EC0C6" w14:textId="77777777" w:rsidTr="00AA54E7">
        <w:trPr>
          <w:trHeight w:val="552"/>
        </w:trPr>
        <w:tc>
          <w:tcPr>
            <w:tcW w:w="1372" w:type="dxa"/>
            <w:vAlign w:val="center"/>
            <w:hideMark/>
          </w:tcPr>
          <w:p w14:paraId="4DAC719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Fiskerstrand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1985</w:t>
            </w:r>
          </w:p>
        </w:tc>
        <w:tc>
          <w:tcPr>
            <w:tcW w:w="2314" w:type="dxa"/>
            <w:vAlign w:val="center"/>
            <w:hideMark/>
          </w:tcPr>
          <w:p w14:paraId="6B8DB27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requiring access surgery for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3603B96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</w:t>
            </w:r>
          </w:p>
        </w:tc>
        <w:tc>
          <w:tcPr>
            <w:tcW w:w="851" w:type="dxa"/>
            <w:vAlign w:val="center"/>
            <w:hideMark/>
          </w:tcPr>
          <w:p w14:paraId="47EC4CC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  <w:hideMark/>
          </w:tcPr>
          <w:p w14:paraId="4F4B510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76F68D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28167D1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01C8B10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0B3CD1DC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374B96C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69E32C9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4B3185A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45E11C61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680A7E5E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3E836B15" w14:textId="77777777" w:rsidTr="00AA54E7">
        <w:trPr>
          <w:trHeight w:val="552"/>
        </w:trPr>
        <w:tc>
          <w:tcPr>
            <w:tcW w:w="1372" w:type="dxa"/>
            <w:vAlign w:val="center"/>
            <w:hideMark/>
          </w:tcPr>
          <w:p w14:paraId="665669F5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Grontoft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1985</w:t>
            </w:r>
          </w:p>
        </w:tc>
        <w:tc>
          <w:tcPr>
            <w:tcW w:w="2314" w:type="dxa"/>
            <w:vAlign w:val="center"/>
            <w:hideMark/>
          </w:tcPr>
          <w:p w14:paraId="1C2BC9E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receiving AVF surgery</w:t>
            </w:r>
          </w:p>
        </w:tc>
        <w:tc>
          <w:tcPr>
            <w:tcW w:w="1842" w:type="dxa"/>
            <w:vAlign w:val="center"/>
            <w:hideMark/>
          </w:tcPr>
          <w:p w14:paraId="56EE4E7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failure; major and minor bleeding</w:t>
            </w:r>
          </w:p>
        </w:tc>
        <w:tc>
          <w:tcPr>
            <w:tcW w:w="851" w:type="dxa"/>
            <w:vAlign w:val="center"/>
            <w:hideMark/>
          </w:tcPr>
          <w:p w14:paraId="0F45A62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  <w:hideMark/>
          </w:tcPr>
          <w:p w14:paraId="7E047F2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D8F22F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709" w:type="dxa"/>
            <w:vAlign w:val="center"/>
            <w:hideMark/>
          </w:tcPr>
          <w:p w14:paraId="473BF8F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1" w:type="dxa"/>
            <w:vAlign w:val="center"/>
            <w:hideMark/>
          </w:tcPr>
          <w:p w14:paraId="62CB539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2D533169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6B9B4349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3E7145E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1A94590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4829649F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77060F3C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3</w:t>
            </w:r>
          </w:p>
        </w:tc>
      </w:tr>
      <w:tr w:rsidR="00824CC4" w:rsidRPr="00824CC4" w14:paraId="58909279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52AFC8E3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lastRenderedPageBreak/>
              <w:t>Creek 1990</w:t>
            </w:r>
          </w:p>
        </w:tc>
        <w:tc>
          <w:tcPr>
            <w:tcW w:w="2314" w:type="dxa"/>
            <w:vAlign w:val="center"/>
            <w:hideMark/>
          </w:tcPr>
          <w:p w14:paraId="3CBA988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5D79B09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all-cause death; major bleeding; cardiovascular death</w:t>
            </w:r>
          </w:p>
        </w:tc>
        <w:tc>
          <w:tcPr>
            <w:tcW w:w="851" w:type="dxa"/>
            <w:vAlign w:val="center"/>
            <w:hideMark/>
          </w:tcPr>
          <w:p w14:paraId="2078198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709" w:type="dxa"/>
            <w:vAlign w:val="center"/>
            <w:hideMark/>
          </w:tcPr>
          <w:p w14:paraId="3A78EC6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14:paraId="4C11C50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60C1157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6A61EB6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4990681E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43F72C5A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usual treatment</w:t>
            </w:r>
          </w:p>
        </w:tc>
        <w:tc>
          <w:tcPr>
            <w:tcW w:w="1248" w:type="dxa"/>
            <w:vAlign w:val="center"/>
            <w:hideMark/>
          </w:tcPr>
          <w:p w14:paraId="7C6D504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08ADE75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meta-analysis </w:t>
            </w:r>
          </w:p>
        </w:tc>
        <w:tc>
          <w:tcPr>
            <w:tcW w:w="853" w:type="dxa"/>
            <w:vAlign w:val="center"/>
            <w:hideMark/>
          </w:tcPr>
          <w:p w14:paraId="129016B9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3CC47A32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1</w:t>
            </w:r>
          </w:p>
        </w:tc>
      </w:tr>
      <w:tr w:rsidR="00824CC4" w:rsidRPr="00824CC4" w14:paraId="0F1A6E59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3D5022A5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Schulze 1990</w:t>
            </w:r>
          </w:p>
        </w:tc>
        <w:tc>
          <w:tcPr>
            <w:tcW w:w="2314" w:type="dxa"/>
            <w:vAlign w:val="center"/>
            <w:hideMark/>
          </w:tcPr>
          <w:p w14:paraId="464DE2F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with kidney transplant</w:t>
            </w:r>
          </w:p>
        </w:tc>
        <w:tc>
          <w:tcPr>
            <w:tcW w:w="1842" w:type="dxa"/>
            <w:vAlign w:val="center"/>
            <w:hideMark/>
          </w:tcPr>
          <w:p w14:paraId="3509F5F4" w14:textId="7873FF23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graft loss; kidney failure events</w:t>
            </w:r>
          </w:p>
        </w:tc>
        <w:tc>
          <w:tcPr>
            <w:tcW w:w="851" w:type="dxa"/>
            <w:vAlign w:val="center"/>
            <w:hideMark/>
          </w:tcPr>
          <w:p w14:paraId="5A2D56A6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  <w:hideMark/>
          </w:tcPr>
          <w:p w14:paraId="1862035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0325C1D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5A8A54A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07DDAA8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renal transplantation</w:t>
            </w:r>
          </w:p>
        </w:tc>
        <w:tc>
          <w:tcPr>
            <w:tcW w:w="1134" w:type="dxa"/>
            <w:vAlign w:val="center"/>
            <w:hideMark/>
          </w:tcPr>
          <w:p w14:paraId="5DE438E3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dipyridamole</w:t>
            </w:r>
          </w:p>
        </w:tc>
        <w:tc>
          <w:tcPr>
            <w:tcW w:w="1104" w:type="dxa"/>
            <w:vAlign w:val="center"/>
            <w:hideMark/>
          </w:tcPr>
          <w:p w14:paraId="1767449E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no-treatment</w:t>
            </w:r>
          </w:p>
        </w:tc>
        <w:tc>
          <w:tcPr>
            <w:tcW w:w="1248" w:type="dxa"/>
            <w:vAlign w:val="center"/>
            <w:hideMark/>
          </w:tcPr>
          <w:p w14:paraId="6FC0274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39B0C73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4DD811DA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7531B5DA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1</w:t>
            </w:r>
          </w:p>
        </w:tc>
      </w:tr>
      <w:tr w:rsidR="00824CC4" w:rsidRPr="00824CC4" w14:paraId="77CB6D19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0408137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ETDRS 1992</w:t>
            </w:r>
          </w:p>
        </w:tc>
        <w:tc>
          <w:tcPr>
            <w:tcW w:w="2314" w:type="dxa"/>
            <w:vAlign w:val="center"/>
            <w:hideMark/>
          </w:tcPr>
          <w:p w14:paraId="44DE97F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18 to 70 years of age; DM and diabetic retinopathy;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&gt; 133μmol/L</w:t>
            </w:r>
          </w:p>
        </w:tc>
        <w:tc>
          <w:tcPr>
            <w:tcW w:w="1842" w:type="dxa"/>
            <w:vAlign w:val="center"/>
            <w:hideMark/>
          </w:tcPr>
          <w:p w14:paraId="2A7998C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stroke; all-cause death; cardiovascular death; kidney failure events</w:t>
            </w:r>
          </w:p>
        </w:tc>
        <w:tc>
          <w:tcPr>
            <w:tcW w:w="851" w:type="dxa"/>
            <w:vAlign w:val="center"/>
            <w:hideMark/>
          </w:tcPr>
          <w:p w14:paraId="15E607C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709" w:type="dxa"/>
            <w:vAlign w:val="center"/>
            <w:hideMark/>
          </w:tcPr>
          <w:p w14:paraId="34C4DA5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  <w:hideMark/>
          </w:tcPr>
          <w:p w14:paraId="7EFA452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709" w:type="dxa"/>
            <w:vAlign w:val="center"/>
            <w:hideMark/>
          </w:tcPr>
          <w:p w14:paraId="623ADBE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31" w:type="dxa"/>
            <w:vAlign w:val="center"/>
            <w:hideMark/>
          </w:tcPr>
          <w:p w14:paraId="0714045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non-dialysis</w:t>
            </w:r>
          </w:p>
        </w:tc>
        <w:tc>
          <w:tcPr>
            <w:tcW w:w="1134" w:type="dxa"/>
            <w:vAlign w:val="center"/>
            <w:hideMark/>
          </w:tcPr>
          <w:p w14:paraId="25F65C83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7747D332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197E1B8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15F3C9C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meta-analysis</w:t>
            </w:r>
          </w:p>
        </w:tc>
        <w:tc>
          <w:tcPr>
            <w:tcW w:w="853" w:type="dxa"/>
            <w:vAlign w:val="center"/>
            <w:hideMark/>
          </w:tcPr>
          <w:p w14:paraId="44901A00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67425BDF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5C52198C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52255849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Middleton 1992</w:t>
            </w:r>
          </w:p>
        </w:tc>
        <w:tc>
          <w:tcPr>
            <w:tcW w:w="2314" w:type="dxa"/>
            <w:vAlign w:val="center"/>
            <w:hideMark/>
          </w:tcPr>
          <w:p w14:paraId="7DB8BA4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32CEA31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all-cause death; cardiovascular death; major bleeding</w:t>
            </w:r>
          </w:p>
        </w:tc>
        <w:tc>
          <w:tcPr>
            <w:tcW w:w="851" w:type="dxa"/>
            <w:vAlign w:val="center"/>
            <w:hideMark/>
          </w:tcPr>
          <w:p w14:paraId="3C52671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903</w:t>
            </w:r>
          </w:p>
        </w:tc>
        <w:tc>
          <w:tcPr>
            <w:tcW w:w="709" w:type="dxa"/>
            <w:vAlign w:val="center"/>
            <w:hideMark/>
          </w:tcPr>
          <w:p w14:paraId="4048D13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  <w:hideMark/>
          </w:tcPr>
          <w:p w14:paraId="448FF7B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621FDAA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7B15614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7E421511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asprin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and dipyridamole</w:t>
            </w:r>
          </w:p>
        </w:tc>
        <w:tc>
          <w:tcPr>
            <w:tcW w:w="1104" w:type="dxa"/>
            <w:vAlign w:val="center"/>
            <w:hideMark/>
          </w:tcPr>
          <w:p w14:paraId="482F2E9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usual treatment</w:t>
            </w:r>
          </w:p>
        </w:tc>
        <w:tc>
          <w:tcPr>
            <w:tcW w:w="1248" w:type="dxa"/>
            <w:vAlign w:val="center"/>
            <w:hideMark/>
          </w:tcPr>
          <w:p w14:paraId="551AB1E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7C28492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meta-analysis </w:t>
            </w:r>
          </w:p>
        </w:tc>
        <w:tc>
          <w:tcPr>
            <w:tcW w:w="853" w:type="dxa"/>
            <w:vAlign w:val="center"/>
            <w:hideMark/>
          </w:tcPr>
          <w:p w14:paraId="308B53A2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6C142812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1</w:t>
            </w:r>
          </w:p>
        </w:tc>
      </w:tr>
      <w:tr w:rsidR="00824CC4" w:rsidRPr="00824CC4" w14:paraId="2ACD20A0" w14:textId="77777777" w:rsidTr="00AA54E7">
        <w:trPr>
          <w:trHeight w:val="552"/>
        </w:trPr>
        <w:tc>
          <w:tcPr>
            <w:tcW w:w="1372" w:type="dxa"/>
            <w:vAlign w:val="center"/>
            <w:hideMark/>
          </w:tcPr>
          <w:p w14:paraId="54AAF5F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Kooistra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1994</w:t>
            </w:r>
          </w:p>
        </w:tc>
        <w:tc>
          <w:tcPr>
            <w:tcW w:w="2314" w:type="dxa"/>
            <w:vAlign w:val="center"/>
            <w:hideMark/>
          </w:tcPr>
          <w:p w14:paraId="3DABB47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aged ≥ 18 years; chronic dialysis for more than 6 weeks</w:t>
            </w:r>
          </w:p>
        </w:tc>
        <w:tc>
          <w:tcPr>
            <w:tcW w:w="1842" w:type="dxa"/>
            <w:vAlign w:val="center"/>
            <w:hideMark/>
          </w:tcPr>
          <w:p w14:paraId="7F38077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access failure; minor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bleediing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2384055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709" w:type="dxa"/>
            <w:vAlign w:val="center"/>
            <w:hideMark/>
          </w:tcPr>
          <w:p w14:paraId="1ACE175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6F62A06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35AF640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249E5D8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6A77DCB6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135B20F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2A0B637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11F3A2A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4AB29829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40843409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2172C99B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1A696E6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Sreedhara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1994</w:t>
            </w:r>
          </w:p>
        </w:tc>
        <w:tc>
          <w:tcPr>
            <w:tcW w:w="2314" w:type="dxa"/>
            <w:vAlign w:val="center"/>
            <w:hideMark/>
          </w:tcPr>
          <w:p w14:paraId="59BDE5F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patients with PTFE graft</w:t>
            </w:r>
          </w:p>
        </w:tc>
        <w:tc>
          <w:tcPr>
            <w:tcW w:w="1842" w:type="dxa"/>
            <w:vAlign w:val="center"/>
            <w:hideMark/>
          </w:tcPr>
          <w:p w14:paraId="652C58E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all-cause death; access failure; major bleeding</w:t>
            </w:r>
          </w:p>
        </w:tc>
        <w:tc>
          <w:tcPr>
            <w:tcW w:w="851" w:type="dxa"/>
            <w:vAlign w:val="center"/>
            <w:hideMark/>
          </w:tcPr>
          <w:p w14:paraId="715B486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709" w:type="dxa"/>
            <w:vAlign w:val="center"/>
            <w:hideMark/>
          </w:tcPr>
          <w:p w14:paraId="55F61B0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  <w:hideMark/>
          </w:tcPr>
          <w:p w14:paraId="5D785DA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  <w:hideMark/>
          </w:tcPr>
          <w:p w14:paraId="6DAE5FC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31" w:type="dxa"/>
            <w:vAlign w:val="center"/>
            <w:hideMark/>
          </w:tcPr>
          <w:p w14:paraId="559E573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3685FE01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and/or dipyridamole</w:t>
            </w:r>
          </w:p>
        </w:tc>
        <w:tc>
          <w:tcPr>
            <w:tcW w:w="1104" w:type="dxa"/>
            <w:vAlign w:val="center"/>
            <w:hideMark/>
          </w:tcPr>
          <w:p w14:paraId="4D6E385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1874427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08" w:type="dxa"/>
            <w:vAlign w:val="center"/>
            <w:hideMark/>
          </w:tcPr>
          <w:p w14:paraId="3F2789E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6AE3451A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2BDEE7E3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4C836912" w14:textId="77777777" w:rsidTr="00AA54E7">
        <w:trPr>
          <w:trHeight w:val="1226"/>
        </w:trPr>
        <w:tc>
          <w:tcPr>
            <w:tcW w:w="1372" w:type="dxa"/>
            <w:vAlign w:val="center"/>
            <w:hideMark/>
          </w:tcPr>
          <w:p w14:paraId="4BAD067D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EPIC 1994</w:t>
            </w:r>
          </w:p>
        </w:tc>
        <w:tc>
          <w:tcPr>
            <w:tcW w:w="2314" w:type="dxa"/>
            <w:vAlign w:val="center"/>
            <w:hideMark/>
          </w:tcPr>
          <w:p w14:paraId="47DED8A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scheduled to undergo coronary angioplasty or directional atherectomy with high risk for abrupt vessel closure</w:t>
            </w:r>
          </w:p>
        </w:tc>
        <w:tc>
          <w:tcPr>
            <w:tcW w:w="1842" w:type="dxa"/>
            <w:vAlign w:val="center"/>
            <w:hideMark/>
          </w:tcPr>
          <w:p w14:paraId="4B2B5AE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stroke; all-cause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594C66D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709" w:type="dxa"/>
            <w:vAlign w:val="center"/>
            <w:hideMark/>
          </w:tcPr>
          <w:p w14:paraId="6312A5D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5D71117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55B8767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1" w:type="dxa"/>
            <w:vAlign w:val="center"/>
            <w:hideMark/>
          </w:tcPr>
          <w:p w14:paraId="20A6C5A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38FA21AA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abciximab (c7E3b)</w:t>
            </w:r>
          </w:p>
        </w:tc>
        <w:tc>
          <w:tcPr>
            <w:tcW w:w="1104" w:type="dxa"/>
            <w:vAlign w:val="center"/>
            <w:hideMark/>
          </w:tcPr>
          <w:p w14:paraId="6EEA49DA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2D201AE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43B48FD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meta-analysis</w:t>
            </w:r>
          </w:p>
        </w:tc>
        <w:tc>
          <w:tcPr>
            <w:tcW w:w="853" w:type="dxa"/>
            <w:vAlign w:val="center"/>
            <w:hideMark/>
          </w:tcPr>
          <w:p w14:paraId="00FF2458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plus heparin</w:t>
            </w:r>
          </w:p>
        </w:tc>
        <w:tc>
          <w:tcPr>
            <w:tcW w:w="767" w:type="dxa"/>
            <w:gridSpan w:val="2"/>
            <w:vAlign w:val="center"/>
          </w:tcPr>
          <w:p w14:paraId="5721F366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0D274370" w14:textId="77777777" w:rsidTr="00AA54E7">
        <w:trPr>
          <w:trHeight w:val="680"/>
        </w:trPr>
        <w:tc>
          <w:tcPr>
            <w:tcW w:w="1372" w:type="dxa"/>
            <w:vAlign w:val="center"/>
            <w:hideMark/>
          </w:tcPr>
          <w:p w14:paraId="6862B4B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Zauner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1994</w:t>
            </w:r>
          </w:p>
        </w:tc>
        <w:tc>
          <w:tcPr>
            <w:tcW w:w="2314" w:type="dxa"/>
            <w:vAlign w:val="center"/>
            <w:hideMark/>
          </w:tcPr>
          <w:p w14:paraId="2DBD021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biopsy proven MPGN and nephrotic syndrome</w:t>
            </w:r>
          </w:p>
        </w:tc>
        <w:tc>
          <w:tcPr>
            <w:tcW w:w="1842" w:type="dxa"/>
            <w:vAlign w:val="center"/>
            <w:hideMark/>
          </w:tcPr>
          <w:p w14:paraId="47060C1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change of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and proteinuria</w:t>
            </w:r>
          </w:p>
        </w:tc>
        <w:tc>
          <w:tcPr>
            <w:tcW w:w="851" w:type="dxa"/>
            <w:vAlign w:val="center"/>
            <w:hideMark/>
          </w:tcPr>
          <w:p w14:paraId="4E0B939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  <w:hideMark/>
          </w:tcPr>
          <w:p w14:paraId="2D2B017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  <w:hideMark/>
          </w:tcPr>
          <w:p w14:paraId="65E52A9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709" w:type="dxa"/>
            <w:vAlign w:val="center"/>
            <w:hideMark/>
          </w:tcPr>
          <w:p w14:paraId="239FF1A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1" w:type="dxa"/>
            <w:vAlign w:val="center"/>
            <w:hideMark/>
          </w:tcPr>
          <w:p w14:paraId="4A070EE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MPGN</w:t>
            </w:r>
          </w:p>
        </w:tc>
        <w:tc>
          <w:tcPr>
            <w:tcW w:w="1134" w:type="dxa"/>
            <w:vAlign w:val="center"/>
            <w:hideMark/>
          </w:tcPr>
          <w:p w14:paraId="0BD38F56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and dipyridamole</w:t>
            </w:r>
          </w:p>
        </w:tc>
        <w:tc>
          <w:tcPr>
            <w:tcW w:w="1104" w:type="dxa"/>
            <w:vAlign w:val="center"/>
            <w:hideMark/>
          </w:tcPr>
          <w:p w14:paraId="4E2E7A6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681BC3E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0C3724A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3A85C2D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389026A4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4A12F859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3652DBB5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STOP 1995</w:t>
            </w:r>
          </w:p>
        </w:tc>
        <w:tc>
          <w:tcPr>
            <w:tcW w:w="2314" w:type="dxa"/>
            <w:vAlign w:val="center"/>
            <w:hideMark/>
          </w:tcPr>
          <w:p w14:paraId="23C3753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patients (at least 60 days) with permanent internal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stabilised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vascular access</w:t>
            </w:r>
          </w:p>
        </w:tc>
        <w:tc>
          <w:tcPr>
            <w:tcW w:w="1842" w:type="dxa"/>
            <w:vAlign w:val="center"/>
            <w:hideMark/>
          </w:tcPr>
          <w:p w14:paraId="1C73826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all-cause death; cardiovascular death; stroke; major bleeding</w:t>
            </w:r>
          </w:p>
        </w:tc>
        <w:tc>
          <w:tcPr>
            <w:tcW w:w="851" w:type="dxa"/>
            <w:vAlign w:val="center"/>
            <w:hideMark/>
          </w:tcPr>
          <w:p w14:paraId="165DE28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811</w:t>
            </w:r>
          </w:p>
        </w:tc>
        <w:tc>
          <w:tcPr>
            <w:tcW w:w="709" w:type="dxa"/>
            <w:vAlign w:val="center"/>
            <w:hideMark/>
          </w:tcPr>
          <w:p w14:paraId="2AC8820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6932163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418B58F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19E0771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534556CA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picotamide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14:paraId="261F6E62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1EDA67C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3BCB8C9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meta-analysis </w:t>
            </w:r>
          </w:p>
        </w:tc>
        <w:tc>
          <w:tcPr>
            <w:tcW w:w="853" w:type="dxa"/>
            <w:vAlign w:val="center"/>
            <w:hideMark/>
          </w:tcPr>
          <w:p w14:paraId="0ADD5427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824CC4">
              <w:rPr>
                <w:rFonts w:ascii="Arial" w:eastAsia="DengXian" w:hAnsi="Arial" w:cs="Arial" w:hint="eastAsia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67F200BB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1722ED52" w14:textId="77777777" w:rsidTr="00AA54E7">
        <w:trPr>
          <w:trHeight w:val="479"/>
        </w:trPr>
        <w:tc>
          <w:tcPr>
            <w:tcW w:w="1372" w:type="dxa"/>
            <w:vAlign w:val="center"/>
            <w:hideMark/>
          </w:tcPr>
          <w:p w14:paraId="54CE562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Frascra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1996</w:t>
            </w:r>
          </w:p>
        </w:tc>
        <w:tc>
          <w:tcPr>
            <w:tcW w:w="2314" w:type="dxa"/>
            <w:vAlign w:val="center"/>
            <w:hideMark/>
          </w:tcPr>
          <w:p w14:paraId="0ACD197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IgAN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≥1.4mg/dL</w:t>
            </w:r>
          </w:p>
        </w:tc>
        <w:tc>
          <w:tcPr>
            <w:tcW w:w="1842" w:type="dxa"/>
            <w:vAlign w:val="center"/>
            <w:hideMark/>
          </w:tcPr>
          <w:p w14:paraId="79570CF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change of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and proteinuria</w:t>
            </w:r>
          </w:p>
        </w:tc>
        <w:tc>
          <w:tcPr>
            <w:tcW w:w="851" w:type="dxa"/>
            <w:vAlign w:val="center"/>
            <w:hideMark/>
          </w:tcPr>
          <w:p w14:paraId="1B999A6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6EC440B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  <w:hideMark/>
          </w:tcPr>
          <w:p w14:paraId="79F2D51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14:paraId="73E69B7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31" w:type="dxa"/>
            <w:vAlign w:val="center"/>
            <w:hideMark/>
          </w:tcPr>
          <w:p w14:paraId="70E70DA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IgAN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6B03AF62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defibrotide</w:t>
            </w:r>
          </w:p>
        </w:tc>
        <w:tc>
          <w:tcPr>
            <w:tcW w:w="1104" w:type="dxa"/>
            <w:vAlign w:val="center"/>
            <w:hideMark/>
          </w:tcPr>
          <w:p w14:paraId="076C3C3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usual treatment</w:t>
            </w:r>
          </w:p>
        </w:tc>
        <w:tc>
          <w:tcPr>
            <w:tcW w:w="1248" w:type="dxa"/>
            <w:vAlign w:val="center"/>
            <w:hideMark/>
          </w:tcPr>
          <w:p w14:paraId="5E4EB5F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0CA7901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135051AD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prednisone</w:t>
            </w:r>
          </w:p>
        </w:tc>
        <w:tc>
          <w:tcPr>
            <w:tcW w:w="767" w:type="dxa"/>
            <w:gridSpan w:val="2"/>
            <w:vAlign w:val="center"/>
          </w:tcPr>
          <w:p w14:paraId="0B5A029D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1</w:t>
            </w:r>
          </w:p>
        </w:tc>
      </w:tr>
      <w:tr w:rsidR="00824CC4" w:rsidRPr="00824CC4" w14:paraId="7E0176E3" w14:textId="77777777" w:rsidTr="00AA54E7">
        <w:trPr>
          <w:trHeight w:val="423"/>
        </w:trPr>
        <w:tc>
          <w:tcPr>
            <w:tcW w:w="1372" w:type="dxa"/>
            <w:vAlign w:val="center"/>
            <w:hideMark/>
          </w:tcPr>
          <w:p w14:paraId="31F723AE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EPILOG 1997</w:t>
            </w:r>
          </w:p>
        </w:tc>
        <w:tc>
          <w:tcPr>
            <w:tcW w:w="2314" w:type="dxa"/>
            <w:vAlign w:val="center"/>
            <w:hideMark/>
          </w:tcPr>
          <w:p w14:paraId="7120893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age≥21 years; patients undergoing elective or urgent PCI</w:t>
            </w:r>
          </w:p>
        </w:tc>
        <w:tc>
          <w:tcPr>
            <w:tcW w:w="1842" w:type="dxa"/>
            <w:vAlign w:val="center"/>
            <w:hideMark/>
          </w:tcPr>
          <w:p w14:paraId="083D46B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stroke; all-cause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31CDDF3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709" w:type="dxa"/>
            <w:vAlign w:val="center"/>
            <w:hideMark/>
          </w:tcPr>
          <w:p w14:paraId="41F96F44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192E4A3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1FE1D08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31" w:type="dxa"/>
            <w:vAlign w:val="center"/>
            <w:hideMark/>
          </w:tcPr>
          <w:p w14:paraId="3509E63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57D1D300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abciximab (c7E3b)</w:t>
            </w:r>
          </w:p>
        </w:tc>
        <w:tc>
          <w:tcPr>
            <w:tcW w:w="1104" w:type="dxa"/>
            <w:vAlign w:val="center"/>
            <w:hideMark/>
          </w:tcPr>
          <w:p w14:paraId="27988CFB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226534D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08" w:type="dxa"/>
            <w:vAlign w:val="center"/>
            <w:hideMark/>
          </w:tcPr>
          <w:p w14:paraId="1FA872F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meta-analysis</w:t>
            </w:r>
          </w:p>
        </w:tc>
        <w:tc>
          <w:tcPr>
            <w:tcW w:w="853" w:type="dxa"/>
            <w:vAlign w:val="center"/>
            <w:hideMark/>
          </w:tcPr>
          <w:p w14:paraId="1C4F78A6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plus heparin</w:t>
            </w:r>
          </w:p>
        </w:tc>
        <w:tc>
          <w:tcPr>
            <w:tcW w:w="767" w:type="dxa"/>
            <w:gridSpan w:val="2"/>
            <w:vAlign w:val="center"/>
          </w:tcPr>
          <w:p w14:paraId="2FD44901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1BC5FD78" w14:textId="77777777" w:rsidTr="00AA54E7">
        <w:trPr>
          <w:trHeight w:val="876"/>
        </w:trPr>
        <w:tc>
          <w:tcPr>
            <w:tcW w:w="1372" w:type="dxa"/>
            <w:vAlign w:val="center"/>
            <w:hideMark/>
          </w:tcPr>
          <w:p w14:paraId="193AE64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lastRenderedPageBreak/>
              <w:t>IMPACT-II 1997</w:t>
            </w:r>
          </w:p>
        </w:tc>
        <w:tc>
          <w:tcPr>
            <w:tcW w:w="2314" w:type="dxa"/>
            <w:vAlign w:val="center"/>
            <w:hideMark/>
          </w:tcPr>
          <w:p w14:paraId="03A085AA" w14:textId="2258BAEE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</w:t>
            </w:r>
            <w:r w:rsidR="00E224A1"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were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scheduled for elective, urgent, or emergency PCI</w:t>
            </w:r>
          </w:p>
        </w:tc>
        <w:tc>
          <w:tcPr>
            <w:tcW w:w="1842" w:type="dxa"/>
            <w:vAlign w:val="center"/>
            <w:hideMark/>
          </w:tcPr>
          <w:p w14:paraId="40347EC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all-cause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38EFB49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806</w:t>
            </w:r>
          </w:p>
        </w:tc>
        <w:tc>
          <w:tcPr>
            <w:tcW w:w="709" w:type="dxa"/>
            <w:vAlign w:val="center"/>
            <w:hideMark/>
          </w:tcPr>
          <w:p w14:paraId="5EEEDB3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0C5CC43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5DDF654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1" w:type="dxa"/>
            <w:vAlign w:val="center"/>
            <w:hideMark/>
          </w:tcPr>
          <w:p w14:paraId="5E3CB6E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5A415D2F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eptifibatide</w:t>
            </w:r>
          </w:p>
        </w:tc>
        <w:tc>
          <w:tcPr>
            <w:tcW w:w="1104" w:type="dxa"/>
            <w:vAlign w:val="center"/>
            <w:hideMark/>
          </w:tcPr>
          <w:p w14:paraId="18A0C6CB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6AF710B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08" w:type="dxa"/>
            <w:vAlign w:val="center"/>
            <w:hideMark/>
          </w:tcPr>
          <w:p w14:paraId="234A2F4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meta-analysis</w:t>
            </w:r>
          </w:p>
        </w:tc>
        <w:tc>
          <w:tcPr>
            <w:tcW w:w="853" w:type="dxa"/>
            <w:vAlign w:val="center"/>
            <w:hideMark/>
          </w:tcPr>
          <w:p w14:paraId="7005749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plus heparin</w:t>
            </w:r>
          </w:p>
        </w:tc>
        <w:tc>
          <w:tcPr>
            <w:tcW w:w="767" w:type="dxa"/>
            <w:gridSpan w:val="2"/>
            <w:vAlign w:val="center"/>
          </w:tcPr>
          <w:p w14:paraId="1C559F1E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5F0CBD23" w14:textId="77777777" w:rsidTr="00AA54E7">
        <w:trPr>
          <w:trHeight w:val="876"/>
        </w:trPr>
        <w:tc>
          <w:tcPr>
            <w:tcW w:w="1372" w:type="dxa"/>
            <w:vAlign w:val="center"/>
            <w:hideMark/>
          </w:tcPr>
          <w:p w14:paraId="1599A795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RAPPORT 1998</w:t>
            </w:r>
          </w:p>
        </w:tc>
        <w:tc>
          <w:tcPr>
            <w:tcW w:w="2314" w:type="dxa"/>
            <w:vAlign w:val="center"/>
            <w:hideMark/>
          </w:tcPr>
          <w:p w14:paraId="42BEC17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within 12 hours of the onset of AMI, referred for primary angioplasty</w:t>
            </w:r>
          </w:p>
        </w:tc>
        <w:tc>
          <w:tcPr>
            <w:tcW w:w="1842" w:type="dxa"/>
            <w:vAlign w:val="center"/>
            <w:hideMark/>
          </w:tcPr>
          <w:p w14:paraId="2B0FDC6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stroke; all-cause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1A861DE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709" w:type="dxa"/>
            <w:vAlign w:val="center"/>
            <w:hideMark/>
          </w:tcPr>
          <w:p w14:paraId="2636D8C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21270F4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709" w:type="dxa"/>
            <w:vAlign w:val="center"/>
            <w:hideMark/>
          </w:tcPr>
          <w:p w14:paraId="7282E1F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1" w:type="dxa"/>
            <w:vAlign w:val="center"/>
            <w:hideMark/>
          </w:tcPr>
          <w:p w14:paraId="222407F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5B5267F8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abciximab (c7E3b)</w:t>
            </w:r>
          </w:p>
        </w:tc>
        <w:tc>
          <w:tcPr>
            <w:tcW w:w="1104" w:type="dxa"/>
            <w:vAlign w:val="center"/>
            <w:hideMark/>
          </w:tcPr>
          <w:p w14:paraId="036B7BC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4D77226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08" w:type="dxa"/>
            <w:vAlign w:val="center"/>
            <w:hideMark/>
          </w:tcPr>
          <w:p w14:paraId="6E6ED4D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meta-analysis</w:t>
            </w:r>
          </w:p>
        </w:tc>
        <w:tc>
          <w:tcPr>
            <w:tcW w:w="853" w:type="dxa"/>
            <w:vAlign w:val="center"/>
            <w:hideMark/>
          </w:tcPr>
          <w:p w14:paraId="2CE7B0F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767" w:type="dxa"/>
            <w:gridSpan w:val="2"/>
            <w:vAlign w:val="center"/>
          </w:tcPr>
          <w:p w14:paraId="4F7BE4FE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09350682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06C0D1E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Cheng 1998</w:t>
            </w:r>
          </w:p>
        </w:tc>
        <w:tc>
          <w:tcPr>
            <w:tcW w:w="2314" w:type="dxa"/>
            <w:vAlign w:val="center"/>
            <w:hideMark/>
          </w:tcPr>
          <w:p w14:paraId="2E40DA1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21 to 65 years of age; biopsy proven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IgAN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with at least 2 suggestive of progressive disease</w:t>
            </w:r>
          </w:p>
        </w:tc>
        <w:tc>
          <w:tcPr>
            <w:tcW w:w="1842" w:type="dxa"/>
            <w:vAlign w:val="center"/>
            <w:hideMark/>
          </w:tcPr>
          <w:p w14:paraId="08FA878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kidney failure events; change of proteinuria and eGFR</w:t>
            </w:r>
          </w:p>
        </w:tc>
        <w:tc>
          <w:tcPr>
            <w:tcW w:w="851" w:type="dxa"/>
            <w:vAlign w:val="center"/>
            <w:hideMark/>
          </w:tcPr>
          <w:p w14:paraId="0E2E3F94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709" w:type="dxa"/>
            <w:vAlign w:val="center"/>
            <w:hideMark/>
          </w:tcPr>
          <w:p w14:paraId="1F49DC1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67" w:type="dxa"/>
            <w:vAlign w:val="center"/>
            <w:hideMark/>
          </w:tcPr>
          <w:p w14:paraId="6F8C671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center"/>
            <w:hideMark/>
          </w:tcPr>
          <w:p w14:paraId="785AF0C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31" w:type="dxa"/>
            <w:vAlign w:val="center"/>
            <w:hideMark/>
          </w:tcPr>
          <w:p w14:paraId="53D4215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IgAN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C10DE9B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7E389069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usual treatment</w:t>
            </w:r>
          </w:p>
        </w:tc>
        <w:tc>
          <w:tcPr>
            <w:tcW w:w="1248" w:type="dxa"/>
            <w:vAlign w:val="center"/>
            <w:hideMark/>
          </w:tcPr>
          <w:p w14:paraId="5B08FD8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02F25DB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2700ED46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captopril</w:t>
            </w:r>
          </w:p>
        </w:tc>
        <w:tc>
          <w:tcPr>
            <w:tcW w:w="767" w:type="dxa"/>
            <w:gridSpan w:val="2"/>
            <w:vAlign w:val="center"/>
          </w:tcPr>
          <w:p w14:paraId="699B6315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2FA9F5F3" w14:textId="77777777" w:rsidTr="00AA54E7">
        <w:trPr>
          <w:trHeight w:val="876"/>
        </w:trPr>
        <w:tc>
          <w:tcPr>
            <w:tcW w:w="1372" w:type="dxa"/>
            <w:vAlign w:val="center"/>
            <w:hideMark/>
          </w:tcPr>
          <w:p w14:paraId="52474F9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EPISTENT 1998</w:t>
            </w:r>
          </w:p>
        </w:tc>
        <w:tc>
          <w:tcPr>
            <w:tcW w:w="2314" w:type="dxa"/>
            <w:vAlign w:val="center"/>
            <w:hideMark/>
          </w:tcPr>
          <w:p w14:paraId="14C52DB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undergoing elective or urgent PCI</w:t>
            </w:r>
          </w:p>
        </w:tc>
        <w:tc>
          <w:tcPr>
            <w:tcW w:w="1842" w:type="dxa"/>
            <w:vAlign w:val="center"/>
            <w:hideMark/>
          </w:tcPr>
          <w:p w14:paraId="6B76D75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stroke; all-cause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92FD7A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709" w:type="dxa"/>
            <w:vAlign w:val="center"/>
            <w:hideMark/>
          </w:tcPr>
          <w:p w14:paraId="4B70302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29F41AE4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14B864B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31" w:type="dxa"/>
            <w:vAlign w:val="center"/>
            <w:hideMark/>
          </w:tcPr>
          <w:p w14:paraId="00FB6ED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48D7B260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abciximab (c7E3b)</w:t>
            </w:r>
          </w:p>
        </w:tc>
        <w:tc>
          <w:tcPr>
            <w:tcW w:w="1104" w:type="dxa"/>
            <w:vAlign w:val="center"/>
            <w:hideMark/>
          </w:tcPr>
          <w:p w14:paraId="15E2F448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3EC2203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 with drug supplied by industry</w:t>
            </w:r>
          </w:p>
        </w:tc>
        <w:tc>
          <w:tcPr>
            <w:tcW w:w="908" w:type="dxa"/>
            <w:vAlign w:val="center"/>
            <w:hideMark/>
          </w:tcPr>
          <w:p w14:paraId="385A77F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meta-analysis</w:t>
            </w:r>
          </w:p>
        </w:tc>
        <w:tc>
          <w:tcPr>
            <w:tcW w:w="853" w:type="dxa"/>
            <w:vAlign w:val="center"/>
            <w:hideMark/>
          </w:tcPr>
          <w:p w14:paraId="01B9B32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plus heparin</w:t>
            </w:r>
          </w:p>
        </w:tc>
        <w:tc>
          <w:tcPr>
            <w:tcW w:w="767" w:type="dxa"/>
            <w:gridSpan w:val="2"/>
            <w:vAlign w:val="center"/>
          </w:tcPr>
          <w:p w14:paraId="4C1A7FE9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17353F46" w14:textId="77777777" w:rsidTr="00AA54E7">
        <w:trPr>
          <w:trHeight w:val="1278"/>
        </w:trPr>
        <w:tc>
          <w:tcPr>
            <w:tcW w:w="1372" w:type="dxa"/>
            <w:vAlign w:val="center"/>
            <w:hideMark/>
          </w:tcPr>
          <w:p w14:paraId="264D2FC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Giustina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1998</w:t>
            </w:r>
          </w:p>
        </w:tc>
        <w:tc>
          <w:tcPr>
            <w:tcW w:w="2314" w:type="dxa"/>
            <w:vAlign w:val="center"/>
            <w:hideMark/>
          </w:tcPr>
          <w:p w14:paraId="7A2E266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40 to 65 years of age; DM and diabetic retinopathy;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&lt;106μmol/L; 24hUAE 20-200μg/min; HbA1C&lt;10%; supine BP 140/90mmHg</w:t>
            </w:r>
          </w:p>
        </w:tc>
        <w:tc>
          <w:tcPr>
            <w:tcW w:w="1842" w:type="dxa"/>
            <w:vAlign w:val="center"/>
            <w:hideMark/>
          </w:tcPr>
          <w:p w14:paraId="5785149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change of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Crcl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and proteinuria</w:t>
            </w:r>
          </w:p>
        </w:tc>
        <w:tc>
          <w:tcPr>
            <w:tcW w:w="851" w:type="dxa"/>
            <w:vAlign w:val="center"/>
            <w:hideMark/>
          </w:tcPr>
          <w:p w14:paraId="2773BB66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1DE90A0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10327D7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709" w:type="dxa"/>
            <w:vAlign w:val="center"/>
            <w:hideMark/>
          </w:tcPr>
          <w:p w14:paraId="7C033C2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1" w:type="dxa"/>
            <w:vAlign w:val="center"/>
            <w:hideMark/>
          </w:tcPr>
          <w:p w14:paraId="232797C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DN</w:t>
            </w:r>
          </w:p>
        </w:tc>
        <w:tc>
          <w:tcPr>
            <w:tcW w:w="1134" w:type="dxa"/>
            <w:vAlign w:val="center"/>
            <w:hideMark/>
          </w:tcPr>
          <w:p w14:paraId="40F6B7FC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picotamide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14:paraId="53FD20B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30DC714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13F2B37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60DBD40A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6C626E7A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2AB90133" w14:textId="77777777" w:rsidTr="00AA54E7">
        <w:trPr>
          <w:trHeight w:val="1410"/>
        </w:trPr>
        <w:tc>
          <w:tcPr>
            <w:tcW w:w="1372" w:type="dxa"/>
            <w:vAlign w:val="center"/>
            <w:hideMark/>
          </w:tcPr>
          <w:p w14:paraId="70C92B2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Grontoft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1998</w:t>
            </w:r>
          </w:p>
        </w:tc>
        <w:tc>
          <w:tcPr>
            <w:tcW w:w="2314" w:type="dxa"/>
            <w:vAlign w:val="center"/>
            <w:hideMark/>
          </w:tcPr>
          <w:p w14:paraId="708894D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 chronic renal failure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predialysis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or when on dialysis who had been selected for surgery for an AVF, saphenous or artificial grafts as hemodialysis access site</w:t>
            </w:r>
          </w:p>
        </w:tc>
        <w:tc>
          <w:tcPr>
            <w:tcW w:w="1842" w:type="dxa"/>
            <w:vAlign w:val="center"/>
            <w:hideMark/>
          </w:tcPr>
          <w:p w14:paraId="42C3B02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failure; all-cause death; cardiovascular death</w:t>
            </w:r>
          </w:p>
        </w:tc>
        <w:tc>
          <w:tcPr>
            <w:tcW w:w="851" w:type="dxa"/>
            <w:vAlign w:val="center"/>
            <w:hideMark/>
          </w:tcPr>
          <w:p w14:paraId="6848FE1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709" w:type="dxa"/>
            <w:vAlign w:val="center"/>
            <w:hideMark/>
          </w:tcPr>
          <w:p w14:paraId="5347935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ED31A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709" w:type="dxa"/>
            <w:vAlign w:val="center"/>
            <w:hideMark/>
          </w:tcPr>
          <w:p w14:paraId="559779F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1" w:type="dxa"/>
            <w:vAlign w:val="center"/>
            <w:hideMark/>
          </w:tcPr>
          <w:p w14:paraId="2F2FA4F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51D89190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ticlopidine</w:t>
            </w:r>
          </w:p>
        </w:tc>
        <w:tc>
          <w:tcPr>
            <w:tcW w:w="1104" w:type="dxa"/>
            <w:vAlign w:val="center"/>
            <w:hideMark/>
          </w:tcPr>
          <w:p w14:paraId="7C55287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69FF21D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7BC14A0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4141FF74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1BF1EA5F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15F8422E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166FCE55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PURSUIT 1998</w:t>
            </w:r>
          </w:p>
        </w:tc>
        <w:tc>
          <w:tcPr>
            <w:tcW w:w="2314" w:type="dxa"/>
            <w:vAlign w:val="center"/>
            <w:hideMark/>
          </w:tcPr>
          <w:p w14:paraId="5A4B4D5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ischemic chest pain at rest lasting 10 min or longer within the previous 12h; change of electrocardiogram of ACS </w:t>
            </w:r>
          </w:p>
        </w:tc>
        <w:tc>
          <w:tcPr>
            <w:tcW w:w="1842" w:type="dxa"/>
            <w:vAlign w:val="center"/>
            <w:hideMark/>
          </w:tcPr>
          <w:p w14:paraId="15E236B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stroke; all-cause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2259712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2617</w:t>
            </w:r>
          </w:p>
        </w:tc>
        <w:tc>
          <w:tcPr>
            <w:tcW w:w="709" w:type="dxa"/>
            <w:vAlign w:val="center"/>
            <w:hideMark/>
          </w:tcPr>
          <w:p w14:paraId="5C56D63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0A65995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76B7398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31" w:type="dxa"/>
            <w:vAlign w:val="center"/>
            <w:hideMark/>
          </w:tcPr>
          <w:p w14:paraId="6E27A57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0204D9E0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eptifibatide</w:t>
            </w:r>
          </w:p>
        </w:tc>
        <w:tc>
          <w:tcPr>
            <w:tcW w:w="1104" w:type="dxa"/>
            <w:vAlign w:val="center"/>
            <w:hideMark/>
          </w:tcPr>
          <w:p w14:paraId="0F2706A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6737B2F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5ED9FE0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6BF3513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plus heparin</w:t>
            </w:r>
          </w:p>
        </w:tc>
        <w:tc>
          <w:tcPr>
            <w:tcW w:w="767" w:type="dxa"/>
            <w:gridSpan w:val="2"/>
            <w:vAlign w:val="center"/>
          </w:tcPr>
          <w:p w14:paraId="7080BDA4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0CD9C1F2" w14:textId="77777777" w:rsidTr="00AA54E7">
        <w:trPr>
          <w:trHeight w:val="564"/>
        </w:trPr>
        <w:tc>
          <w:tcPr>
            <w:tcW w:w="1372" w:type="dxa"/>
            <w:vAlign w:val="center"/>
            <w:hideMark/>
          </w:tcPr>
          <w:p w14:paraId="700F8D1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UK-HARP-I 2005</w:t>
            </w:r>
          </w:p>
        </w:tc>
        <w:tc>
          <w:tcPr>
            <w:tcW w:w="2314" w:type="dxa"/>
            <w:vAlign w:val="center"/>
            <w:hideMark/>
          </w:tcPr>
          <w:p w14:paraId="1FA495E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aged ≥ 18 years;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predialysis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patients with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≥1.7mg/dL or chronic dialysis patients or functioning kidney transplant</w:t>
            </w:r>
          </w:p>
        </w:tc>
        <w:tc>
          <w:tcPr>
            <w:tcW w:w="1842" w:type="dxa"/>
            <w:vAlign w:val="center"/>
            <w:hideMark/>
          </w:tcPr>
          <w:p w14:paraId="0817A42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stroke; all-cause death; cardiovascular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; 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lastRenderedPageBreak/>
              <w:t>kidney failure events</w:t>
            </w:r>
          </w:p>
        </w:tc>
        <w:tc>
          <w:tcPr>
            <w:tcW w:w="851" w:type="dxa"/>
            <w:vAlign w:val="center"/>
            <w:hideMark/>
          </w:tcPr>
          <w:p w14:paraId="0E01087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lastRenderedPageBreak/>
              <w:t>448</w:t>
            </w:r>
          </w:p>
        </w:tc>
        <w:tc>
          <w:tcPr>
            <w:tcW w:w="709" w:type="dxa"/>
            <w:vAlign w:val="center"/>
            <w:hideMark/>
          </w:tcPr>
          <w:p w14:paraId="58AF969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6330663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709" w:type="dxa"/>
            <w:vAlign w:val="center"/>
            <w:hideMark/>
          </w:tcPr>
          <w:p w14:paraId="52CDF32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31" w:type="dxa"/>
            <w:vAlign w:val="center"/>
            <w:hideMark/>
          </w:tcPr>
          <w:p w14:paraId="41F6926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Scr≥150umol/L</w:t>
            </w:r>
          </w:p>
        </w:tc>
        <w:tc>
          <w:tcPr>
            <w:tcW w:w="1134" w:type="dxa"/>
            <w:vAlign w:val="center"/>
            <w:hideMark/>
          </w:tcPr>
          <w:p w14:paraId="2B5AAAAC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50523FA2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7E5FF7B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08" w:type="dxa"/>
            <w:vAlign w:val="center"/>
            <w:hideMark/>
          </w:tcPr>
          <w:p w14:paraId="42AE83A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3BFDF17E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simvastatin</w:t>
            </w:r>
          </w:p>
        </w:tc>
        <w:tc>
          <w:tcPr>
            <w:tcW w:w="767" w:type="dxa"/>
            <w:gridSpan w:val="2"/>
            <w:vAlign w:val="center"/>
          </w:tcPr>
          <w:p w14:paraId="1826355C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303C609D" w14:textId="77777777" w:rsidTr="00AA54E7">
        <w:trPr>
          <w:trHeight w:val="876"/>
        </w:trPr>
        <w:tc>
          <w:tcPr>
            <w:tcW w:w="1372" w:type="dxa"/>
            <w:vAlign w:val="center"/>
            <w:hideMark/>
          </w:tcPr>
          <w:p w14:paraId="18F22B3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PRISM-PLUS 2002</w:t>
            </w:r>
          </w:p>
        </w:tc>
        <w:tc>
          <w:tcPr>
            <w:tcW w:w="2314" w:type="dxa"/>
            <w:vAlign w:val="center"/>
            <w:hideMark/>
          </w:tcPr>
          <w:p w14:paraId="1D71CA8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patients with ACS</w:t>
            </w:r>
          </w:p>
        </w:tc>
        <w:tc>
          <w:tcPr>
            <w:tcW w:w="1842" w:type="dxa"/>
            <w:vAlign w:val="center"/>
            <w:hideMark/>
          </w:tcPr>
          <w:p w14:paraId="31748C0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the composite end points of death/MI/refractory ischemia; major and minor bleeding</w:t>
            </w:r>
          </w:p>
        </w:tc>
        <w:tc>
          <w:tcPr>
            <w:tcW w:w="851" w:type="dxa"/>
            <w:vAlign w:val="center"/>
            <w:hideMark/>
          </w:tcPr>
          <w:p w14:paraId="5F2D4F6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611</w:t>
            </w:r>
          </w:p>
        </w:tc>
        <w:tc>
          <w:tcPr>
            <w:tcW w:w="709" w:type="dxa"/>
            <w:vAlign w:val="center"/>
            <w:hideMark/>
          </w:tcPr>
          <w:p w14:paraId="684BC7E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3E3FFC0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  <w:hideMark/>
          </w:tcPr>
          <w:p w14:paraId="37B5351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31" w:type="dxa"/>
            <w:vAlign w:val="center"/>
            <w:hideMark/>
          </w:tcPr>
          <w:p w14:paraId="3DC3BB2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18EFBFA8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tirofiban</w:t>
            </w:r>
          </w:p>
        </w:tc>
        <w:tc>
          <w:tcPr>
            <w:tcW w:w="1104" w:type="dxa"/>
            <w:vAlign w:val="center"/>
            <w:hideMark/>
          </w:tcPr>
          <w:p w14:paraId="4098468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2CD59EB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1A37139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4DF6A54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heparin</w:t>
            </w:r>
          </w:p>
        </w:tc>
        <w:tc>
          <w:tcPr>
            <w:tcW w:w="767" w:type="dxa"/>
            <w:gridSpan w:val="2"/>
            <w:vAlign w:val="center"/>
          </w:tcPr>
          <w:p w14:paraId="0A2E6098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24310119" w14:textId="77777777" w:rsidTr="00AA54E7">
        <w:trPr>
          <w:trHeight w:val="715"/>
        </w:trPr>
        <w:tc>
          <w:tcPr>
            <w:tcW w:w="1372" w:type="dxa"/>
            <w:vAlign w:val="center"/>
            <w:hideMark/>
          </w:tcPr>
          <w:p w14:paraId="1753461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Khajehdehi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2002</w:t>
            </w:r>
          </w:p>
        </w:tc>
        <w:tc>
          <w:tcPr>
            <w:tcW w:w="2314" w:type="dxa"/>
            <w:vAlign w:val="center"/>
            <w:hideMark/>
          </w:tcPr>
          <w:p w14:paraId="70B5D9F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T2DM; normal kidney function; UAE&gt;500mg/d; not receiving ACEI</w:t>
            </w:r>
          </w:p>
        </w:tc>
        <w:tc>
          <w:tcPr>
            <w:tcW w:w="1842" w:type="dxa"/>
            <w:vAlign w:val="center"/>
            <w:hideMark/>
          </w:tcPr>
          <w:p w14:paraId="0B78D11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change of eGFR,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and proteinuria</w:t>
            </w:r>
          </w:p>
        </w:tc>
        <w:tc>
          <w:tcPr>
            <w:tcW w:w="851" w:type="dxa"/>
            <w:vAlign w:val="center"/>
            <w:hideMark/>
          </w:tcPr>
          <w:p w14:paraId="34FA6E3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709" w:type="dxa"/>
            <w:vAlign w:val="center"/>
            <w:hideMark/>
          </w:tcPr>
          <w:p w14:paraId="0664294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4B9039B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709" w:type="dxa"/>
            <w:vAlign w:val="center"/>
            <w:hideMark/>
          </w:tcPr>
          <w:p w14:paraId="7703392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31" w:type="dxa"/>
            <w:vAlign w:val="center"/>
            <w:hideMark/>
          </w:tcPr>
          <w:p w14:paraId="51B3BFC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DN and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&lt;2mg/dL</w:t>
            </w:r>
          </w:p>
        </w:tc>
        <w:tc>
          <w:tcPr>
            <w:tcW w:w="1134" w:type="dxa"/>
            <w:vAlign w:val="center"/>
            <w:hideMark/>
          </w:tcPr>
          <w:p w14:paraId="77D0AA20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or/and dipyridamole</w:t>
            </w:r>
          </w:p>
        </w:tc>
        <w:tc>
          <w:tcPr>
            <w:tcW w:w="1104" w:type="dxa"/>
            <w:vAlign w:val="center"/>
            <w:hideMark/>
          </w:tcPr>
          <w:p w14:paraId="1B1B8B5B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0ABDF41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344A85A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</w:t>
            </w:r>
          </w:p>
        </w:tc>
        <w:tc>
          <w:tcPr>
            <w:tcW w:w="853" w:type="dxa"/>
            <w:vAlign w:val="center"/>
            <w:hideMark/>
          </w:tcPr>
          <w:p w14:paraId="29F71DD5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08404202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1CB7007A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0703E2AB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Kaufman 2003</w:t>
            </w:r>
          </w:p>
        </w:tc>
        <w:tc>
          <w:tcPr>
            <w:tcW w:w="2314" w:type="dxa"/>
            <w:vAlign w:val="center"/>
            <w:hideMark/>
          </w:tcPr>
          <w:p w14:paraId="3B1B71A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patients with PTFE graft in the arm</w:t>
            </w:r>
          </w:p>
        </w:tc>
        <w:tc>
          <w:tcPr>
            <w:tcW w:w="1842" w:type="dxa"/>
            <w:vAlign w:val="center"/>
            <w:hideMark/>
          </w:tcPr>
          <w:p w14:paraId="26E3914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stroke; all-cause death; major and minor bleeding; access failure</w:t>
            </w:r>
          </w:p>
        </w:tc>
        <w:tc>
          <w:tcPr>
            <w:tcW w:w="851" w:type="dxa"/>
            <w:vAlign w:val="center"/>
            <w:hideMark/>
          </w:tcPr>
          <w:p w14:paraId="0348E51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center"/>
            <w:hideMark/>
          </w:tcPr>
          <w:p w14:paraId="1E89D28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285EC58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709" w:type="dxa"/>
            <w:vAlign w:val="center"/>
            <w:hideMark/>
          </w:tcPr>
          <w:p w14:paraId="56CCFB9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31" w:type="dxa"/>
            <w:vAlign w:val="center"/>
            <w:hideMark/>
          </w:tcPr>
          <w:p w14:paraId="10DD0CD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0B41D83E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 and clopidogrel</w:t>
            </w:r>
          </w:p>
        </w:tc>
        <w:tc>
          <w:tcPr>
            <w:tcW w:w="1104" w:type="dxa"/>
            <w:vAlign w:val="center"/>
            <w:hideMark/>
          </w:tcPr>
          <w:p w14:paraId="781170FA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5028185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 with drug supplied by industry</w:t>
            </w:r>
          </w:p>
        </w:tc>
        <w:tc>
          <w:tcPr>
            <w:tcW w:w="908" w:type="dxa"/>
            <w:vAlign w:val="center"/>
            <w:hideMark/>
          </w:tcPr>
          <w:p w14:paraId="2D3A7C4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full text and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meta analysis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3" w:type="dxa"/>
            <w:vAlign w:val="center"/>
            <w:hideMark/>
          </w:tcPr>
          <w:p w14:paraId="37BE6BE3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1F3DB0DE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66889942" w14:textId="77777777" w:rsidTr="00AA54E7">
        <w:trPr>
          <w:trHeight w:val="570"/>
        </w:trPr>
        <w:tc>
          <w:tcPr>
            <w:tcW w:w="1372" w:type="dxa"/>
            <w:vAlign w:val="center"/>
            <w:hideMark/>
          </w:tcPr>
          <w:p w14:paraId="339A1B4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Abdul-Rahman 2007</w:t>
            </w:r>
          </w:p>
        </w:tc>
        <w:tc>
          <w:tcPr>
            <w:tcW w:w="2314" w:type="dxa"/>
            <w:vAlign w:val="center"/>
            <w:hideMark/>
          </w:tcPr>
          <w:p w14:paraId="3A14DC7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231F2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231F20"/>
                <w:kern w:val="0"/>
                <w:sz w:val="18"/>
                <w:szCs w:val="18"/>
              </w:rPr>
              <w:t>patients with tunneled central venous catheter</w:t>
            </w:r>
          </w:p>
        </w:tc>
        <w:tc>
          <w:tcPr>
            <w:tcW w:w="1842" w:type="dxa"/>
            <w:vAlign w:val="center"/>
            <w:hideMark/>
          </w:tcPr>
          <w:p w14:paraId="4D5A962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</w:t>
            </w:r>
          </w:p>
        </w:tc>
        <w:tc>
          <w:tcPr>
            <w:tcW w:w="851" w:type="dxa"/>
            <w:vAlign w:val="center"/>
            <w:hideMark/>
          </w:tcPr>
          <w:p w14:paraId="273E1BC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709" w:type="dxa"/>
            <w:vAlign w:val="center"/>
            <w:hideMark/>
          </w:tcPr>
          <w:p w14:paraId="14BB4B3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7041A59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709" w:type="dxa"/>
            <w:vAlign w:val="center"/>
            <w:hideMark/>
          </w:tcPr>
          <w:p w14:paraId="2179A00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1" w:type="dxa"/>
            <w:vAlign w:val="center"/>
            <w:hideMark/>
          </w:tcPr>
          <w:p w14:paraId="51FD7CE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04AE22AF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277548DA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no-treatment</w:t>
            </w:r>
          </w:p>
        </w:tc>
        <w:tc>
          <w:tcPr>
            <w:tcW w:w="1248" w:type="dxa"/>
            <w:vAlign w:val="center"/>
            <w:hideMark/>
          </w:tcPr>
          <w:p w14:paraId="59788C4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00AADC7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35D84BB9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45DDBC2B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0FCC3614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216C587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CURE 2007</w:t>
            </w:r>
          </w:p>
        </w:tc>
        <w:tc>
          <w:tcPr>
            <w:tcW w:w="2314" w:type="dxa"/>
            <w:vAlign w:val="center"/>
            <w:hideMark/>
          </w:tcPr>
          <w:p w14:paraId="548983E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ACS patients hospitalized within&lt; 24h of symptom and without ST-segment elevation</w:t>
            </w:r>
          </w:p>
        </w:tc>
        <w:tc>
          <w:tcPr>
            <w:tcW w:w="1842" w:type="dxa"/>
            <w:vAlign w:val="center"/>
            <w:hideMark/>
          </w:tcPr>
          <w:p w14:paraId="3A95E5C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all-cause death; cardiovascular death; major and minor bleeding; the composite end points of cardiovascular death/MI/stroke</w:t>
            </w:r>
          </w:p>
        </w:tc>
        <w:tc>
          <w:tcPr>
            <w:tcW w:w="851" w:type="dxa"/>
            <w:vAlign w:val="center"/>
            <w:hideMark/>
          </w:tcPr>
          <w:p w14:paraId="239CA0E4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4087</w:t>
            </w:r>
          </w:p>
        </w:tc>
        <w:tc>
          <w:tcPr>
            <w:tcW w:w="709" w:type="dxa"/>
            <w:vAlign w:val="center"/>
            <w:hideMark/>
          </w:tcPr>
          <w:p w14:paraId="4AD51B0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6C79B67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09" w:type="dxa"/>
            <w:vAlign w:val="center"/>
            <w:hideMark/>
          </w:tcPr>
          <w:p w14:paraId="145A3A3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31" w:type="dxa"/>
            <w:vAlign w:val="center"/>
            <w:hideMark/>
          </w:tcPr>
          <w:p w14:paraId="647920C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eGFR&lt;64ml/min/1.73m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15EB84B5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clopidogrel</w:t>
            </w:r>
          </w:p>
        </w:tc>
        <w:tc>
          <w:tcPr>
            <w:tcW w:w="1104" w:type="dxa"/>
            <w:vAlign w:val="center"/>
            <w:hideMark/>
          </w:tcPr>
          <w:p w14:paraId="074EC463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73D0B90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2956D15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02AA502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767" w:type="dxa"/>
            <w:gridSpan w:val="2"/>
            <w:vAlign w:val="center"/>
          </w:tcPr>
          <w:p w14:paraId="5AD09AB7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7809EB29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28434E58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CREDO 2008</w:t>
            </w:r>
          </w:p>
        </w:tc>
        <w:tc>
          <w:tcPr>
            <w:tcW w:w="2314" w:type="dxa"/>
            <w:vAlign w:val="center"/>
            <w:hideMark/>
          </w:tcPr>
          <w:p w14:paraId="39215ED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age≥ 21 years; symptomatic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attery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disease; elective PCI planned or considered</w:t>
            </w:r>
          </w:p>
        </w:tc>
        <w:tc>
          <w:tcPr>
            <w:tcW w:w="1842" w:type="dxa"/>
            <w:vAlign w:val="center"/>
            <w:hideMark/>
          </w:tcPr>
          <w:p w14:paraId="503FFB8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fatal/nonfatal MI; stroke; all-cause death; cardiovascular death; major and minor bleeding; coronary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revasularization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41A238D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709" w:type="dxa"/>
            <w:vAlign w:val="center"/>
            <w:hideMark/>
          </w:tcPr>
          <w:p w14:paraId="076AC00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2554DFE6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441E45D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31" w:type="dxa"/>
            <w:vAlign w:val="center"/>
            <w:hideMark/>
          </w:tcPr>
          <w:p w14:paraId="586AD17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14F22264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clopidogrel</w:t>
            </w:r>
          </w:p>
        </w:tc>
        <w:tc>
          <w:tcPr>
            <w:tcW w:w="1104" w:type="dxa"/>
            <w:vAlign w:val="center"/>
            <w:hideMark/>
          </w:tcPr>
          <w:p w14:paraId="281E023D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2248A29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57918EA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 and meta-analysis</w:t>
            </w:r>
          </w:p>
        </w:tc>
        <w:tc>
          <w:tcPr>
            <w:tcW w:w="853" w:type="dxa"/>
            <w:vAlign w:val="center"/>
            <w:hideMark/>
          </w:tcPr>
          <w:p w14:paraId="061AB826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767" w:type="dxa"/>
            <w:gridSpan w:val="2"/>
            <w:vAlign w:val="center"/>
          </w:tcPr>
          <w:p w14:paraId="4A17399C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2DCFFE8F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2F8F8DC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Dember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2008</w:t>
            </w:r>
          </w:p>
        </w:tc>
        <w:tc>
          <w:tcPr>
            <w:tcW w:w="2314" w:type="dxa"/>
            <w:vAlign w:val="center"/>
            <w:hideMark/>
          </w:tcPr>
          <w:p w14:paraId="313E5412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or that were expected to begin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within 6M</w:t>
            </w:r>
          </w:p>
        </w:tc>
        <w:tc>
          <w:tcPr>
            <w:tcW w:w="1842" w:type="dxa"/>
            <w:vAlign w:val="center"/>
            <w:hideMark/>
          </w:tcPr>
          <w:p w14:paraId="3F2C156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stroke; all-cause death; major and minor bleeding; access failure</w:t>
            </w:r>
          </w:p>
        </w:tc>
        <w:tc>
          <w:tcPr>
            <w:tcW w:w="851" w:type="dxa"/>
            <w:vAlign w:val="center"/>
            <w:hideMark/>
          </w:tcPr>
          <w:p w14:paraId="193DC23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877</w:t>
            </w:r>
          </w:p>
        </w:tc>
        <w:tc>
          <w:tcPr>
            <w:tcW w:w="709" w:type="dxa"/>
            <w:vAlign w:val="center"/>
            <w:hideMark/>
          </w:tcPr>
          <w:p w14:paraId="7151BCB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567" w:type="dxa"/>
            <w:vAlign w:val="center"/>
            <w:hideMark/>
          </w:tcPr>
          <w:p w14:paraId="67C15314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709" w:type="dxa"/>
            <w:vAlign w:val="center"/>
            <w:hideMark/>
          </w:tcPr>
          <w:p w14:paraId="7E9D12A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31" w:type="dxa"/>
            <w:vAlign w:val="center"/>
            <w:hideMark/>
          </w:tcPr>
          <w:p w14:paraId="6AE2BD6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1789261C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clopidogrel</w:t>
            </w:r>
          </w:p>
        </w:tc>
        <w:tc>
          <w:tcPr>
            <w:tcW w:w="1104" w:type="dxa"/>
            <w:vAlign w:val="center"/>
            <w:hideMark/>
          </w:tcPr>
          <w:p w14:paraId="0387C63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0ACC98E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6612BD1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 text and meta-analysis</w:t>
            </w:r>
          </w:p>
        </w:tc>
        <w:tc>
          <w:tcPr>
            <w:tcW w:w="853" w:type="dxa"/>
            <w:vAlign w:val="center"/>
            <w:hideMark/>
          </w:tcPr>
          <w:p w14:paraId="77ED202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767" w:type="dxa"/>
            <w:gridSpan w:val="2"/>
            <w:vAlign w:val="center"/>
          </w:tcPr>
          <w:p w14:paraId="5EF666BB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3D34BB1F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1F6579A3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CHARISMA 2009</w:t>
            </w:r>
          </w:p>
        </w:tc>
        <w:tc>
          <w:tcPr>
            <w:tcW w:w="2314" w:type="dxa"/>
            <w:vAlign w:val="center"/>
            <w:hideMark/>
          </w:tcPr>
          <w:p w14:paraId="12F812D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age≥45 years and diabetic kidney disease</w:t>
            </w:r>
          </w:p>
        </w:tc>
        <w:tc>
          <w:tcPr>
            <w:tcW w:w="1842" w:type="dxa"/>
            <w:vAlign w:val="center"/>
            <w:hideMark/>
          </w:tcPr>
          <w:p w14:paraId="51F7BDE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stroke; all-cause death; cardiovascular death; major and minor bleeding</w:t>
            </w:r>
          </w:p>
        </w:tc>
        <w:tc>
          <w:tcPr>
            <w:tcW w:w="851" w:type="dxa"/>
            <w:vAlign w:val="center"/>
            <w:hideMark/>
          </w:tcPr>
          <w:p w14:paraId="283C8A0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2009</w:t>
            </w:r>
          </w:p>
        </w:tc>
        <w:tc>
          <w:tcPr>
            <w:tcW w:w="709" w:type="dxa"/>
            <w:vAlign w:val="center"/>
            <w:hideMark/>
          </w:tcPr>
          <w:p w14:paraId="3587085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  <w:hideMark/>
          </w:tcPr>
          <w:p w14:paraId="1858432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709" w:type="dxa"/>
            <w:vAlign w:val="center"/>
            <w:hideMark/>
          </w:tcPr>
          <w:p w14:paraId="0D16176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31" w:type="dxa"/>
            <w:vAlign w:val="center"/>
            <w:hideMark/>
          </w:tcPr>
          <w:p w14:paraId="238D70A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DN</w:t>
            </w:r>
          </w:p>
        </w:tc>
        <w:tc>
          <w:tcPr>
            <w:tcW w:w="1134" w:type="dxa"/>
            <w:vAlign w:val="center"/>
            <w:hideMark/>
          </w:tcPr>
          <w:p w14:paraId="0427E8DA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clopidogrel</w:t>
            </w:r>
          </w:p>
        </w:tc>
        <w:tc>
          <w:tcPr>
            <w:tcW w:w="1104" w:type="dxa"/>
            <w:vAlign w:val="center"/>
            <w:hideMark/>
          </w:tcPr>
          <w:p w14:paraId="0A1CA46D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07DCAA0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3773FD3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77C576E0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767" w:type="dxa"/>
            <w:gridSpan w:val="2"/>
            <w:vAlign w:val="center"/>
          </w:tcPr>
          <w:p w14:paraId="6D6E580C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6FABBCDA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2AFB6A5B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lastRenderedPageBreak/>
              <w:t>Dixon 2009</w:t>
            </w:r>
          </w:p>
        </w:tc>
        <w:tc>
          <w:tcPr>
            <w:tcW w:w="2314" w:type="dxa"/>
            <w:vAlign w:val="center"/>
            <w:hideMark/>
          </w:tcPr>
          <w:p w14:paraId="0A2BF39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age≥18 years; patients with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or that were scheduled to begin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within 6M</w:t>
            </w:r>
          </w:p>
        </w:tc>
        <w:tc>
          <w:tcPr>
            <w:tcW w:w="1842" w:type="dxa"/>
            <w:vAlign w:val="center"/>
            <w:hideMark/>
          </w:tcPr>
          <w:p w14:paraId="532C82C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stroke; all-cause death; major and minor bleeding; access failure</w:t>
            </w:r>
          </w:p>
        </w:tc>
        <w:tc>
          <w:tcPr>
            <w:tcW w:w="851" w:type="dxa"/>
            <w:vAlign w:val="center"/>
            <w:hideMark/>
          </w:tcPr>
          <w:p w14:paraId="6DA107F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649</w:t>
            </w:r>
          </w:p>
        </w:tc>
        <w:tc>
          <w:tcPr>
            <w:tcW w:w="709" w:type="dxa"/>
            <w:vAlign w:val="center"/>
            <w:hideMark/>
          </w:tcPr>
          <w:p w14:paraId="55BB977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  <w:hideMark/>
          </w:tcPr>
          <w:p w14:paraId="18AEE9D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094D40F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31" w:type="dxa"/>
            <w:vAlign w:val="center"/>
            <w:hideMark/>
          </w:tcPr>
          <w:p w14:paraId="73C0DF4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49426116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dipyridamole and aspirin</w:t>
            </w:r>
          </w:p>
        </w:tc>
        <w:tc>
          <w:tcPr>
            <w:tcW w:w="1104" w:type="dxa"/>
            <w:vAlign w:val="center"/>
            <w:hideMark/>
          </w:tcPr>
          <w:p w14:paraId="12936F1F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3D1AC1D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468B3D2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66B6F303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1395AA1C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0749E97A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2A78D86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Ghorbani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2009</w:t>
            </w:r>
          </w:p>
        </w:tc>
        <w:tc>
          <w:tcPr>
            <w:tcW w:w="2314" w:type="dxa"/>
            <w:vAlign w:val="center"/>
            <w:hideMark/>
          </w:tcPr>
          <w:p w14:paraId="7911CB5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age&gt;18 </w:t>
            </w:r>
            <w:proofErr w:type="gram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years;  patients</w:t>
            </w:r>
            <w:proofErr w:type="gram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close to hemodialysis requiring AVF, and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haemodialysis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patients requiring a new AVF</w:t>
            </w:r>
          </w:p>
        </w:tc>
        <w:tc>
          <w:tcPr>
            <w:tcW w:w="1842" w:type="dxa"/>
            <w:vAlign w:val="center"/>
            <w:hideMark/>
          </w:tcPr>
          <w:p w14:paraId="3AB2BB1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all-cause death; major bleeding; access failure</w:t>
            </w:r>
          </w:p>
        </w:tc>
        <w:tc>
          <w:tcPr>
            <w:tcW w:w="851" w:type="dxa"/>
            <w:vAlign w:val="center"/>
            <w:hideMark/>
          </w:tcPr>
          <w:p w14:paraId="75C07689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709" w:type="dxa"/>
            <w:vAlign w:val="center"/>
            <w:hideMark/>
          </w:tcPr>
          <w:p w14:paraId="7390586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039C8AB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709" w:type="dxa"/>
            <w:vAlign w:val="center"/>
            <w:hideMark/>
          </w:tcPr>
          <w:p w14:paraId="278153F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1" w:type="dxa"/>
            <w:vAlign w:val="center"/>
            <w:hideMark/>
          </w:tcPr>
          <w:p w14:paraId="277FC06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6B05827D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clopidogrel</w:t>
            </w:r>
          </w:p>
        </w:tc>
        <w:tc>
          <w:tcPr>
            <w:tcW w:w="1104" w:type="dxa"/>
            <w:vAlign w:val="center"/>
            <w:hideMark/>
          </w:tcPr>
          <w:p w14:paraId="4D6BE966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3FE5CEC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6E3AE1F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63FB9E9D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4700DDCD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45011929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398EA54B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HOT 2010</w:t>
            </w:r>
          </w:p>
        </w:tc>
        <w:tc>
          <w:tcPr>
            <w:tcW w:w="2314" w:type="dxa"/>
            <w:vAlign w:val="center"/>
            <w:hideMark/>
          </w:tcPr>
          <w:p w14:paraId="3067FC06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40 to 65 years of age; DBP between 100 and 115mmHg</w:t>
            </w:r>
          </w:p>
        </w:tc>
        <w:tc>
          <w:tcPr>
            <w:tcW w:w="1842" w:type="dxa"/>
            <w:vAlign w:val="center"/>
            <w:hideMark/>
          </w:tcPr>
          <w:p w14:paraId="203C3A7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stroke; all-cause death; cardiovascular death; major and minor bleeding</w:t>
            </w:r>
          </w:p>
        </w:tc>
        <w:tc>
          <w:tcPr>
            <w:tcW w:w="851" w:type="dxa"/>
            <w:vAlign w:val="center"/>
            <w:hideMark/>
          </w:tcPr>
          <w:p w14:paraId="419C8BC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3619</w:t>
            </w:r>
          </w:p>
        </w:tc>
        <w:tc>
          <w:tcPr>
            <w:tcW w:w="709" w:type="dxa"/>
            <w:vAlign w:val="center"/>
            <w:hideMark/>
          </w:tcPr>
          <w:p w14:paraId="2DAA2363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45.6</w:t>
            </w:r>
          </w:p>
        </w:tc>
        <w:tc>
          <w:tcPr>
            <w:tcW w:w="567" w:type="dxa"/>
            <w:vAlign w:val="center"/>
            <w:hideMark/>
          </w:tcPr>
          <w:p w14:paraId="731C503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709" w:type="dxa"/>
            <w:vAlign w:val="center"/>
            <w:hideMark/>
          </w:tcPr>
          <w:p w14:paraId="203F857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31" w:type="dxa"/>
            <w:vAlign w:val="center"/>
            <w:hideMark/>
          </w:tcPr>
          <w:p w14:paraId="3FEED99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491EC076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3BCA4EB3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5B3A0F1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5D615B3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7AF61F5A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4F1DCAFD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824CC4" w:rsidRPr="00824CC4" w14:paraId="2088E755" w14:textId="77777777" w:rsidTr="00AA54E7">
        <w:trPr>
          <w:trHeight w:val="504"/>
        </w:trPr>
        <w:tc>
          <w:tcPr>
            <w:tcW w:w="1372" w:type="dxa"/>
            <w:vAlign w:val="center"/>
            <w:hideMark/>
          </w:tcPr>
          <w:p w14:paraId="562F1E26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Luk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2010</w:t>
            </w:r>
          </w:p>
        </w:tc>
        <w:tc>
          <w:tcPr>
            <w:tcW w:w="2314" w:type="dxa"/>
            <w:vAlign w:val="center"/>
            <w:hideMark/>
          </w:tcPr>
          <w:p w14:paraId="68A472F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T2DM with ACR ≥ 30 mg/mmol </w:t>
            </w:r>
          </w:p>
        </w:tc>
        <w:tc>
          <w:tcPr>
            <w:tcW w:w="1842" w:type="dxa"/>
            <w:vAlign w:val="center"/>
            <w:hideMark/>
          </w:tcPr>
          <w:p w14:paraId="07DC564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change of eGFR and proteinuria</w:t>
            </w:r>
          </w:p>
        </w:tc>
        <w:tc>
          <w:tcPr>
            <w:tcW w:w="851" w:type="dxa"/>
            <w:vAlign w:val="center"/>
            <w:hideMark/>
          </w:tcPr>
          <w:p w14:paraId="2AE70A75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709" w:type="dxa"/>
            <w:vAlign w:val="center"/>
            <w:hideMark/>
          </w:tcPr>
          <w:p w14:paraId="7C88FF7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2EBD9E0C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3B650B26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2E69940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DN</w:t>
            </w:r>
          </w:p>
        </w:tc>
        <w:tc>
          <w:tcPr>
            <w:tcW w:w="1134" w:type="dxa"/>
            <w:vAlign w:val="center"/>
            <w:hideMark/>
          </w:tcPr>
          <w:p w14:paraId="235FFD73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cilostazol</w:t>
            </w:r>
          </w:p>
        </w:tc>
        <w:tc>
          <w:tcPr>
            <w:tcW w:w="1104" w:type="dxa"/>
            <w:vAlign w:val="center"/>
            <w:hideMark/>
          </w:tcPr>
          <w:p w14:paraId="348AEDC2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50D0022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56F00B8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abstract</w:t>
            </w:r>
          </w:p>
        </w:tc>
        <w:tc>
          <w:tcPr>
            <w:tcW w:w="853" w:type="dxa"/>
            <w:vAlign w:val="center"/>
            <w:hideMark/>
          </w:tcPr>
          <w:p w14:paraId="51F72710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11A275AB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6B1FA15D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3F1F62E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Rouzrokh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2010</w:t>
            </w:r>
          </w:p>
        </w:tc>
        <w:tc>
          <w:tcPr>
            <w:tcW w:w="2314" w:type="dxa"/>
            <w:vAlign w:val="center"/>
            <w:hideMark/>
          </w:tcPr>
          <w:p w14:paraId="3222D6A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who needed AVF for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heamodialysis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7D923D4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access failure</w:t>
            </w:r>
          </w:p>
        </w:tc>
        <w:tc>
          <w:tcPr>
            <w:tcW w:w="851" w:type="dxa"/>
            <w:vAlign w:val="center"/>
            <w:hideMark/>
          </w:tcPr>
          <w:p w14:paraId="6E45C0D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709" w:type="dxa"/>
            <w:vAlign w:val="center"/>
            <w:hideMark/>
          </w:tcPr>
          <w:p w14:paraId="0504795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17AFA1C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709" w:type="dxa"/>
            <w:vAlign w:val="center"/>
            <w:hideMark/>
          </w:tcPr>
          <w:p w14:paraId="47DCFD7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03F5B43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040ED1D0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dipyridamole or aspirin</w:t>
            </w:r>
          </w:p>
        </w:tc>
        <w:tc>
          <w:tcPr>
            <w:tcW w:w="1104" w:type="dxa"/>
            <w:vAlign w:val="center"/>
            <w:hideMark/>
          </w:tcPr>
          <w:p w14:paraId="4793BE6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09FC44D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non-industry</w:t>
            </w:r>
          </w:p>
        </w:tc>
        <w:tc>
          <w:tcPr>
            <w:tcW w:w="908" w:type="dxa"/>
            <w:vAlign w:val="center"/>
            <w:hideMark/>
          </w:tcPr>
          <w:p w14:paraId="2DE9DAA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7F7502E3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46FCCBB4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3</w:t>
            </w:r>
          </w:p>
        </w:tc>
      </w:tr>
      <w:tr w:rsidR="00824CC4" w:rsidRPr="00824CC4" w14:paraId="0F2521BD" w14:textId="77777777" w:rsidTr="00AA54E7">
        <w:trPr>
          <w:trHeight w:val="879"/>
        </w:trPr>
        <w:tc>
          <w:tcPr>
            <w:tcW w:w="1372" w:type="dxa"/>
            <w:vAlign w:val="center"/>
            <w:hideMark/>
          </w:tcPr>
          <w:p w14:paraId="377E58FC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JPAD 2011</w:t>
            </w:r>
          </w:p>
        </w:tc>
        <w:tc>
          <w:tcPr>
            <w:tcW w:w="2314" w:type="dxa"/>
            <w:vAlign w:val="center"/>
            <w:hideMark/>
          </w:tcPr>
          <w:p w14:paraId="05287A1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30 to 85 years of age; T2DM patients without any history of atherosclerotic disease</w:t>
            </w:r>
          </w:p>
        </w:tc>
        <w:tc>
          <w:tcPr>
            <w:tcW w:w="1842" w:type="dxa"/>
            <w:vAlign w:val="center"/>
            <w:hideMark/>
          </w:tcPr>
          <w:p w14:paraId="7CE177B5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major bleeding</w:t>
            </w:r>
          </w:p>
        </w:tc>
        <w:tc>
          <w:tcPr>
            <w:tcW w:w="851" w:type="dxa"/>
            <w:vAlign w:val="center"/>
            <w:hideMark/>
          </w:tcPr>
          <w:p w14:paraId="70BA5E66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632</w:t>
            </w:r>
          </w:p>
        </w:tc>
        <w:tc>
          <w:tcPr>
            <w:tcW w:w="709" w:type="dxa"/>
            <w:vAlign w:val="center"/>
            <w:hideMark/>
          </w:tcPr>
          <w:p w14:paraId="38C474C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52.4</w:t>
            </w:r>
          </w:p>
        </w:tc>
        <w:tc>
          <w:tcPr>
            <w:tcW w:w="567" w:type="dxa"/>
            <w:vAlign w:val="center"/>
            <w:hideMark/>
          </w:tcPr>
          <w:p w14:paraId="63C1BF27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709" w:type="dxa"/>
            <w:vAlign w:val="center"/>
            <w:hideMark/>
          </w:tcPr>
          <w:p w14:paraId="1ACF1D7A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31" w:type="dxa"/>
            <w:vAlign w:val="center"/>
            <w:hideMark/>
          </w:tcPr>
          <w:p w14:paraId="16AA90C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28814317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01F79B8E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usual treatment</w:t>
            </w:r>
          </w:p>
        </w:tc>
        <w:tc>
          <w:tcPr>
            <w:tcW w:w="1248" w:type="dxa"/>
            <w:vAlign w:val="center"/>
            <w:hideMark/>
          </w:tcPr>
          <w:p w14:paraId="1317540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08" w:type="dxa"/>
            <w:vAlign w:val="center"/>
            <w:hideMark/>
          </w:tcPr>
          <w:p w14:paraId="00FF684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61509DE5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6CC6512D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4544D676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1E8C02D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Watanable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2011</w:t>
            </w:r>
          </w:p>
        </w:tc>
        <w:tc>
          <w:tcPr>
            <w:tcW w:w="2314" w:type="dxa"/>
            <w:vAlign w:val="center"/>
            <w:hideMark/>
          </w:tcPr>
          <w:p w14:paraId="7C55A7E7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diabetic patients with stable angina and CKD</w:t>
            </w:r>
          </w:p>
        </w:tc>
        <w:tc>
          <w:tcPr>
            <w:tcW w:w="1842" w:type="dxa"/>
            <w:vAlign w:val="center"/>
            <w:hideMark/>
          </w:tcPr>
          <w:p w14:paraId="7D1732C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the composite end points of major adverse cardiovascular events or hospitalization for revascularization</w:t>
            </w:r>
          </w:p>
        </w:tc>
        <w:tc>
          <w:tcPr>
            <w:tcW w:w="851" w:type="dxa"/>
            <w:vAlign w:val="center"/>
            <w:hideMark/>
          </w:tcPr>
          <w:p w14:paraId="7E04628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709" w:type="dxa"/>
            <w:vAlign w:val="center"/>
            <w:hideMark/>
          </w:tcPr>
          <w:p w14:paraId="094575B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  <w:hideMark/>
          </w:tcPr>
          <w:p w14:paraId="48C2CE9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9" w:type="dxa"/>
            <w:vAlign w:val="center"/>
            <w:hideMark/>
          </w:tcPr>
          <w:p w14:paraId="747D6002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08D91A0D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CKD stage 3 or 4</w:t>
            </w:r>
          </w:p>
        </w:tc>
        <w:tc>
          <w:tcPr>
            <w:tcW w:w="1134" w:type="dxa"/>
            <w:vAlign w:val="center"/>
            <w:hideMark/>
          </w:tcPr>
          <w:p w14:paraId="0BC918CD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sarpogrelate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14:paraId="3CC92D2A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usual treatment</w:t>
            </w:r>
          </w:p>
        </w:tc>
        <w:tc>
          <w:tcPr>
            <w:tcW w:w="1248" w:type="dxa"/>
            <w:vAlign w:val="center"/>
            <w:hideMark/>
          </w:tcPr>
          <w:p w14:paraId="0CD6830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1C6E0E3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abstract</w:t>
            </w:r>
          </w:p>
        </w:tc>
        <w:tc>
          <w:tcPr>
            <w:tcW w:w="853" w:type="dxa"/>
            <w:vAlign w:val="center"/>
            <w:hideMark/>
          </w:tcPr>
          <w:p w14:paraId="45245049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1D28E779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2</w:t>
            </w:r>
          </w:p>
        </w:tc>
      </w:tr>
      <w:tr w:rsidR="00824CC4" w:rsidRPr="00824CC4" w14:paraId="79725FB6" w14:textId="77777777" w:rsidTr="00AA54E7">
        <w:trPr>
          <w:trHeight w:val="828"/>
        </w:trPr>
        <w:tc>
          <w:tcPr>
            <w:tcW w:w="1372" w:type="dxa"/>
            <w:vAlign w:val="center"/>
            <w:hideMark/>
          </w:tcPr>
          <w:p w14:paraId="7CE44DF9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Jiao 2013</w:t>
            </w:r>
          </w:p>
        </w:tc>
        <w:tc>
          <w:tcPr>
            <w:tcW w:w="2314" w:type="dxa"/>
            <w:vAlign w:val="center"/>
            <w:hideMark/>
          </w:tcPr>
          <w:p w14:paraId="5D9032E1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DM with UAE 30-300mg/24h</w:t>
            </w:r>
          </w:p>
        </w:tc>
        <w:tc>
          <w:tcPr>
            <w:tcW w:w="1842" w:type="dxa"/>
            <w:vAlign w:val="center"/>
            <w:hideMark/>
          </w:tcPr>
          <w:p w14:paraId="7FFCD17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change of proteinuria</w:t>
            </w:r>
          </w:p>
        </w:tc>
        <w:tc>
          <w:tcPr>
            <w:tcW w:w="851" w:type="dxa"/>
            <w:vAlign w:val="center"/>
            <w:hideMark/>
          </w:tcPr>
          <w:p w14:paraId="20FC48A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097CE04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16B5C07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14:paraId="55A47A0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31" w:type="dxa"/>
            <w:vAlign w:val="center"/>
            <w:hideMark/>
          </w:tcPr>
          <w:p w14:paraId="21EB3E1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diabetes nephrology</w:t>
            </w:r>
          </w:p>
        </w:tc>
        <w:tc>
          <w:tcPr>
            <w:tcW w:w="1134" w:type="dxa"/>
            <w:vAlign w:val="center"/>
            <w:hideMark/>
          </w:tcPr>
          <w:p w14:paraId="58BA7589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cilostazol</w:t>
            </w:r>
          </w:p>
        </w:tc>
        <w:tc>
          <w:tcPr>
            <w:tcW w:w="1104" w:type="dxa"/>
            <w:vAlign w:val="center"/>
            <w:hideMark/>
          </w:tcPr>
          <w:p w14:paraId="043BFFE9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0CD539C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8" w:type="dxa"/>
            <w:vAlign w:val="center"/>
            <w:hideMark/>
          </w:tcPr>
          <w:p w14:paraId="6B16609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548507EE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0E8E056A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3</w:t>
            </w:r>
          </w:p>
        </w:tc>
      </w:tr>
      <w:tr w:rsidR="00824CC4" w:rsidRPr="00824CC4" w14:paraId="069413E3" w14:textId="77777777" w:rsidTr="00AA54E7">
        <w:trPr>
          <w:trHeight w:val="1104"/>
        </w:trPr>
        <w:tc>
          <w:tcPr>
            <w:tcW w:w="1372" w:type="dxa"/>
            <w:vAlign w:val="center"/>
            <w:hideMark/>
          </w:tcPr>
          <w:p w14:paraId="33CECFC4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Mozafar</w:t>
            </w:r>
            <w:proofErr w:type="spellEnd"/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2013</w:t>
            </w:r>
          </w:p>
        </w:tc>
        <w:tc>
          <w:tcPr>
            <w:tcW w:w="2314" w:type="dxa"/>
            <w:vAlign w:val="center"/>
            <w:hideMark/>
          </w:tcPr>
          <w:p w14:paraId="2005556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hemodialysis patients for whom AV access may be delayed until arteriovenous access maturation for dialysis</w:t>
            </w:r>
          </w:p>
        </w:tc>
        <w:tc>
          <w:tcPr>
            <w:tcW w:w="1842" w:type="dxa"/>
            <w:vAlign w:val="center"/>
            <w:hideMark/>
          </w:tcPr>
          <w:p w14:paraId="07AA9AB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major bleeding</w:t>
            </w:r>
          </w:p>
        </w:tc>
        <w:tc>
          <w:tcPr>
            <w:tcW w:w="851" w:type="dxa"/>
            <w:vAlign w:val="center"/>
            <w:hideMark/>
          </w:tcPr>
          <w:p w14:paraId="36FE9588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709" w:type="dxa"/>
            <w:vAlign w:val="center"/>
            <w:hideMark/>
          </w:tcPr>
          <w:p w14:paraId="5FBB5294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567" w:type="dxa"/>
            <w:vAlign w:val="center"/>
            <w:hideMark/>
          </w:tcPr>
          <w:p w14:paraId="305BDF3E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4F902171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31" w:type="dxa"/>
            <w:vAlign w:val="center"/>
            <w:hideMark/>
          </w:tcPr>
          <w:p w14:paraId="675FD6AC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ESRD</w:t>
            </w:r>
          </w:p>
        </w:tc>
        <w:tc>
          <w:tcPr>
            <w:tcW w:w="1134" w:type="dxa"/>
            <w:vAlign w:val="center"/>
            <w:hideMark/>
          </w:tcPr>
          <w:p w14:paraId="62BB7087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1104" w:type="dxa"/>
            <w:vAlign w:val="center"/>
            <w:hideMark/>
          </w:tcPr>
          <w:p w14:paraId="4BD8E866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5B586679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no-industry</w:t>
            </w:r>
          </w:p>
        </w:tc>
        <w:tc>
          <w:tcPr>
            <w:tcW w:w="908" w:type="dxa"/>
            <w:vAlign w:val="center"/>
            <w:hideMark/>
          </w:tcPr>
          <w:p w14:paraId="69600C7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24CC2421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4692BE1C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1543647E" w14:textId="77777777" w:rsidTr="00AA54E7">
        <w:trPr>
          <w:trHeight w:val="579"/>
        </w:trPr>
        <w:tc>
          <w:tcPr>
            <w:tcW w:w="1372" w:type="dxa"/>
            <w:vAlign w:val="center"/>
            <w:hideMark/>
          </w:tcPr>
          <w:p w14:paraId="79CBAB86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Tang 2014</w:t>
            </w:r>
          </w:p>
        </w:tc>
        <w:tc>
          <w:tcPr>
            <w:tcW w:w="2314" w:type="dxa"/>
            <w:vAlign w:val="center"/>
            <w:hideMark/>
          </w:tcPr>
          <w:p w14:paraId="15803F8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30 to 85 years of age; DN</w:t>
            </w:r>
          </w:p>
        </w:tc>
        <w:tc>
          <w:tcPr>
            <w:tcW w:w="1842" w:type="dxa"/>
            <w:vAlign w:val="center"/>
            <w:hideMark/>
          </w:tcPr>
          <w:p w14:paraId="7410C2E0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change of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, eGFR and proteinuria</w:t>
            </w:r>
          </w:p>
        </w:tc>
        <w:tc>
          <w:tcPr>
            <w:tcW w:w="851" w:type="dxa"/>
            <w:vAlign w:val="center"/>
            <w:hideMark/>
          </w:tcPr>
          <w:p w14:paraId="4211001D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14:paraId="213E326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14:paraId="6A1F5E8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  <w:hideMark/>
          </w:tcPr>
          <w:p w14:paraId="507AFA40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31" w:type="dxa"/>
            <w:vAlign w:val="center"/>
            <w:hideMark/>
          </w:tcPr>
          <w:p w14:paraId="18DF377A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diabetes nephrology</w:t>
            </w:r>
          </w:p>
        </w:tc>
        <w:tc>
          <w:tcPr>
            <w:tcW w:w="1134" w:type="dxa"/>
            <w:vAlign w:val="center"/>
            <w:hideMark/>
          </w:tcPr>
          <w:p w14:paraId="46600F13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cilostazol</w:t>
            </w:r>
          </w:p>
        </w:tc>
        <w:tc>
          <w:tcPr>
            <w:tcW w:w="1104" w:type="dxa"/>
            <w:vAlign w:val="center"/>
            <w:hideMark/>
          </w:tcPr>
          <w:p w14:paraId="6E2F17E1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1FB3F39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no-industry</w:t>
            </w:r>
          </w:p>
        </w:tc>
        <w:tc>
          <w:tcPr>
            <w:tcW w:w="908" w:type="dxa"/>
            <w:vAlign w:val="center"/>
            <w:hideMark/>
          </w:tcPr>
          <w:p w14:paraId="5595EF5B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740C52AB" w14:textId="77777777" w:rsidR="00824CC4" w:rsidRPr="00824CC4" w:rsidRDefault="00824CC4" w:rsidP="00824CC4">
            <w:pPr>
              <w:jc w:val="center"/>
              <w:rPr>
                <w:rFonts w:ascii="Calibri" w:eastAsia="宋体" w:hAnsi="Calibri" w:cs="Times New Roman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17CC5772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4</w:t>
            </w:r>
          </w:p>
        </w:tc>
      </w:tr>
      <w:tr w:rsidR="00824CC4" w:rsidRPr="00824CC4" w14:paraId="6D3FA607" w14:textId="77777777" w:rsidTr="00AA54E7">
        <w:trPr>
          <w:trHeight w:val="1380"/>
        </w:trPr>
        <w:tc>
          <w:tcPr>
            <w:tcW w:w="1372" w:type="dxa"/>
            <w:vAlign w:val="center"/>
            <w:hideMark/>
          </w:tcPr>
          <w:p w14:paraId="5572F277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lastRenderedPageBreak/>
              <w:t>PEGASUS-TIMI 54 2015</w:t>
            </w:r>
          </w:p>
        </w:tc>
        <w:tc>
          <w:tcPr>
            <w:tcW w:w="2314" w:type="dxa"/>
            <w:vAlign w:val="center"/>
            <w:hideMark/>
          </w:tcPr>
          <w:p w14:paraId="35CC9E04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 a spontaneous MI occurring 1–3 years prior to enrolment and </w:t>
            </w:r>
            <w:proofErr w:type="spellStart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Crcl</w:t>
            </w:r>
            <w:proofErr w:type="spellEnd"/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&lt; 60 mL/min </w:t>
            </w:r>
          </w:p>
        </w:tc>
        <w:tc>
          <w:tcPr>
            <w:tcW w:w="1842" w:type="dxa"/>
            <w:vAlign w:val="center"/>
            <w:hideMark/>
          </w:tcPr>
          <w:p w14:paraId="05D6D0AE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fatal/nonfatal MI; all-cause death; major and minor bleeding; the composite end points of cardiovascular death/MI/stroke</w:t>
            </w:r>
          </w:p>
        </w:tc>
        <w:tc>
          <w:tcPr>
            <w:tcW w:w="851" w:type="dxa"/>
            <w:vAlign w:val="center"/>
            <w:hideMark/>
          </w:tcPr>
          <w:p w14:paraId="1D1052CB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4849</w:t>
            </w:r>
          </w:p>
        </w:tc>
        <w:tc>
          <w:tcPr>
            <w:tcW w:w="709" w:type="dxa"/>
            <w:vAlign w:val="center"/>
            <w:hideMark/>
          </w:tcPr>
          <w:p w14:paraId="1644F656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  <w:hideMark/>
          </w:tcPr>
          <w:p w14:paraId="6EAB0AB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709" w:type="dxa"/>
            <w:vAlign w:val="center"/>
            <w:hideMark/>
          </w:tcPr>
          <w:p w14:paraId="32C8227F" w14:textId="77777777" w:rsidR="00824CC4" w:rsidRPr="00824CC4" w:rsidRDefault="00824CC4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31" w:type="dxa"/>
            <w:vAlign w:val="center"/>
            <w:hideMark/>
          </w:tcPr>
          <w:p w14:paraId="42E02533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eGFR&lt;60ml/min//1.73m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2BFFDECF" w14:textId="77777777" w:rsidR="00824CC4" w:rsidRPr="00824CC4" w:rsidRDefault="00824CC4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ticagrelor</w:t>
            </w:r>
          </w:p>
        </w:tc>
        <w:tc>
          <w:tcPr>
            <w:tcW w:w="1104" w:type="dxa"/>
            <w:vAlign w:val="center"/>
            <w:hideMark/>
          </w:tcPr>
          <w:p w14:paraId="12137768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placebo</w:t>
            </w:r>
          </w:p>
        </w:tc>
        <w:tc>
          <w:tcPr>
            <w:tcW w:w="1248" w:type="dxa"/>
            <w:vAlign w:val="center"/>
            <w:hideMark/>
          </w:tcPr>
          <w:p w14:paraId="0FD879D8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08" w:type="dxa"/>
            <w:vAlign w:val="center"/>
            <w:hideMark/>
          </w:tcPr>
          <w:p w14:paraId="7EC71B9F" w14:textId="77777777" w:rsidR="00824CC4" w:rsidRPr="00824CC4" w:rsidRDefault="00824CC4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  <w:hideMark/>
          </w:tcPr>
          <w:p w14:paraId="377B9FE5" w14:textId="77777777" w:rsidR="00824CC4" w:rsidRPr="00824CC4" w:rsidRDefault="00824CC4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aspirin</w:t>
            </w:r>
          </w:p>
        </w:tc>
        <w:tc>
          <w:tcPr>
            <w:tcW w:w="767" w:type="dxa"/>
            <w:gridSpan w:val="2"/>
            <w:vAlign w:val="center"/>
          </w:tcPr>
          <w:p w14:paraId="1CB1D4DB" w14:textId="77777777" w:rsidR="00824CC4" w:rsidRPr="00824CC4" w:rsidRDefault="00824CC4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 w:rsidRPr="00824CC4">
              <w:rPr>
                <w:rFonts w:ascii="Arial" w:eastAsia="DengXian" w:hAnsi="Arial" w:cs="Arial"/>
                <w:color w:val="000000"/>
                <w:sz w:val="18"/>
              </w:rPr>
              <w:t>5</w:t>
            </w:r>
          </w:p>
        </w:tc>
      </w:tr>
      <w:tr w:rsidR="00610CD1" w:rsidRPr="00824CC4" w14:paraId="238F85A6" w14:textId="77777777" w:rsidTr="00AA54E7">
        <w:trPr>
          <w:trHeight w:val="1380"/>
        </w:trPr>
        <w:tc>
          <w:tcPr>
            <w:tcW w:w="1372" w:type="dxa"/>
            <w:vAlign w:val="center"/>
          </w:tcPr>
          <w:p w14:paraId="6968D507" w14:textId="26E877D4" w:rsidR="00610CD1" w:rsidRPr="00824CC4" w:rsidRDefault="00610CD1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10CD1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AASER Study</w:t>
            </w:r>
          </w:p>
        </w:tc>
        <w:tc>
          <w:tcPr>
            <w:tcW w:w="2314" w:type="dxa"/>
            <w:vAlign w:val="center"/>
          </w:tcPr>
          <w:p w14:paraId="75C16D25" w14:textId="4F63C9CA" w:rsidR="00610CD1" w:rsidRPr="00824CC4" w:rsidRDefault="000911CA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0911CA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patients without previous </w:t>
            </w:r>
            <w:r w:rsidR="004D6F58" w:rsidRPr="004D6F5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cardiovascular events</w:t>
            </w:r>
            <w:r w:rsidR="004D6F5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0911CA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with stage 3 or 4 CKD</w:t>
            </w:r>
          </w:p>
        </w:tc>
        <w:tc>
          <w:tcPr>
            <w:tcW w:w="1842" w:type="dxa"/>
            <w:vAlign w:val="center"/>
          </w:tcPr>
          <w:p w14:paraId="18850B19" w14:textId="4EC50C41" w:rsidR="00610CD1" w:rsidRPr="00824CC4" w:rsidRDefault="00B77C2D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B77C2D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cardiovascular death, acute coronary syndrome</w:t>
            </w:r>
            <w:r w:rsidR="005F1A21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B77C2D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heart failure</w:t>
            </w:r>
            <w:r w:rsidR="005F1A21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; renal outcome</w:t>
            </w:r>
            <w:r w:rsidR="00201B3A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; bleeding</w:t>
            </w:r>
          </w:p>
        </w:tc>
        <w:tc>
          <w:tcPr>
            <w:tcW w:w="851" w:type="dxa"/>
            <w:vAlign w:val="center"/>
          </w:tcPr>
          <w:p w14:paraId="43076BDD" w14:textId="6EEA7D77" w:rsidR="00610CD1" w:rsidRPr="00824CC4" w:rsidRDefault="005F1A21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14:paraId="0EC1D674" w14:textId="6EF54704" w:rsidR="00610CD1" w:rsidRPr="00824CC4" w:rsidRDefault="00B94BA6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14:paraId="3D4CD976" w14:textId="7B5F3F6C" w:rsidR="00610CD1" w:rsidRPr="00824CC4" w:rsidRDefault="004C207A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83F5BFC" w14:textId="76A1AB06" w:rsidR="00610CD1" w:rsidRPr="00824CC4" w:rsidRDefault="004C207A" w:rsidP="00824CC4">
            <w:pPr>
              <w:widowControl/>
              <w:adjustRightInd w:val="0"/>
              <w:snapToGrid w:val="0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31" w:type="dxa"/>
            <w:vAlign w:val="center"/>
          </w:tcPr>
          <w:p w14:paraId="41B89D67" w14:textId="3A4B5DDB" w:rsidR="00610CD1" w:rsidRPr="00824CC4" w:rsidRDefault="007C400C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eGFR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15-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60ml/min//1.73m</w:t>
            </w:r>
            <w:r w:rsidRPr="00824CC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27B3D80" w14:textId="3947DAE8" w:rsidR="00610CD1" w:rsidRPr="00824CC4" w:rsidRDefault="007C400C" w:rsidP="00824CC4">
            <w:pPr>
              <w:widowControl/>
              <w:adjustRightInd w:val="0"/>
              <w:snapToGrid w:val="0"/>
              <w:ind w:rightChars="-1" w:right="-2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spirin</w:t>
            </w:r>
          </w:p>
        </w:tc>
        <w:tc>
          <w:tcPr>
            <w:tcW w:w="1104" w:type="dxa"/>
            <w:vAlign w:val="center"/>
          </w:tcPr>
          <w:p w14:paraId="2CF34379" w14:textId="5D1FA1A2" w:rsidR="00610CD1" w:rsidRPr="00824CC4" w:rsidRDefault="007C400C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Standard treatment</w:t>
            </w:r>
          </w:p>
        </w:tc>
        <w:tc>
          <w:tcPr>
            <w:tcW w:w="1248" w:type="dxa"/>
            <w:vAlign w:val="center"/>
          </w:tcPr>
          <w:p w14:paraId="0B7048FC" w14:textId="782A6FE6" w:rsidR="00610CD1" w:rsidRPr="00824CC4" w:rsidRDefault="007C400C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one</w:t>
            </w:r>
          </w:p>
        </w:tc>
        <w:tc>
          <w:tcPr>
            <w:tcW w:w="908" w:type="dxa"/>
            <w:vAlign w:val="center"/>
          </w:tcPr>
          <w:p w14:paraId="6DAC9EB8" w14:textId="0B5A7A97" w:rsidR="00610CD1" w:rsidRPr="00824CC4" w:rsidRDefault="007C400C" w:rsidP="00824CC4">
            <w:pPr>
              <w:widowControl/>
              <w:adjustRightInd w:val="0"/>
              <w:snapToGrid w:val="0"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Full-text</w:t>
            </w:r>
          </w:p>
        </w:tc>
        <w:tc>
          <w:tcPr>
            <w:tcW w:w="853" w:type="dxa"/>
            <w:vAlign w:val="center"/>
          </w:tcPr>
          <w:p w14:paraId="1251FB5F" w14:textId="291DADC0" w:rsidR="00610CD1" w:rsidRPr="00824CC4" w:rsidRDefault="007C400C" w:rsidP="00824CC4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767" w:type="dxa"/>
            <w:gridSpan w:val="2"/>
            <w:vAlign w:val="center"/>
          </w:tcPr>
          <w:p w14:paraId="6E252F2B" w14:textId="729F6FBF" w:rsidR="00610CD1" w:rsidRPr="00824CC4" w:rsidRDefault="007C400C" w:rsidP="00824CC4">
            <w:pPr>
              <w:jc w:val="center"/>
              <w:rPr>
                <w:rFonts w:ascii="Arial" w:eastAsia="DengXian" w:hAnsi="Arial" w:cs="Arial"/>
                <w:color w:val="000000"/>
                <w:sz w:val="18"/>
              </w:rPr>
            </w:pPr>
            <w:r>
              <w:rPr>
                <w:rFonts w:ascii="Arial" w:eastAsia="DengXian" w:hAnsi="Arial" w:cs="Arial" w:hint="eastAsia"/>
                <w:color w:val="000000"/>
                <w:sz w:val="18"/>
              </w:rPr>
              <w:t>3</w:t>
            </w:r>
          </w:p>
        </w:tc>
      </w:tr>
      <w:bookmarkEnd w:id="1"/>
    </w:tbl>
    <w:p w14:paraId="3DD15DE5" w14:textId="77777777" w:rsidR="00B50106" w:rsidRDefault="00B50106"/>
    <w:p w14:paraId="240BDDB4" w14:textId="77777777" w:rsidR="00824CC4" w:rsidRPr="005A08A0" w:rsidRDefault="00824CC4" w:rsidP="00824CC4">
      <w:pPr>
        <w:spacing w:line="360" w:lineRule="auto"/>
        <w:jc w:val="left"/>
        <w:rPr>
          <w:rFonts w:ascii="Arial" w:hAnsi="Arial" w:cs="Arial"/>
          <w:szCs w:val="21"/>
        </w:rPr>
      </w:pPr>
      <w:r w:rsidRPr="005A08A0">
        <w:rPr>
          <w:rFonts w:ascii="Arial" w:hAnsi="Arial" w:cs="Arial"/>
          <w:szCs w:val="21"/>
        </w:rPr>
        <w:t xml:space="preserve">ACEI = angiotensin converting enzyme inhibitors; ACS = cute coronary syndrome; </w:t>
      </w:r>
      <w:r w:rsidRPr="005A08A0">
        <w:rPr>
          <w:rFonts w:ascii="Arial" w:hAnsi="Arial" w:cs="Arial"/>
        </w:rPr>
        <w:t>ACR = albumin creatinine ratio</w:t>
      </w:r>
      <w:r w:rsidRPr="005A08A0">
        <w:rPr>
          <w:rFonts w:ascii="Arial" w:hAnsi="Arial" w:cs="Arial"/>
          <w:szCs w:val="21"/>
        </w:rPr>
        <w:t xml:space="preserve">; AV = arteriovenous; AVF = arteriovenous fistula; CKD = chronic kidney disease; </w:t>
      </w:r>
      <w:proofErr w:type="spellStart"/>
      <w:r w:rsidRPr="005A08A0">
        <w:rPr>
          <w:rFonts w:ascii="Arial" w:hAnsi="Arial" w:cs="Arial"/>
          <w:szCs w:val="21"/>
        </w:rPr>
        <w:t>CrCl</w:t>
      </w:r>
      <w:proofErr w:type="spellEnd"/>
      <w:r w:rsidRPr="005A08A0">
        <w:rPr>
          <w:rFonts w:ascii="Arial" w:hAnsi="Arial" w:cs="Arial"/>
          <w:szCs w:val="21"/>
        </w:rPr>
        <w:t xml:space="preserve"> =</w:t>
      </w:r>
      <w:r w:rsidRPr="005A08A0">
        <w:rPr>
          <w:rFonts w:ascii="Arial" w:hAnsi="Arial" w:cs="Arial"/>
          <w:color w:val="333333"/>
          <w:szCs w:val="21"/>
        </w:rPr>
        <w:t xml:space="preserve"> </w:t>
      </w:r>
      <w:r w:rsidRPr="005A08A0">
        <w:rPr>
          <w:rFonts w:ascii="Arial" w:hAnsi="Arial" w:cs="Arial"/>
          <w:szCs w:val="21"/>
        </w:rPr>
        <w:t>creatinine clearance; DBP =</w:t>
      </w:r>
      <w:r w:rsidRPr="005A08A0">
        <w:rPr>
          <w:rFonts w:ascii="Arial" w:hAnsi="Arial" w:cs="Arial"/>
        </w:rPr>
        <w:t xml:space="preserve"> </w:t>
      </w:r>
      <w:r w:rsidRPr="005A08A0">
        <w:rPr>
          <w:rFonts w:ascii="Arial" w:hAnsi="Arial" w:cs="Arial"/>
          <w:szCs w:val="21"/>
        </w:rPr>
        <w:t xml:space="preserve">Diastolic blood pressure; DM = diabetes mellitus; DN = diabetes nephropathy; </w:t>
      </w:r>
      <w:bookmarkStart w:id="4" w:name="OLE_LINK469"/>
      <w:r w:rsidRPr="005A08A0">
        <w:rPr>
          <w:rFonts w:ascii="Arial" w:hAnsi="Arial" w:cs="Arial"/>
          <w:szCs w:val="21"/>
        </w:rPr>
        <w:t>eGFR =</w:t>
      </w:r>
      <w:r w:rsidRPr="005A08A0">
        <w:rPr>
          <w:rFonts w:ascii="Arial" w:hAnsi="Arial" w:cs="Arial"/>
        </w:rPr>
        <w:t xml:space="preserve"> </w:t>
      </w:r>
      <w:r w:rsidRPr="005A08A0">
        <w:rPr>
          <w:rFonts w:ascii="Arial" w:hAnsi="Arial" w:cs="Arial"/>
          <w:szCs w:val="21"/>
        </w:rPr>
        <w:t>estimated glomerular filtration rate</w:t>
      </w:r>
      <w:bookmarkEnd w:id="4"/>
      <w:r w:rsidRPr="005A08A0">
        <w:rPr>
          <w:rFonts w:ascii="Arial" w:hAnsi="Arial" w:cs="Arial"/>
          <w:szCs w:val="21"/>
        </w:rPr>
        <w:t>;</w:t>
      </w:r>
      <w:bookmarkStart w:id="5" w:name="OLE_LINK447"/>
      <w:bookmarkStart w:id="6" w:name="OLE_LINK448"/>
      <w:r w:rsidRPr="005A08A0">
        <w:rPr>
          <w:rFonts w:ascii="Arial" w:hAnsi="Arial" w:cs="Arial"/>
          <w:szCs w:val="21"/>
        </w:rPr>
        <w:t xml:space="preserve"> ESRD = end stage renal disease</w:t>
      </w:r>
      <w:bookmarkEnd w:id="5"/>
      <w:bookmarkEnd w:id="6"/>
      <w:r w:rsidRPr="005A08A0">
        <w:rPr>
          <w:rFonts w:ascii="Arial" w:hAnsi="Arial" w:cs="Arial"/>
          <w:szCs w:val="21"/>
        </w:rPr>
        <w:t xml:space="preserve">; </w:t>
      </w:r>
      <w:proofErr w:type="spellStart"/>
      <w:r w:rsidRPr="005A08A0">
        <w:rPr>
          <w:rFonts w:ascii="Arial" w:hAnsi="Arial" w:cs="Arial"/>
          <w:szCs w:val="21"/>
        </w:rPr>
        <w:t>IgAN</w:t>
      </w:r>
      <w:proofErr w:type="spellEnd"/>
      <w:r w:rsidRPr="005A08A0">
        <w:rPr>
          <w:rFonts w:ascii="Arial" w:hAnsi="Arial" w:cs="Arial"/>
          <w:szCs w:val="21"/>
        </w:rPr>
        <w:t xml:space="preserve"> = IgA nephropathy; PTFE = polytetrafluoroethylene; MI = myocardial infarction; MPGN =</w:t>
      </w:r>
      <w:r w:rsidRPr="005A08A0">
        <w:rPr>
          <w:rFonts w:ascii="Arial" w:hAnsi="Arial" w:cs="Arial"/>
        </w:rPr>
        <w:t xml:space="preserve"> </w:t>
      </w:r>
      <w:r w:rsidRPr="005A08A0">
        <w:rPr>
          <w:rFonts w:ascii="Arial" w:hAnsi="Arial" w:cs="Arial"/>
          <w:szCs w:val="21"/>
        </w:rPr>
        <w:t xml:space="preserve">Mesangial proliferative glomerulonephritis; </w:t>
      </w:r>
      <w:bookmarkStart w:id="7" w:name="OLE_LINK125"/>
      <w:bookmarkStart w:id="8" w:name="OLE_LINK126"/>
      <w:bookmarkStart w:id="9" w:name="OLE_LINK470"/>
      <w:r w:rsidRPr="005A08A0">
        <w:rPr>
          <w:rFonts w:ascii="Arial" w:hAnsi="Arial" w:cs="Arial"/>
          <w:szCs w:val="21"/>
        </w:rPr>
        <w:t xml:space="preserve">NA = </w:t>
      </w:r>
      <w:proofErr w:type="spellStart"/>
      <w:r w:rsidRPr="005A08A0">
        <w:rPr>
          <w:rFonts w:ascii="Arial" w:hAnsi="Arial" w:cs="Arial"/>
          <w:szCs w:val="21"/>
        </w:rPr>
        <w:t>no</w:t>
      </w:r>
      <w:proofErr w:type="spellEnd"/>
      <w:r w:rsidRPr="005A08A0">
        <w:rPr>
          <w:rFonts w:ascii="Arial" w:hAnsi="Arial" w:cs="Arial"/>
          <w:szCs w:val="21"/>
        </w:rPr>
        <w:t xml:space="preserve"> available</w:t>
      </w:r>
      <w:bookmarkEnd w:id="7"/>
      <w:bookmarkEnd w:id="8"/>
      <w:bookmarkEnd w:id="9"/>
      <w:r w:rsidRPr="005A08A0">
        <w:rPr>
          <w:rFonts w:ascii="Arial" w:hAnsi="Arial" w:cs="Arial"/>
          <w:szCs w:val="21"/>
        </w:rPr>
        <w:t xml:space="preserve">; </w:t>
      </w:r>
      <w:proofErr w:type="spellStart"/>
      <w:r w:rsidRPr="005A08A0">
        <w:rPr>
          <w:rFonts w:ascii="Arial" w:hAnsi="Arial" w:cs="Arial"/>
          <w:szCs w:val="21"/>
        </w:rPr>
        <w:t>Scr</w:t>
      </w:r>
      <w:proofErr w:type="spellEnd"/>
      <w:r w:rsidRPr="005A08A0">
        <w:rPr>
          <w:rFonts w:ascii="Arial" w:hAnsi="Arial" w:cs="Arial"/>
          <w:szCs w:val="21"/>
        </w:rPr>
        <w:t xml:space="preserve"> = serum creatinine; T2DM = type 2 diabetes mellitus; UAE =</w:t>
      </w:r>
      <w:r w:rsidRPr="005A08A0">
        <w:rPr>
          <w:rFonts w:ascii="Arial" w:hAnsi="Arial" w:cs="Arial"/>
        </w:rPr>
        <w:t xml:space="preserve"> </w:t>
      </w:r>
      <w:r w:rsidRPr="005A08A0">
        <w:rPr>
          <w:rFonts w:ascii="Arial" w:hAnsi="Arial" w:cs="Arial"/>
          <w:szCs w:val="21"/>
        </w:rPr>
        <w:t>urinary albumin excretion.</w:t>
      </w:r>
    </w:p>
    <w:p w14:paraId="76450F1D" w14:textId="77777777" w:rsidR="00824CC4" w:rsidRPr="00824CC4" w:rsidRDefault="00824CC4"/>
    <w:sectPr w:rsidR="00824CC4" w:rsidRPr="00824CC4" w:rsidSect="00824CC4">
      <w:pgSz w:w="16840" w:h="1190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C4"/>
    <w:rsid w:val="0007124B"/>
    <w:rsid w:val="000911CA"/>
    <w:rsid w:val="000B523B"/>
    <w:rsid w:val="00201B3A"/>
    <w:rsid w:val="003134D2"/>
    <w:rsid w:val="00322631"/>
    <w:rsid w:val="003B1986"/>
    <w:rsid w:val="003C70A0"/>
    <w:rsid w:val="00407119"/>
    <w:rsid w:val="00435227"/>
    <w:rsid w:val="004C207A"/>
    <w:rsid w:val="004D6F58"/>
    <w:rsid w:val="004F15E7"/>
    <w:rsid w:val="005F1A21"/>
    <w:rsid w:val="00610CD1"/>
    <w:rsid w:val="00712C4B"/>
    <w:rsid w:val="007C400C"/>
    <w:rsid w:val="007F4627"/>
    <w:rsid w:val="00824CC4"/>
    <w:rsid w:val="008C04BA"/>
    <w:rsid w:val="009405C1"/>
    <w:rsid w:val="009E66A9"/>
    <w:rsid w:val="009F2094"/>
    <w:rsid w:val="00A4775F"/>
    <w:rsid w:val="00AA54E7"/>
    <w:rsid w:val="00B03209"/>
    <w:rsid w:val="00B50106"/>
    <w:rsid w:val="00B76993"/>
    <w:rsid w:val="00B77C2D"/>
    <w:rsid w:val="00B94BA6"/>
    <w:rsid w:val="00BB1E8B"/>
    <w:rsid w:val="00BB7980"/>
    <w:rsid w:val="00C03442"/>
    <w:rsid w:val="00C44254"/>
    <w:rsid w:val="00C65C66"/>
    <w:rsid w:val="00CE7E54"/>
    <w:rsid w:val="00D44DEC"/>
    <w:rsid w:val="00DC11FB"/>
    <w:rsid w:val="00E0426F"/>
    <w:rsid w:val="00E224A1"/>
    <w:rsid w:val="00EC2446"/>
    <w:rsid w:val="00F745FA"/>
    <w:rsid w:val="00FB701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EE145"/>
  <w15:chartTrackingRefBased/>
  <w15:docId w15:val="{11820349-FB82-D445-81FC-8E2D22A7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824CC4"/>
  </w:style>
  <w:style w:type="paragraph" w:styleId="a3">
    <w:name w:val="Normal (Web)"/>
    <w:basedOn w:val="a"/>
    <w:uiPriority w:val="99"/>
    <w:semiHidden/>
    <w:unhideWhenUsed/>
    <w:rsid w:val="00824C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824CC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4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4CC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4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4C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1722</Words>
  <Characters>9817</Characters>
  <Application>Microsoft Office Word</Application>
  <DocSecurity>0</DocSecurity>
  <Lines>81</Lines>
  <Paragraphs>23</Paragraphs>
  <ScaleCrop>false</ScaleCrop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3</cp:revision>
  <dcterms:created xsi:type="dcterms:W3CDTF">2019-07-25T01:11:00Z</dcterms:created>
  <dcterms:modified xsi:type="dcterms:W3CDTF">2019-07-25T01:12:00Z</dcterms:modified>
</cp:coreProperties>
</file>