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B84" w:rsidRPr="00AC0C6C" w:rsidRDefault="00382B84" w:rsidP="00382B84">
      <w:pPr>
        <w:spacing w:line="480" w:lineRule="auto"/>
        <w:jc w:val="both"/>
        <w:rPr>
          <w:b/>
          <w:lang w:val="en-CA"/>
        </w:rPr>
      </w:pPr>
      <w:r w:rsidRPr="00AC0C6C">
        <w:rPr>
          <w:b/>
          <w:lang w:val="en-CA"/>
        </w:rPr>
        <w:t>SUPPLEMENTAL MATERIAL PDF</w:t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CA"/>
        </w:rPr>
      </w:pPr>
      <w:r w:rsidRPr="00D56349">
        <w:rPr>
          <w:lang w:val="en-CA"/>
        </w:rPr>
        <w:t xml:space="preserve">Table </w:t>
      </w:r>
      <w:r>
        <w:rPr>
          <w:lang w:val="en-CA"/>
        </w:rPr>
        <w:t>S</w:t>
      </w:r>
      <w:r w:rsidRPr="00D56349">
        <w:rPr>
          <w:lang w:val="en-CA"/>
        </w:rPr>
        <w:t>1</w:t>
      </w:r>
      <w:r>
        <w:rPr>
          <w:lang w:val="en-CA"/>
        </w:rPr>
        <w:t>. Baseline characteristics excluding patients with stable kidney function</w:t>
      </w:r>
    </w:p>
    <w:tbl>
      <w:tblPr>
        <w:tblW w:w="7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2024"/>
      </w:tblGrid>
      <w:tr w:rsidR="00382B84" w:rsidRPr="00C5115F" w:rsidTr="00652DBD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n</w:t>
            </w:r>
            <w:r w:rsidRPr="00C5115F">
              <w:rPr>
                <w:rFonts w:eastAsia="Times New Roman"/>
                <w:bCs/>
                <w:color w:val="000000"/>
              </w:rPr>
              <w:t>=113</w:t>
            </w:r>
          </w:p>
        </w:tc>
      </w:tr>
      <w:tr w:rsidR="00382B84" w:rsidRPr="00C5115F" w:rsidTr="00652DB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 xml:space="preserve">Age </w:t>
            </w:r>
            <w:r>
              <w:rPr>
                <w:rFonts w:eastAsia="Times New Roman"/>
                <w:bCs/>
                <w:color w:val="000000"/>
              </w:rPr>
              <w:t>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68 (60-75)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>Sex (</w:t>
            </w:r>
            <w:r>
              <w:rPr>
                <w:rFonts w:eastAsia="Times New Roman"/>
                <w:bCs/>
                <w:color w:val="000000"/>
              </w:rPr>
              <w:t>female</w:t>
            </w:r>
            <w:r w:rsidRPr="00C5115F">
              <w:rPr>
                <w:rFonts w:eastAsia="Times New Roman"/>
                <w:bCs/>
                <w:color w:val="000000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54 (48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 xml:space="preserve">BMI </w:t>
            </w:r>
            <w:r>
              <w:rPr>
                <w:rFonts w:eastAsia="Times New Roman"/>
                <w:bCs/>
                <w:color w:val="000000"/>
              </w:rPr>
              <w:t>(kg/m</w:t>
            </w:r>
            <w:r w:rsidRPr="00275529">
              <w:rPr>
                <w:rFonts w:eastAsia="Times New Roman"/>
                <w:color w:val="000000"/>
                <w:vertAlign w:val="superscript"/>
              </w:rPr>
              <w:t>2</w:t>
            </w:r>
            <w:r>
              <w:rPr>
                <w:rFonts w:eastAsia="Times New Roman"/>
                <w:bCs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30 (26-34)</w:t>
            </w:r>
          </w:p>
        </w:tc>
      </w:tr>
      <w:tr w:rsidR="00382B84" w:rsidRPr="00C5115F" w:rsidTr="00652DBD">
        <w:trPr>
          <w:trHeight w:val="400"/>
        </w:trPr>
        <w:tc>
          <w:tcPr>
            <w:tcW w:w="5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eGFR (</w:t>
            </w:r>
            <w:r w:rsidRPr="00C5115F">
              <w:rPr>
                <w:rFonts w:eastAsia="Times New Roman"/>
                <w:bCs/>
                <w:color w:val="000000"/>
              </w:rPr>
              <w:t>mL/min/1.73 m</w:t>
            </w:r>
            <w:r w:rsidRPr="00275529">
              <w:rPr>
                <w:rFonts w:eastAsia="Times New Roman"/>
                <w:color w:val="000000"/>
                <w:vertAlign w:val="superscript"/>
              </w:rPr>
              <w:t>2</w:t>
            </w:r>
            <w:r w:rsidRPr="00275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 xml:space="preserve">    First eGFR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17 (15-21)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   eGFR a</w:t>
            </w:r>
            <w:r w:rsidRPr="00C5115F">
              <w:rPr>
                <w:rFonts w:eastAsia="Times New Roman"/>
                <w:color w:val="000000"/>
              </w:rPr>
              <w:t>t AVF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12 (11-14)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 xml:space="preserve">Race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97 (86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African American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 (5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 (8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 xml:space="preserve">Co-morbidities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109 (97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67 (60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 xml:space="preserve">Cardiac and vascular diseases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49 (43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Chronic obstructive pulmonary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 (18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Heart 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 (5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Active s</w:t>
            </w:r>
            <w:r w:rsidRPr="00C5115F">
              <w:rPr>
                <w:rFonts w:eastAsia="Times New Roman"/>
                <w:bCs/>
                <w:color w:val="000000"/>
              </w:rPr>
              <w:t xml:space="preserve">moking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 (17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240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Primary</w:t>
            </w:r>
            <w:r w:rsidRPr="00C5115F">
              <w:rPr>
                <w:rFonts w:eastAsia="Times New Roman"/>
                <w:bCs/>
                <w:color w:val="000000"/>
              </w:rPr>
              <w:t xml:space="preserve"> kidney disease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Benign nephrosclerosis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41 (37)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lastRenderedPageBreak/>
              <w:t>Diabetic nephropathy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40 (36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Glomerulonephritis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 (19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4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ind w:firstLine="720"/>
              <w:rPr>
                <w:rFonts w:eastAsia="Times New Roman"/>
                <w:color w:val="000000"/>
              </w:rPr>
            </w:pPr>
            <w:r w:rsidRPr="00C5115F">
              <w:rPr>
                <w:rFonts w:eastAsia="Times New Roman"/>
                <w:color w:val="000000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 (9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 xml:space="preserve">Furosemide </w:t>
            </w:r>
            <w:r>
              <w:rPr>
                <w:rFonts w:eastAsia="Times New Roman"/>
                <w:bCs/>
                <w:color w:val="000000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82 (73)</w:t>
            </w:r>
          </w:p>
        </w:tc>
      </w:tr>
      <w:tr w:rsidR="00382B84" w:rsidRPr="00C5115F" w:rsidTr="00652DBD">
        <w:trPr>
          <w:trHeight w:val="2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C5115F" w:rsidRDefault="00382B84" w:rsidP="00652DBD">
            <w:pPr>
              <w:spacing w:line="480" w:lineRule="auto"/>
              <w:rPr>
                <w:rFonts w:eastAsia="Times New Roman"/>
                <w:bCs/>
                <w:color w:val="000000"/>
              </w:rPr>
            </w:pPr>
            <w:r w:rsidRPr="00C5115F">
              <w:rPr>
                <w:rFonts w:eastAsia="Times New Roman"/>
                <w:bCs/>
                <w:color w:val="000000"/>
              </w:rPr>
              <w:t xml:space="preserve">  Patients with ≥ 1 hospitalisation </w:t>
            </w:r>
            <w:r>
              <w:rPr>
                <w:rFonts w:eastAsia="Times New Roman"/>
                <w:bCs/>
                <w:color w:val="000000"/>
              </w:rPr>
              <w:t>pre-AVF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C5115F" w:rsidRDefault="00382B84" w:rsidP="00652DBD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46 (41</w:t>
            </w:r>
            <w:r w:rsidRPr="00C5115F">
              <w:rPr>
                <w:rFonts w:eastAsia="Times New Roman"/>
                <w:color w:val="000000"/>
              </w:rPr>
              <w:t>)</w:t>
            </w:r>
          </w:p>
        </w:tc>
      </w:tr>
    </w:tbl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t xml:space="preserve"> *BMI: Body mass index, n=80, eGFR: estimated glomerular filtration rate</w:t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t>Results are presented as number (proportion) or median (interquartile range)</w:t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br w:type="page"/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  <w:r w:rsidRPr="00CB7280">
        <w:rPr>
          <w:lang w:val="en-CA"/>
        </w:rPr>
        <w:t xml:space="preserve">Table </w:t>
      </w:r>
      <w:r>
        <w:rPr>
          <w:lang w:val="en-CA"/>
        </w:rPr>
        <w:t>S</w:t>
      </w:r>
      <w:r w:rsidRPr="00CB7280">
        <w:rPr>
          <w:lang w:val="en-CA"/>
        </w:rPr>
        <w:t>2. Estimated glomerular filtration rate at end of follow-up</w:t>
      </w:r>
      <w:r>
        <w:rPr>
          <w:lang w:val="en-CA"/>
        </w:rPr>
        <w:t xml:space="preserve"> excluding patients with stable kidney function</w:t>
      </w:r>
    </w:p>
    <w:tbl>
      <w:tblPr>
        <w:tblW w:w="68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6"/>
        <w:gridCol w:w="1316"/>
        <w:gridCol w:w="1316"/>
        <w:gridCol w:w="1396"/>
      </w:tblGrid>
      <w:tr w:rsidR="00382B84" w:rsidTr="00652DBD">
        <w:trPr>
          <w:trHeight w:val="340"/>
        </w:trPr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094ACE" w:rsidRDefault="00382B84" w:rsidP="00652DBD">
            <w:pPr>
              <w:spacing w:after="240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094ACE">
              <w:rPr>
                <w:rFonts w:eastAsia="Times New Roman"/>
                <w:b/>
                <w:bCs/>
                <w:color w:val="000000"/>
                <w:lang w:val="en-US"/>
              </w:rPr>
              <w:t>End of follow-up causes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n (%) 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Median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IQR</w:t>
            </w:r>
          </w:p>
        </w:tc>
      </w:tr>
      <w:tr w:rsidR="00382B84" w:rsidTr="00652DBD">
        <w:trPr>
          <w:trHeight w:val="64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Hemodialysis initiation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78 (69)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8.2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6.9-9.9</w:t>
            </w:r>
          </w:p>
        </w:tc>
      </w:tr>
      <w:tr w:rsidR="00382B84" w:rsidTr="00652DBD">
        <w:trPr>
          <w:trHeight w:val="32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Default="00382B84" w:rsidP="00652DBD">
            <w:pPr>
              <w:spacing w:after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Death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 (4)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6.5-17.2</w:t>
            </w:r>
          </w:p>
        </w:tc>
      </w:tr>
      <w:tr w:rsidR="00382B84" w:rsidTr="00652DBD">
        <w:trPr>
          <w:trHeight w:val="32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Default="00382B84" w:rsidP="00652DBD">
            <w:pPr>
              <w:spacing w:after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Transplantation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 (5)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9.3-13.5</w:t>
            </w:r>
          </w:p>
        </w:tc>
      </w:tr>
      <w:tr w:rsidR="00382B84" w:rsidTr="00652DBD">
        <w:trPr>
          <w:trHeight w:val="320"/>
        </w:trPr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Default="00382B84" w:rsidP="00652DBD">
            <w:pPr>
              <w:spacing w:after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End of study period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 (22)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12.4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2B84" w:rsidRDefault="00382B84" w:rsidP="00652DBD">
            <w:pPr>
              <w:spacing w:after="24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8.8-15.0</w:t>
            </w:r>
          </w:p>
        </w:tc>
      </w:tr>
    </w:tbl>
    <w:p w:rsidR="00382B84" w:rsidRPr="00CB7280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br w:type="page"/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t xml:space="preserve">Table S3. </w:t>
      </w:r>
      <w:r w:rsidRPr="00DB0A70">
        <w:rPr>
          <w:bCs/>
          <w:lang w:val="en-CA"/>
        </w:rPr>
        <w:t xml:space="preserve">Determinants of the eGFR </w:t>
      </w:r>
      <w:r>
        <w:rPr>
          <w:bCs/>
          <w:lang w:val="en-CA"/>
        </w:rPr>
        <w:t>excluding patients with stable kidney disease</w:t>
      </w:r>
      <w:r w:rsidRPr="00DB0A70">
        <w:rPr>
          <w:bCs/>
          <w:lang w:val="en-CA"/>
        </w:rPr>
        <w:t>- Adjusted mixed effect linear regression</w:t>
      </w:r>
    </w:p>
    <w:tbl>
      <w:tblPr>
        <w:tblW w:w="829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9"/>
        <w:gridCol w:w="2616"/>
        <w:gridCol w:w="1076"/>
      </w:tblGrid>
      <w:tr w:rsidR="00382B84" w:rsidRPr="001245AF" w:rsidTr="00652DBD">
        <w:trPr>
          <w:trHeight w:val="300"/>
        </w:trPr>
        <w:tc>
          <w:tcPr>
            <w:tcW w:w="4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fr-CA"/>
              </w:rPr>
            </w:pPr>
            <w:r w:rsidRPr="001245AF">
              <w:rPr>
                <w:rFonts w:eastAsia="Times New Roman"/>
                <w:b/>
                <w:bCs/>
                <w:color w:val="000000"/>
                <w:lang w:val="fr-CA"/>
              </w:rPr>
              <w:t>Covariates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fr-CA"/>
              </w:rPr>
            </w:pPr>
            <w:r w:rsidRPr="001245AF">
              <w:rPr>
                <w:rFonts w:eastAsia="Times New Roman"/>
                <w:b/>
                <w:bCs/>
                <w:color w:val="000000"/>
                <w:lang w:val="fr-CA"/>
              </w:rPr>
              <w:t>β Estimate (95% CI)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fr-CA"/>
              </w:rPr>
            </w:pPr>
            <w:r w:rsidRPr="001245AF">
              <w:rPr>
                <w:rFonts w:eastAsia="Times New Roman"/>
                <w:b/>
                <w:bCs/>
                <w:color w:val="000000"/>
                <w:lang w:val="fr-CA"/>
              </w:rPr>
              <w:t>P-value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Follow-up time (months)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-0.65 (-0.86, -0.44)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&lt;</w:t>
            </w:r>
            <w:r>
              <w:rPr>
                <w:rFonts w:eastAsia="Times New Roman"/>
                <w:color w:val="000000"/>
                <w:lang w:val="fr-CA"/>
              </w:rPr>
              <w:t>0</w:t>
            </w:r>
            <w:r w:rsidRPr="001245AF">
              <w:rPr>
                <w:rFonts w:eastAsia="Times New Roman"/>
                <w:color w:val="000000"/>
                <w:lang w:val="fr-CA"/>
              </w:rPr>
              <w:t>.0001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>Period after AVF (ref. before)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0.86 (0.49, 1.22)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&lt;</w:t>
            </w:r>
            <w:r>
              <w:rPr>
                <w:rFonts w:eastAsia="Times New Roman"/>
                <w:color w:val="000000"/>
                <w:lang w:val="fr-CA"/>
              </w:rPr>
              <w:t>0</w:t>
            </w:r>
            <w:r w:rsidRPr="001245AF">
              <w:rPr>
                <w:rFonts w:eastAsia="Times New Roman"/>
                <w:color w:val="000000"/>
                <w:lang w:val="fr-CA"/>
              </w:rPr>
              <w:t>.0001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 xml:space="preserve">Follow-up time * period after AVF 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0.17 (0.13, 0.22)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&lt;</w:t>
            </w:r>
            <w:r>
              <w:rPr>
                <w:rFonts w:eastAsia="Times New Roman"/>
                <w:color w:val="000000"/>
                <w:lang w:val="fr-CA"/>
              </w:rPr>
              <w:t>0</w:t>
            </w:r>
            <w:r w:rsidRPr="001245AF">
              <w:rPr>
                <w:rFonts w:eastAsia="Times New Roman"/>
                <w:color w:val="000000"/>
                <w:lang w:val="fr-CA"/>
              </w:rPr>
              <w:t>.0001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Female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-0.27 (-1.08, 0.54)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0.51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Age (per 5-year increase</w:t>
            </w:r>
            <w:r w:rsidRPr="001245AF">
              <w:rPr>
                <w:rFonts w:eastAsia="Times New Roman"/>
                <w:color w:val="000000"/>
                <w:sz w:val="18"/>
                <w:szCs w:val="18"/>
                <w:lang w:val="fr-CA"/>
              </w:rPr>
              <w:t> </w:t>
            </w:r>
            <w:r w:rsidRPr="001245AF">
              <w:rPr>
                <w:rFonts w:eastAsia="Times New Roman"/>
                <w:color w:val="000000"/>
                <w:lang w:val="fr-CA"/>
              </w:rPr>
              <w:t>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0.06 (-0.08, 0.21)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0.39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Follow-up time * Age</w:t>
            </w:r>
            <w:r w:rsidRPr="001245AF">
              <w:rPr>
                <w:rFonts w:eastAsia="Times New Roman"/>
                <w:color w:val="000000"/>
                <w:sz w:val="18"/>
                <w:szCs w:val="18"/>
                <w:lang w:val="fr-CA"/>
              </w:rPr>
              <w:t> 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0.02 (0.01, 0.04)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0.005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>Black race (ref. White/other)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3.22 (1.47, 4.98)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0.0004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 xml:space="preserve">Follow-up time * Black race 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-0.24 (-0.42, -0.06)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0.008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>
              <w:rPr>
                <w:rFonts w:eastAsia="Times New Roman"/>
                <w:color w:val="000000"/>
                <w:lang w:val="fr-CA"/>
              </w:rPr>
              <w:t>RAAS blockade</w:t>
            </w:r>
            <w:r w:rsidRPr="001245AF">
              <w:rPr>
                <w:rFonts w:eastAsia="Times New Roman"/>
                <w:color w:val="000000"/>
                <w:lang w:val="fr-CA"/>
              </w:rPr>
              <w:t xml:space="preserve"> use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1.22 (0.31, 2.13)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0.009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Diabetes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1.03 (0.17, 1.89)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0.02</w:t>
            </w:r>
          </w:p>
        </w:tc>
      </w:tr>
    </w:tbl>
    <w:p w:rsidR="00382B84" w:rsidRDefault="00382B84" w:rsidP="00382B84">
      <w:pPr>
        <w:spacing w:line="480" w:lineRule="auto"/>
        <w:jc w:val="both"/>
        <w:rPr>
          <w:lang w:val="en-CA"/>
        </w:rPr>
      </w:pPr>
      <w:r w:rsidRPr="005F6441">
        <w:rPr>
          <w:lang w:val="en-CA"/>
        </w:rPr>
        <w:t xml:space="preserve"> </w:t>
      </w:r>
      <w:r>
        <w:rPr>
          <w:lang w:val="en-CA"/>
        </w:rPr>
        <w:t>AVF: arteriovenous fistula, RAAS: renin angiotensin aldosterone system</w:t>
      </w:r>
    </w:p>
    <w:p w:rsidR="00382B84" w:rsidRDefault="00382B84" w:rsidP="00382B84">
      <w:pPr>
        <w:rPr>
          <w:lang w:val="en-CA"/>
        </w:rPr>
      </w:pPr>
      <w:r>
        <w:rPr>
          <w:lang w:val="en-CA"/>
        </w:rPr>
        <w:br w:type="page"/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t xml:space="preserve">Supplementary table S4. </w:t>
      </w:r>
      <w:r w:rsidRPr="00DB0A70">
        <w:rPr>
          <w:bCs/>
          <w:lang w:val="en-CA"/>
        </w:rPr>
        <w:t xml:space="preserve">Determinants of the eGFR </w:t>
      </w:r>
      <w:r>
        <w:rPr>
          <w:bCs/>
          <w:lang w:val="en-CA"/>
        </w:rPr>
        <w:t xml:space="preserve">excluding patients with a change in RAAS blockade use </w:t>
      </w:r>
      <w:r w:rsidRPr="00DB0A70">
        <w:rPr>
          <w:bCs/>
          <w:lang w:val="en-CA"/>
        </w:rPr>
        <w:t>- Adjusted mixed effect linear regression</w:t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</w:p>
    <w:tbl>
      <w:tblPr>
        <w:tblW w:w="829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9"/>
        <w:gridCol w:w="2616"/>
        <w:gridCol w:w="1076"/>
      </w:tblGrid>
      <w:tr w:rsidR="00382B84" w:rsidRPr="001245AF" w:rsidTr="00652DBD">
        <w:trPr>
          <w:trHeight w:val="300"/>
        </w:trPr>
        <w:tc>
          <w:tcPr>
            <w:tcW w:w="4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fr-CA"/>
              </w:rPr>
            </w:pPr>
            <w:r w:rsidRPr="001245AF">
              <w:rPr>
                <w:rFonts w:eastAsia="Times New Roman"/>
                <w:b/>
                <w:bCs/>
                <w:color w:val="000000"/>
                <w:lang w:val="fr-CA"/>
              </w:rPr>
              <w:t>Covariates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fr-CA"/>
              </w:rPr>
            </w:pPr>
            <w:r w:rsidRPr="001245AF">
              <w:rPr>
                <w:rFonts w:eastAsia="Times New Roman"/>
                <w:b/>
                <w:bCs/>
                <w:color w:val="000000"/>
                <w:lang w:val="fr-CA"/>
              </w:rPr>
              <w:t>β Estimate (95% CI)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fr-CA"/>
              </w:rPr>
            </w:pPr>
            <w:r w:rsidRPr="001245AF">
              <w:rPr>
                <w:rFonts w:eastAsia="Times New Roman"/>
                <w:b/>
                <w:bCs/>
                <w:color w:val="000000"/>
                <w:lang w:val="fr-CA"/>
              </w:rPr>
              <w:t>P-value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Follow-up time (months)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-0.61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(-0.79,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-0.43)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lang w:eastAsia="en-CA"/>
              </w:rPr>
              <w:t>0.00</w:t>
            </w:r>
            <w:r w:rsidRPr="00987E52">
              <w:rPr>
                <w:rFonts w:eastAsia="Times New Roman"/>
                <w:color w:val="000000"/>
                <w:lang w:eastAsia="en-CA"/>
              </w:rPr>
              <w:t>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>Period after AVF (ref. before)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0.78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(0.44,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1.13)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lang w:eastAsia="en-CA"/>
              </w:rPr>
              <w:t>0.00</w:t>
            </w:r>
            <w:r w:rsidRPr="00987E52">
              <w:rPr>
                <w:rFonts w:eastAsia="Times New Roman"/>
                <w:color w:val="000000"/>
                <w:lang w:eastAsia="en-CA"/>
              </w:rPr>
              <w:t>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 xml:space="preserve">Follow-up time * period after AVF 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0.16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(0.13,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0.2</w:t>
            </w:r>
            <w:r>
              <w:rPr>
                <w:rFonts w:eastAsia="Times New Roman"/>
                <w:color w:val="000000"/>
                <w:lang w:eastAsia="en-CA"/>
              </w:rPr>
              <w:t>0</w:t>
            </w:r>
            <w:r w:rsidRPr="00987E52">
              <w:rPr>
                <w:rFonts w:eastAsia="Times New Roman"/>
                <w:color w:val="000000"/>
                <w:lang w:eastAsia="en-CA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lang w:eastAsia="en-CA"/>
              </w:rPr>
              <w:t>0.00</w:t>
            </w:r>
            <w:r w:rsidRPr="00987E52">
              <w:rPr>
                <w:rFonts w:eastAsia="Times New Roman"/>
                <w:color w:val="000000"/>
                <w:lang w:eastAsia="en-CA"/>
              </w:rPr>
              <w:t>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Female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-1.02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(-1.87,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-0.16)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0.0</w:t>
            </w:r>
            <w:r>
              <w:rPr>
                <w:rFonts w:eastAsia="Times New Roman"/>
                <w:color w:val="000000"/>
                <w:lang w:eastAsia="en-CA"/>
              </w:rPr>
              <w:t>2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Age (per 5-year increase</w:t>
            </w:r>
            <w:r w:rsidRPr="001245AF">
              <w:rPr>
                <w:rFonts w:eastAsia="Times New Roman"/>
                <w:color w:val="000000"/>
                <w:sz w:val="18"/>
                <w:szCs w:val="18"/>
                <w:lang w:val="fr-CA"/>
              </w:rPr>
              <w:t> </w:t>
            </w:r>
            <w:r w:rsidRPr="001245AF">
              <w:rPr>
                <w:rFonts w:eastAsia="Times New Roman"/>
                <w:color w:val="000000"/>
                <w:lang w:val="fr-CA"/>
              </w:rPr>
              <w:t>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0.01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(-0.02,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0.05)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0.47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Follow-up time * Age</w:t>
            </w:r>
            <w:r w:rsidRPr="001245AF">
              <w:rPr>
                <w:rFonts w:eastAsia="Times New Roman"/>
                <w:color w:val="000000"/>
                <w:sz w:val="18"/>
                <w:szCs w:val="18"/>
                <w:lang w:val="fr-CA"/>
              </w:rPr>
              <w:t> 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0.004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(0.001,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0.007)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0.002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>Black race (ref. White/other)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2.09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(-0.54,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4.73)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0.1</w:t>
            </w:r>
            <w:r>
              <w:rPr>
                <w:rFonts w:eastAsia="Times New Roman"/>
                <w:color w:val="000000"/>
                <w:lang w:eastAsia="en-CA"/>
              </w:rPr>
              <w:t>3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AC0C6C" w:rsidRDefault="00382B84" w:rsidP="00652DBD">
            <w:pPr>
              <w:spacing w:line="480" w:lineRule="auto"/>
              <w:rPr>
                <w:rFonts w:eastAsia="Times New Roman"/>
                <w:color w:val="000000"/>
                <w:lang w:val="en-US"/>
              </w:rPr>
            </w:pPr>
            <w:r w:rsidRPr="00AC0C6C">
              <w:rPr>
                <w:rFonts w:eastAsia="Times New Roman"/>
                <w:color w:val="000000"/>
                <w:lang w:val="en-US"/>
              </w:rPr>
              <w:t xml:space="preserve">Follow-up time * Black race 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-0.07(-0.28,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0.14)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0.5</w:t>
            </w:r>
            <w:r>
              <w:rPr>
                <w:rFonts w:eastAsia="Times New Roman"/>
                <w:color w:val="000000"/>
                <w:lang w:eastAsia="en-CA"/>
              </w:rPr>
              <w:t>2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>
              <w:rPr>
                <w:rFonts w:eastAsia="Times New Roman"/>
                <w:color w:val="000000"/>
                <w:lang w:val="fr-CA"/>
              </w:rPr>
              <w:t>RAAS blockade</w:t>
            </w:r>
            <w:r w:rsidRPr="001245AF">
              <w:rPr>
                <w:rFonts w:eastAsia="Times New Roman"/>
                <w:color w:val="000000"/>
                <w:lang w:val="fr-CA"/>
              </w:rPr>
              <w:t xml:space="preserve"> use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1.76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(0.8,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2.72)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lang w:eastAsia="en-CA"/>
              </w:rPr>
              <w:t>0.00</w:t>
            </w:r>
            <w:r w:rsidRPr="00987E52">
              <w:rPr>
                <w:rFonts w:eastAsia="Times New Roman"/>
                <w:color w:val="000000"/>
                <w:lang w:eastAsia="en-CA"/>
              </w:rPr>
              <w:t>1</w:t>
            </w:r>
          </w:p>
        </w:tc>
      </w:tr>
      <w:tr w:rsidR="00382B84" w:rsidRPr="001245AF" w:rsidTr="00652DBD">
        <w:trPr>
          <w:trHeight w:val="300"/>
        </w:trPr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1245AF">
              <w:rPr>
                <w:rFonts w:eastAsia="Times New Roman"/>
                <w:color w:val="000000"/>
                <w:lang w:val="fr-CA"/>
              </w:rPr>
              <w:t>Diabetes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1.3</w:t>
            </w:r>
            <w:r w:rsidRPr="00754062"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(0.36,</w:t>
            </w:r>
            <w:r>
              <w:rPr>
                <w:rFonts w:eastAsia="Times New Roman"/>
                <w:color w:val="000000"/>
                <w:lang w:eastAsia="en-CA"/>
              </w:rPr>
              <w:t xml:space="preserve"> </w:t>
            </w:r>
            <w:r w:rsidRPr="00987E52">
              <w:rPr>
                <w:rFonts w:eastAsia="Times New Roman"/>
                <w:color w:val="000000"/>
                <w:lang w:eastAsia="en-CA"/>
              </w:rPr>
              <w:t>2.24)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B84" w:rsidRPr="001245AF" w:rsidRDefault="00382B84" w:rsidP="00652DBD">
            <w:pPr>
              <w:spacing w:line="480" w:lineRule="auto"/>
              <w:rPr>
                <w:rFonts w:eastAsia="Times New Roman"/>
                <w:color w:val="000000"/>
                <w:lang w:val="fr-CA"/>
              </w:rPr>
            </w:pPr>
            <w:r w:rsidRPr="00987E52">
              <w:rPr>
                <w:rFonts w:eastAsia="Times New Roman"/>
                <w:color w:val="000000"/>
                <w:lang w:eastAsia="en-CA"/>
              </w:rPr>
              <w:t>0.007</w:t>
            </w:r>
          </w:p>
        </w:tc>
      </w:tr>
    </w:tbl>
    <w:p w:rsidR="00382B84" w:rsidRDefault="00382B84" w:rsidP="00382B84">
      <w:pPr>
        <w:spacing w:line="480" w:lineRule="auto"/>
        <w:jc w:val="both"/>
        <w:rPr>
          <w:lang w:val="en-CA"/>
        </w:rPr>
      </w:pPr>
    </w:p>
    <w:p w:rsidR="00382B84" w:rsidRPr="00D56349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rPr>
          <w:lang w:val="en-CA"/>
        </w:rPr>
      </w:pPr>
      <w:r>
        <w:rPr>
          <w:lang w:val="en-CA"/>
        </w:rPr>
        <w:br w:type="page"/>
      </w:r>
    </w:p>
    <w:p w:rsidR="00382B84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CA"/>
        </w:rPr>
      </w:pPr>
      <w:r>
        <w:rPr>
          <w:lang w:val="en-CA"/>
        </w:rPr>
        <w:t>Figure S1. Annual eGFR decline pre- and post-AVF creation over different observational periods</w:t>
      </w:r>
    </w:p>
    <w:p w:rsidR="00382B84" w:rsidRPr="00E847B8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US"/>
        </w:rPr>
      </w:pPr>
      <w:r w:rsidRPr="00E847B8">
        <w:rPr>
          <w:noProof/>
        </w:rPr>
        <w:drawing>
          <wp:inline distT="0" distB="0" distL="0" distR="0" wp14:anchorId="382729C9" wp14:editId="517AE341">
            <wp:extent cx="3384064" cy="2499496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0" t="10677" r="18613"/>
                    <a:stretch/>
                  </pic:blipFill>
                  <pic:spPr bwMode="auto">
                    <a:xfrm>
                      <a:off x="0" y="0"/>
                      <a:ext cx="3400612" cy="251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B84" w:rsidRDefault="00382B84" w:rsidP="00382B84">
      <w:pPr>
        <w:rPr>
          <w:lang w:val="en-US"/>
        </w:rPr>
      </w:pPr>
      <w:r w:rsidRPr="00B52D0F">
        <w:rPr>
          <w:noProof/>
        </w:rPr>
        <w:drawing>
          <wp:inline distT="0" distB="0" distL="0" distR="0" wp14:anchorId="726D0948" wp14:editId="5C09F2BC">
            <wp:extent cx="3384064" cy="2194371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964" t="8722" r="16626" b="8960"/>
                    <a:stretch/>
                  </pic:blipFill>
                  <pic:spPr bwMode="auto">
                    <a:xfrm>
                      <a:off x="0" y="0"/>
                      <a:ext cx="3404685" cy="2207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B84" w:rsidRDefault="00382B84" w:rsidP="00382B84">
      <w:pPr>
        <w:rPr>
          <w:lang w:val="en-US"/>
        </w:rPr>
      </w:pPr>
      <w:r w:rsidRPr="00B52D0F">
        <w:rPr>
          <w:noProof/>
        </w:rPr>
        <w:drawing>
          <wp:inline distT="0" distB="0" distL="0" distR="0" wp14:anchorId="04B1FF93" wp14:editId="3BA665BF">
            <wp:extent cx="3384064" cy="2178867"/>
            <wp:effectExtent l="0" t="0" r="0" b="57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472" t="12175" r="18395" b="7549"/>
                    <a:stretch/>
                  </pic:blipFill>
                  <pic:spPr bwMode="auto">
                    <a:xfrm>
                      <a:off x="0" y="0"/>
                      <a:ext cx="3442577" cy="2216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B84" w:rsidRDefault="00382B84" w:rsidP="00382B84">
      <w:pPr>
        <w:rPr>
          <w:lang w:val="en-US"/>
        </w:rPr>
      </w:pPr>
    </w:p>
    <w:p w:rsidR="00382B84" w:rsidRPr="00D56349" w:rsidRDefault="00382B84" w:rsidP="00382B84">
      <w:pPr>
        <w:spacing w:line="480" w:lineRule="auto"/>
        <w:jc w:val="both"/>
        <w:rPr>
          <w:lang w:val="en-CA"/>
        </w:rPr>
      </w:pPr>
      <w:r>
        <w:rPr>
          <w:iCs/>
          <w:lang w:val="en-CA"/>
        </w:rPr>
        <w:t>Figure S1</w:t>
      </w:r>
      <w:r w:rsidRPr="00D56349">
        <w:rPr>
          <w:iCs/>
          <w:lang w:val="en-CA"/>
        </w:rPr>
        <w:t xml:space="preserve"> displays the eGFR in </w:t>
      </w:r>
      <w:r>
        <w:rPr>
          <w:iCs/>
          <w:lang w:val="en-CA"/>
        </w:rPr>
        <w:t>mL</w:t>
      </w:r>
      <w:r w:rsidRPr="00D56349">
        <w:rPr>
          <w:iCs/>
          <w:lang w:val="en-CA"/>
        </w:rPr>
        <w:t>/min/1.73</w:t>
      </w:r>
      <w:r>
        <w:rPr>
          <w:iCs/>
          <w:lang w:val="en-CA"/>
        </w:rPr>
        <w:t xml:space="preserve"> </w:t>
      </w:r>
      <w:r w:rsidRPr="00D56349">
        <w:rPr>
          <w:iCs/>
          <w:lang w:val="en-CA"/>
        </w:rPr>
        <w:t>m</w:t>
      </w:r>
      <w:r w:rsidRPr="00D56349">
        <w:rPr>
          <w:iCs/>
          <w:vertAlign w:val="superscript"/>
          <w:lang w:val="en-CA"/>
        </w:rPr>
        <w:t>2</w:t>
      </w:r>
      <w:r w:rsidRPr="00D56349">
        <w:rPr>
          <w:iCs/>
          <w:lang w:val="en-CA"/>
        </w:rPr>
        <w:t xml:space="preserve">, calculated using the CKD-EPI formula, against the time in days before and after AVF creation, the latter represented by time 0. The estimates are represented by the bold solid line with the 95% confidence interval in dotted lines. The eGFR decline after AVF creation was slowed by 1.28 </w:t>
      </w:r>
      <w:r>
        <w:rPr>
          <w:iCs/>
          <w:lang w:val="en-CA"/>
        </w:rPr>
        <w:t xml:space="preserve">mL </w:t>
      </w:r>
      <w:r w:rsidRPr="00D56349">
        <w:rPr>
          <w:iCs/>
          <w:lang w:val="en-CA"/>
        </w:rPr>
        <w:t>/min/1.73</w:t>
      </w:r>
      <w:r>
        <w:rPr>
          <w:iCs/>
          <w:lang w:val="en-CA"/>
        </w:rPr>
        <w:t xml:space="preserve"> </w:t>
      </w:r>
      <w:r w:rsidRPr="00D56349">
        <w:rPr>
          <w:iCs/>
          <w:lang w:val="en-CA"/>
        </w:rPr>
        <w:t>m</w:t>
      </w:r>
      <w:r w:rsidRPr="00D56349">
        <w:rPr>
          <w:iCs/>
          <w:vertAlign w:val="superscript"/>
          <w:lang w:val="en-CA"/>
        </w:rPr>
        <w:t>2</w:t>
      </w:r>
      <w:r w:rsidRPr="00D56349">
        <w:rPr>
          <w:iCs/>
          <w:lang w:val="en-CA"/>
        </w:rPr>
        <w:t xml:space="preserve"> in the 6 months (A), by 0.78 </w:t>
      </w:r>
      <w:r>
        <w:rPr>
          <w:iCs/>
          <w:lang w:val="en-CA"/>
        </w:rPr>
        <w:t>mL</w:t>
      </w:r>
      <w:r w:rsidRPr="00D56349">
        <w:rPr>
          <w:iCs/>
          <w:lang w:val="en-CA"/>
        </w:rPr>
        <w:t>/min/1.73 m</w:t>
      </w:r>
      <w:r w:rsidRPr="00AC0C6C">
        <w:rPr>
          <w:iCs/>
          <w:vertAlign w:val="superscript"/>
          <w:lang w:val="en-CA"/>
        </w:rPr>
        <w:t>2</w:t>
      </w:r>
      <w:r w:rsidRPr="00D56349">
        <w:rPr>
          <w:iCs/>
          <w:lang w:val="en-CA"/>
        </w:rPr>
        <w:t xml:space="preserve"> in the 12 months (B) and by 1.34 </w:t>
      </w:r>
      <w:r>
        <w:rPr>
          <w:iCs/>
          <w:lang w:val="en-CA"/>
        </w:rPr>
        <w:t>mL</w:t>
      </w:r>
      <w:r w:rsidRPr="00D56349">
        <w:rPr>
          <w:iCs/>
          <w:lang w:val="en-CA"/>
        </w:rPr>
        <w:t>/min/1.73</w:t>
      </w:r>
      <w:r>
        <w:rPr>
          <w:iCs/>
          <w:lang w:val="en-CA"/>
        </w:rPr>
        <w:t xml:space="preserve"> </w:t>
      </w:r>
      <w:r w:rsidRPr="00D56349">
        <w:rPr>
          <w:iCs/>
          <w:lang w:val="en-CA"/>
        </w:rPr>
        <w:t>m</w:t>
      </w:r>
      <w:r w:rsidRPr="00D56349">
        <w:rPr>
          <w:iCs/>
          <w:vertAlign w:val="superscript"/>
          <w:lang w:val="en-CA"/>
        </w:rPr>
        <w:t>2</w:t>
      </w:r>
      <w:r w:rsidRPr="00D56349">
        <w:rPr>
          <w:iCs/>
          <w:lang w:val="en-CA"/>
        </w:rPr>
        <w:t xml:space="preserve"> in the 18 months (C), pre- and post AVF creation.</w:t>
      </w:r>
    </w:p>
    <w:p w:rsidR="00382B84" w:rsidRPr="00D56349" w:rsidRDefault="00382B84" w:rsidP="00382B84">
      <w:pPr>
        <w:spacing w:line="480" w:lineRule="auto"/>
        <w:jc w:val="both"/>
        <w:rPr>
          <w:lang w:val="en-CA"/>
        </w:rPr>
      </w:pPr>
    </w:p>
    <w:p w:rsidR="00382B84" w:rsidRDefault="00382B84" w:rsidP="00382B84">
      <w:pPr>
        <w:spacing w:line="480" w:lineRule="auto"/>
        <w:jc w:val="both"/>
        <w:rPr>
          <w:lang w:val="en-CA"/>
        </w:rPr>
      </w:pPr>
    </w:p>
    <w:p w:rsidR="00E1055C" w:rsidRDefault="00E1055C">
      <w:bookmarkStart w:id="0" w:name="_GoBack"/>
      <w:bookmarkEnd w:id="0"/>
    </w:p>
    <w:sectPr w:rsidR="00E1055C" w:rsidSect="00FB0123">
      <w:footerReference w:type="even" r:id="rId8"/>
      <w:footerReference w:type="default" r:id="rId9"/>
      <w:endnotePr>
        <w:numFmt w:val="decimal"/>
      </w:endnotePr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FF" w:rsidRDefault="00382B84" w:rsidP="00AD519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C04DFF" w:rsidRDefault="00382B84" w:rsidP="0016386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FF" w:rsidRDefault="00382B84" w:rsidP="00AD519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C04DFF" w:rsidRDefault="00382B84" w:rsidP="0016386B">
    <w:pPr>
      <w:pStyle w:val="Pieddepage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endnotePr>
    <w:numFmt w:val="decimal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B84"/>
    <w:rsid w:val="00382B84"/>
    <w:rsid w:val="00E1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2694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B8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382B84"/>
    <w:pPr>
      <w:tabs>
        <w:tab w:val="center" w:pos="4320"/>
        <w:tab w:val="right" w:pos="8640"/>
      </w:tabs>
    </w:pPr>
    <w:rPr>
      <w:rFonts w:asciiTheme="minorHAnsi" w:hAnsiTheme="minorHAnsi" w:cstheme="minorBidi"/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rsid w:val="00382B84"/>
    <w:rPr>
      <w:rFonts w:asciiTheme="minorHAnsi" w:hAnsiTheme="minorHAnsi" w:cstheme="minorBidi"/>
      <w:lang w:val="fr-CA"/>
    </w:rPr>
  </w:style>
  <w:style w:type="character" w:styleId="Numrodepage">
    <w:name w:val="page number"/>
    <w:basedOn w:val="Policepardfaut"/>
    <w:uiPriority w:val="99"/>
    <w:semiHidden/>
    <w:unhideWhenUsed/>
    <w:rsid w:val="00382B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B8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382B84"/>
    <w:pPr>
      <w:tabs>
        <w:tab w:val="center" w:pos="4320"/>
        <w:tab w:val="right" w:pos="8640"/>
      </w:tabs>
    </w:pPr>
    <w:rPr>
      <w:rFonts w:asciiTheme="minorHAnsi" w:hAnsiTheme="minorHAnsi" w:cstheme="minorBidi"/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rsid w:val="00382B84"/>
    <w:rPr>
      <w:rFonts w:asciiTheme="minorHAnsi" w:hAnsiTheme="minorHAnsi" w:cstheme="minorBidi"/>
      <w:lang w:val="fr-CA"/>
    </w:rPr>
  </w:style>
  <w:style w:type="character" w:styleId="Numrodepage">
    <w:name w:val="page number"/>
    <w:basedOn w:val="Policepardfaut"/>
    <w:uiPriority w:val="99"/>
    <w:semiHidden/>
    <w:unhideWhenUsed/>
    <w:rsid w:val="00382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494</Words>
  <Characters>2722</Characters>
  <Application>Microsoft Macintosh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Annie-Claire Nadeau-Fredette</dc:creator>
  <cp:keywords/>
  <dc:description/>
  <cp:lastModifiedBy>Annie-Claire Nadeau-Fredette</cp:lastModifiedBy>
  <cp:revision>1</cp:revision>
  <cp:lastPrinted>2018-06-18T20:15:00Z</cp:lastPrinted>
  <dcterms:created xsi:type="dcterms:W3CDTF">2018-06-18T20:15:00Z</dcterms:created>
  <dcterms:modified xsi:type="dcterms:W3CDTF">2018-06-18T20:15:00Z</dcterms:modified>
</cp:coreProperties>
</file>