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CF4A9" w14:textId="691D817B" w:rsidR="004723A8" w:rsidRPr="004723A8" w:rsidRDefault="004723A8">
      <w:r w:rsidRPr="004723A8">
        <w:t xml:space="preserve">Additional file 3: </w:t>
      </w:r>
      <w:r>
        <w:rPr>
          <w:b/>
        </w:rPr>
        <w:t>Figure S</w:t>
      </w:r>
      <w:r>
        <w:rPr>
          <w:b/>
        </w:rPr>
        <w:t>3.</w:t>
      </w:r>
      <w:r w:rsidRPr="004723A8">
        <w:t xml:space="preserve"> Image-derived arterial blood TACs from a control subject and a kidney transplant subject</w:t>
      </w:r>
      <w:r>
        <w:t>.</w:t>
      </w:r>
      <w:bookmarkStart w:id="0" w:name="_GoBack"/>
      <w:bookmarkEnd w:id="0"/>
    </w:p>
    <w:p w14:paraId="2D3FE405" w14:textId="688C5834" w:rsidR="00545991" w:rsidRDefault="00733FBF">
      <w:r w:rsidRPr="00806FDD">
        <w:rPr>
          <w:noProof/>
          <w:sz w:val="20"/>
          <w:szCs w:val="20"/>
          <w:lang w:val="en-US"/>
        </w:rPr>
        <w:drawing>
          <wp:inline distT="0" distB="0" distL="0" distR="0" wp14:anchorId="264C79F5" wp14:editId="6B20B7ED">
            <wp:extent cx="4400550" cy="3067050"/>
            <wp:effectExtent l="0" t="0" r="0" b="0"/>
            <wp:docPr id="13" name="Kaavio 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71B70E2" w14:textId="37FEFAA1" w:rsidR="004B0105" w:rsidRPr="004B0105" w:rsidRDefault="004B0105" w:rsidP="004B0105">
      <w:r w:rsidRPr="004B0105">
        <w:t xml:space="preserve">For control subjects the ROI was drawn on </w:t>
      </w:r>
      <w:r w:rsidRPr="00DB5AD3">
        <w:t>abdom</w:t>
      </w:r>
      <w:r w:rsidR="00B53C44" w:rsidRPr="00DB5AD3">
        <w:t>in</w:t>
      </w:r>
      <w:r w:rsidRPr="00DB5AD3">
        <w:t xml:space="preserve">al aorta, but in kidney transplant patients only iliac artery was visible in the images. Concentrations are corrected for decay of O-15 and given in </w:t>
      </w:r>
      <w:r w:rsidR="00C85C0B" w:rsidRPr="00DB5AD3">
        <w:t>standardized uptake value (</w:t>
      </w:r>
      <w:r w:rsidRPr="00DB5AD3">
        <w:t>SUV</w:t>
      </w:r>
      <w:r w:rsidR="00C85C0B" w:rsidRPr="00DB5AD3">
        <w:t>)</w:t>
      </w:r>
      <w:r w:rsidRPr="00DB5AD3">
        <w:t xml:space="preserve"> units (scaled</w:t>
      </w:r>
      <w:r w:rsidRPr="004B0105">
        <w:t xml:space="preserve"> for injected dose of radioactivity and the mass of subject). The image-derived input function was not corrected for dispersion, because of its location was close to the kidney. Recovery correction for the image-derived input curves was not considered necessary, because very thin ROIs were placed in the iliac arteries, and image reconstruction parameters had been modified to produce similar blood curves from abdominal aorta and iliac arteries than in left ventricular cavity of the heart.</w:t>
      </w:r>
    </w:p>
    <w:p w14:paraId="6678D0C5" w14:textId="2F5D9074" w:rsidR="00560769" w:rsidRDefault="00560769" w:rsidP="004B0105"/>
    <w:p w14:paraId="680CF1DD" w14:textId="6880C6F5" w:rsidR="004B0105" w:rsidRDefault="004B0105" w:rsidP="004B0105"/>
    <w:sectPr w:rsidR="004B01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FBF"/>
    <w:rsid w:val="000029A8"/>
    <w:rsid w:val="000123CC"/>
    <w:rsid w:val="000151AC"/>
    <w:rsid w:val="000158B1"/>
    <w:rsid w:val="0002189B"/>
    <w:rsid w:val="00021C2B"/>
    <w:rsid w:val="000231D4"/>
    <w:rsid w:val="00023348"/>
    <w:rsid w:val="00025B06"/>
    <w:rsid w:val="00026BC3"/>
    <w:rsid w:val="00035716"/>
    <w:rsid w:val="00044EB5"/>
    <w:rsid w:val="00051D7E"/>
    <w:rsid w:val="00052BAC"/>
    <w:rsid w:val="000532A5"/>
    <w:rsid w:val="00053638"/>
    <w:rsid w:val="00054A2E"/>
    <w:rsid w:val="00060B45"/>
    <w:rsid w:val="000664AC"/>
    <w:rsid w:val="000700A6"/>
    <w:rsid w:val="00071CD3"/>
    <w:rsid w:val="0007512B"/>
    <w:rsid w:val="000778A2"/>
    <w:rsid w:val="0008280B"/>
    <w:rsid w:val="000841CC"/>
    <w:rsid w:val="00085ECC"/>
    <w:rsid w:val="0008792B"/>
    <w:rsid w:val="00091E78"/>
    <w:rsid w:val="000924A5"/>
    <w:rsid w:val="000960E2"/>
    <w:rsid w:val="0009647B"/>
    <w:rsid w:val="00097CC5"/>
    <w:rsid w:val="000A58DD"/>
    <w:rsid w:val="000A6B21"/>
    <w:rsid w:val="000B2B4C"/>
    <w:rsid w:val="000B2BE9"/>
    <w:rsid w:val="000C2137"/>
    <w:rsid w:val="000C6449"/>
    <w:rsid w:val="000C780F"/>
    <w:rsid w:val="000F05AC"/>
    <w:rsid w:val="00103BD3"/>
    <w:rsid w:val="00104086"/>
    <w:rsid w:val="00106D63"/>
    <w:rsid w:val="00117CBC"/>
    <w:rsid w:val="00122AF1"/>
    <w:rsid w:val="00124265"/>
    <w:rsid w:val="0012572C"/>
    <w:rsid w:val="00127AF1"/>
    <w:rsid w:val="00135995"/>
    <w:rsid w:val="00140057"/>
    <w:rsid w:val="00142CC4"/>
    <w:rsid w:val="00144B17"/>
    <w:rsid w:val="001467A5"/>
    <w:rsid w:val="0015051E"/>
    <w:rsid w:val="0015250A"/>
    <w:rsid w:val="0015293B"/>
    <w:rsid w:val="00155AC8"/>
    <w:rsid w:val="00160DAC"/>
    <w:rsid w:val="001631A8"/>
    <w:rsid w:val="00166B09"/>
    <w:rsid w:val="00167E27"/>
    <w:rsid w:val="00172A44"/>
    <w:rsid w:val="001770A5"/>
    <w:rsid w:val="0017796A"/>
    <w:rsid w:val="00180CCF"/>
    <w:rsid w:val="00181E0E"/>
    <w:rsid w:val="00185779"/>
    <w:rsid w:val="001871E9"/>
    <w:rsid w:val="001878EC"/>
    <w:rsid w:val="0019113C"/>
    <w:rsid w:val="00194BFE"/>
    <w:rsid w:val="00196915"/>
    <w:rsid w:val="001969F9"/>
    <w:rsid w:val="00196DF3"/>
    <w:rsid w:val="001A210D"/>
    <w:rsid w:val="001A2370"/>
    <w:rsid w:val="001A364B"/>
    <w:rsid w:val="001A7AB8"/>
    <w:rsid w:val="001B0F01"/>
    <w:rsid w:val="001B1DA7"/>
    <w:rsid w:val="001B4E5D"/>
    <w:rsid w:val="001B7378"/>
    <w:rsid w:val="001C226C"/>
    <w:rsid w:val="001D3E32"/>
    <w:rsid w:val="001D6557"/>
    <w:rsid w:val="001D6DA8"/>
    <w:rsid w:val="001F07D1"/>
    <w:rsid w:val="001F19DC"/>
    <w:rsid w:val="001F699B"/>
    <w:rsid w:val="001F6AD5"/>
    <w:rsid w:val="00203104"/>
    <w:rsid w:val="0020545C"/>
    <w:rsid w:val="00206DD3"/>
    <w:rsid w:val="00212719"/>
    <w:rsid w:val="002174D9"/>
    <w:rsid w:val="0022083A"/>
    <w:rsid w:val="00221CBF"/>
    <w:rsid w:val="00231FFD"/>
    <w:rsid w:val="00232D85"/>
    <w:rsid w:val="00232E95"/>
    <w:rsid w:val="00233ECF"/>
    <w:rsid w:val="00235627"/>
    <w:rsid w:val="0023671F"/>
    <w:rsid w:val="002373F4"/>
    <w:rsid w:val="00237646"/>
    <w:rsid w:val="00241149"/>
    <w:rsid w:val="00243FC5"/>
    <w:rsid w:val="00246288"/>
    <w:rsid w:val="00251980"/>
    <w:rsid w:val="002562C2"/>
    <w:rsid w:val="00256CD9"/>
    <w:rsid w:val="0026009F"/>
    <w:rsid w:val="002622C5"/>
    <w:rsid w:val="002641EA"/>
    <w:rsid w:val="00273F5E"/>
    <w:rsid w:val="002741BE"/>
    <w:rsid w:val="002763A6"/>
    <w:rsid w:val="00277F3A"/>
    <w:rsid w:val="00292819"/>
    <w:rsid w:val="00293519"/>
    <w:rsid w:val="00293646"/>
    <w:rsid w:val="002942BD"/>
    <w:rsid w:val="002977BA"/>
    <w:rsid w:val="002A5B89"/>
    <w:rsid w:val="002B3D11"/>
    <w:rsid w:val="002B5059"/>
    <w:rsid w:val="002B63A8"/>
    <w:rsid w:val="002C5CB2"/>
    <w:rsid w:val="002D737F"/>
    <w:rsid w:val="002D74C2"/>
    <w:rsid w:val="002D7E3E"/>
    <w:rsid w:val="002E0DB2"/>
    <w:rsid w:val="002E5601"/>
    <w:rsid w:val="002E6506"/>
    <w:rsid w:val="002E7A4B"/>
    <w:rsid w:val="002E7C72"/>
    <w:rsid w:val="002F473D"/>
    <w:rsid w:val="002F4CE0"/>
    <w:rsid w:val="002F603B"/>
    <w:rsid w:val="002F72C1"/>
    <w:rsid w:val="00301A3B"/>
    <w:rsid w:val="00302407"/>
    <w:rsid w:val="00302C1C"/>
    <w:rsid w:val="00307C1F"/>
    <w:rsid w:val="00310F61"/>
    <w:rsid w:val="00321AD4"/>
    <w:rsid w:val="00323EC8"/>
    <w:rsid w:val="00325B35"/>
    <w:rsid w:val="00332F77"/>
    <w:rsid w:val="00337B25"/>
    <w:rsid w:val="00341D7E"/>
    <w:rsid w:val="00351572"/>
    <w:rsid w:val="00351ED7"/>
    <w:rsid w:val="00353373"/>
    <w:rsid w:val="00360806"/>
    <w:rsid w:val="0036506C"/>
    <w:rsid w:val="00373A41"/>
    <w:rsid w:val="00374452"/>
    <w:rsid w:val="00374CE0"/>
    <w:rsid w:val="003767A9"/>
    <w:rsid w:val="00380B0C"/>
    <w:rsid w:val="00386ECB"/>
    <w:rsid w:val="00390FE9"/>
    <w:rsid w:val="00394191"/>
    <w:rsid w:val="00396943"/>
    <w:rsid w:val="003A0859"/>
    <w:rsid w:val="003A21E2"/>
    <w:rsid w:val="003B030B"/>
    <w:rsid w:val="003B2438"/>
    <w:rsid w:val="003B3D44"/>
    <w:rsid w:val="003B5839"/>
    <w:rsid w:val="003C00F0"/>
    <w:rsid w:val="003C351E"/>
    <w:rsid w:val="003C5B7D"/>
    <w:rsid w:val="003D161F"/>
    <w:rsid w:val="003D4A1F"/>
    <w:rsid w:val="003D5C70"/>
    <w:rsid w:val="003D6B10"/>
    <w:rsid w:val="003D7DE9"/>
    <w:rsid w:val="003E3D2D"/>
    <w:rsid w:val="003E413A"/>
    <w:rsid w:val="003E462F"/>
    <w:rsid w:val="003E78EF"/>
    <w:rsid w:val="003F044A"/>
    <w:rsid w:val="003F126A"/>
    <w:rsid w:val="003F7301"/>
    <w:rsid w:val="004012F9"/>
    <w:rsid w:val="00405103"/>
    <w:rsid w:val="00410AFA"/>
    <w:rsid w:val="00410CA9"/>
    <w:rsid w:val="004130DA"/>
    <w:rsid w:val="00413FEF"/>
    <w:rsid w:val="00420162"/>
    <w:rsid w:val="004209EB"/>
    <w:rsid w:val="00420AD7"/>
    <w:rsid w:val="004330D0"/>
    <w:rsid w:val="0043372D"/>
    <w:rsid w:val="00435066"/>
    <w:rsid w:val="00443089"/>
    <w:rsid w:val="0044403F"/>
    <w:rsid w:val="00446CFB"/>
    <w:rsid w:val="00447BE3"/>
    <w:rsid w:val="00450CA9"/>
    <w:rsid w:val="00462FFC"/>
    <w:rsid w:val="00465AB2"/>
    <w:rsid w:val="00466D0B"/>
    <w:rsid w:val="004723A8"/>
    <w:rsid w:val="00475AC2"/>
    <w:rsid w:val="00475D9C"/>
    <w:rsid w:val="00477C9C"/>
    <w:rsid w:val="0048783A"/>
    <w:rsid w:val="00491094"/>
    <w:rsid w:val="004948A6"/>
    <w:rsid w:val="004A61B6"/>
    <w:rsid w:val="004A742D"/>
    <w:rsid w:val="004B0105"/>
    <w:rsid w:val="004B4E6A"/>
    <w:rsid w:val="004C0818"/>
    <w:rsid w:val="004C2B4F"/>
    <w:rsid w:val="004C5926"/>
    <w:rsid w:val="004D337C"/>
    <w:rsid w:val="004E0E2D"/>
    <w:rsid w:val="004E1E54"/>
    <w:rsid w:val="004E20F6"/>
    <w:rsid w:val="004E2483"/>
    <w:rsid w:val="004E5783"/>
    <w:rsid w:val="004E7F7E"/>
    <w:rsid w:val="004F3B3E"/>
    <w:rsid w:val="004F50D9"/>
    <w:rsid w:val="004F6292"/>
    <w:rsid w:val="004F707F"/>
    <w:rsid w:val="004F7938"/>
    <w:rsid w:val="005006C6"/>
    <w:rsid w:val="00500C63"/>
    <w:rsid w:val="00502BF5"/>
    <w:rsid w:val="00505835"/>
    <w:rsid w:val="00512852"/>
    <w:rsid w:val="00512B93"/>
    <w:rsid w:val="0051416B"/>
    <w:rsid w:val="00517B09"/>
    <w:rsid w:val="00520FF1"/>
    <w:rsid w:val="00522D48"/>
    <w:rsid w:val="00530F6E"/>
    <w:rsid w:val="00531784"/>
    <w:rsid w:val="0053312C"/>
    <w:rsid w:val="00533411"/>
    <w:rsid w:val="0054367B"/>
    <w:rsid w:val="00545991"/>
    <w:rsid w:val="00557E00"/>
    <w:rsid w:val="00560769"/>
    <w:rsid w:val="005615CE"/>
    <w:rsid w:val="00561E36"/>
    <w:rsid w:val="005620C7"/>
    <w:rsid w:val="00565342"/>
    <w:rsid w:val="00566C80"/>
    <w:rsid w:val="00567571"/>
    <w:rsid w:val="005702B0"/>
    <w:rsid w:val="00572654"/>
    <w:rsid w:val="005736CB"/>
    <w:rsid w:val="00573C31"/>
    <w:rsid w:val="00580F00"/>
    <w:rsid w:val="00580F3C"/>
    <w:rsid w:val="00581991"/>
    <w:rsid w:val="00586CC6"/>
    <w:rsid w:val="00586FFF"/>
    <w:rsid w:val="00594CFB"/>
    <w:rsid w:val="005A09D2"/>
    <w:rsid w:val="005A28EA"/>
    <w:rsid w:val="005A5750"/>
    <w:rsid w:val="005C2438"/>
    <w:rsid w:val="005C6A0F"/>
    <w:rsid w:val="005C702B"/>
    <w:rsid w:val="005D41C4"/>
    <w:rsid w:val="005E3805"/>
    <w:rsid w:val="005F1FB6"/>
    <w:rsid w:val="005F51BD"/>
    <w:rsid w:val="005F6D6F"/>
    <w:rsid w:val="006008E9"/>
    <w:rsid w:val="00600E27"/>
    <w:rsid w:val="00602449"/>
    <w:rsid w:val="00604B7C"/>
    <w:rsid w:val="00605D00"/>
    <w:rsid w:val="0060774D"/>
    <w:rsid w:val="006106DC"/>
    <w:rsid w:val="0061799A"/>
    <w:rsid w:val="00623950"/>
    <w:rsid w:val="0062600D"/>
    <w:rsid w:val="00626307"/>
    <w:rsid w:val="006307A0"/>
    <w:rsid w:val="00633DA4"/>
    <w:rsid w:val="0064532C"/>
    <w:rsid w:val="00656A28"/>
    <w:rsid w:val="006601DE"/>
    <w:rsid w:val="006614F2"/>
    <w:rsid w:val="00662F9A"/>
    <w:rsid w:val="006726DE"/>
    <w:rsid w:val="00676C34"/>
    <w:rsid w:val="006810BE"/>
    <w:rsid w:val="00684B65"/>
    <w:rsid w:val="006867F8"/>
    <w:rsid w:val="006933A3"/>
    <w:rsid w:val="0069504A"/>
    <w:rsid w:val="0069591B"/>
    <w:rsid w:val="00697CA9"/>
    <w:rsid w:val="00697D5B"/>
    <w:rsid w:val="006A1100"/>
    <w:rsid w:val="006A12DE"/>
    <w:rsid w:val="006B1D62"/>
    <w:rsid w:val="006D597E"/>
    <w:rsid w:val="006E0CDA"/>
    <w:rsid w:val="006E3135"/>
    <w:rsid w:val="006E73AD"/>
    <w:rsid w:val="006F21E6"/>
    <w:rsid w:val="006F5E11"/>
    <w:rsid w:val="006F74A0"/>
    <w:rsid w:val="006F7E70"/>
    <w:rsid w:val="00702E99"/>
    <w:rsid w:val="00703683"/>
    <w:rsid w:val="007054EB"/>
    <w:rsid w:val="00707E78"/>
    <w:rsid w:val="0071200F"/>
    <w:rsid w:val="00712035"/>
    <w:rsid w:val="00712451"/>
    <w:rsid w:val="00716814"/>
    <w:rsid w:val="007243A6"/>
    <w:rsid w:val="007307BE"/>
    <w:rsid w:val="007328D7"/>
    <w:rsid w:val="00733FBF"/>
    <w:rsid w:val="0075445B"/>
    <w:rsid w:val="00760472"/>
    <w:rsid w:val="00761A92"/>
    <w:rsid w:val="00763B61"/>
    <w:rsid w:val="007651FE"/>
    <w:rsid w:val="0076661E"/>
    <w:rsid w:val="00767CE5"/>
    <w:rsid w:val="00767FE4"/>
    <w:rsid w:val="00774F5A"/>
    <w:rsid w:val="00776080"/>
    <w:rsid w:val="007770BF"/>
    <w:rsid w:val="0077793B"/>
    <w:rsid w:val="00780D71"/>
    <w:rsid w:val="007873C2"/>
    <w:rsid w:val="00791E1C"/>
    <w:rsid w:val="007A5571"/>
    <w:rsid w:val="007B3A72"/>
    <w:rsid w:val="007B4606"/>
    <w:rsid w:val="007B5063"/>
    <w:rsid w:val="007C7E1A"/>
    <w:rsid w:val="007D39E2"/>
    <w:rsid w:val="007E2787"/>
    <w:rsid w:val="007E2970"/>
    <w:rsid w:val="007E4602"/>
    <w:rsid w:val="007E547F"/>
    <w:rsid w:val="007E6CCF"/>
    <w:rsid w:val="0080025B"/>
    <w:rsid w:val="008022B3"/>
    <w:rsid w:val="0080775C"/>
    <w:rsid w:val="008123E2"/>
    <w:rsid w:val="00812982"/>
    <w:rsid w:val="00816EB7"/>
    <w:rsid w:val="0081778E"/>
    <w:rsid w:val="00823001"/>
    <w:rsid w:val="00825B0B"/>
    <w:rsid w:val="00827AB2"/>
    <w:rsid w:val="00831CEB"/>
    <w:rsid w:val="0084626C"/>
    <w:rsid w:val="00847F04"/>
    <w:rsid w:val="00852295"/>
    <w:rsid w:val="0085250C"/>
    <w:rsid w:val="00852AD3"/>
    <w:rsid w:val="00853B47"/>
    <w:rsid w:val="008542E5"/>
    <w:rsid w:val="00856BBC"/>
    <w:rsid w:val="008634BB"/>
    <w:rsid w:val="00870321"/>
    <w:rsid w:val="00872183"/>
    <w:rsid w:val="00872E16"/>
    <w:rsid w:val="00873869"/>
    <w:rsid w:val="00877ABD"/>
    <w:rsid w:val="008830CB"/>
    <w:rsid w:val="00883EBB"/>
    <w:rsid w:val="00891FE3"/>
    <w:rsid w:val="0089653A"/>
    <w:rsid w:val="008A2D41"/>
    <w:rsid w:val="008A3362"/>
    <w:rsid w:val="008A3F8F"/>
    <w:rsid w:val="008A40BC"/>
    <w:rsid w:val="008A4783"/>
    <w:rsid w:val="008B1F88"/>
    <w:rsid w:val="008B24A2"/>
    <w:rsid w:val="008B53BA"/>
    <w:rsid w:val="008B58C1"/>
    <w:rsid w:val="008C0279"/>
    <w:rsid w:val="008C10A4"/>
    <w:rsid w:val="008C25AD"/>
    <w:rsid w:val="008C2B16"/>
    <w:rsid w:val="008C340F"/>
    <w:rsid w:val="008C5981"/>
    <w:rsid w:val="008C6A72"/>
    <w:rsid w:val="008D0E39"/>
    <w:rsid w:val="008E295F"/>
    <w:rsid w:val="008E4A03"/>
    <w:rsid w:val="008E5529"/>
    <w:rsid w:val="008F2657"/>
    <w:rsid w:val="008F29C7"/>
    <w:rsid w:val="008F5C6E"/>
    <w:rsid w:val="008F6F0B"/>
    <w:rsid w:val="00902838"/>
    <w:rsid w:val="00902CCB"/>
    <w:rsid w:val="00902FCD"/>
    <w:rsid w:val="009058A3"/>
    <w:rsid w:val="00911C66"/>
    <w:rsid w:val="00912FD4"/>
    <w:rsid w:val="00914224"/>
    <w:rsid w:val="009145A5"/>
    <w:rsid w:val="00917396"/>
    <w:rsid w:val="00925CD4"/>
    <w:rsid w:val="00932DDA"/>
    <w:rsid w:val="00934C48"/>
    <w:rsid w:val="00935AF8"/>
    <w:rsid w:val="00935FB1"/>
    <w:rsid w:val="00941763"/>
    <w:rsid w:val="0094791B"/>
    <w:rsid w:val="00951B72"/>
    <w:rsid w:val="00954188"/>
    <w:rsid w:val="0095437A"/>
    <w:rsid w:val="009669CE"/>
    <w:rsid w:val="00971C8D"/>
    <w:rsid w:val="009732A9"/>
    <w:rsid w:val="00980AAF"/>
    <w:rsid w:val="00981BD1"/>
    <w:rsid w:val="009858C9"/>
    <w:rsid w:val="00987399"/>
    <w:rsid w:val="009A2F99"/>
    <w:rsid w:val="009A38E4"/>
    <w:rsid w:val="009A7D1D"/>
    <w:rsid w:val="009B122A"/>
    <w:rsid w:val="009B2ADE"/>
    <w:rsid w:val="009B5370"/>
    <w:rsid w:val="009B61DF"/>
    <w:rsid w:val="009B631E"/>
    <w:rsid w:val="009C0D9D"/>
    <w:rsid w:val="009C145E"/>
    <w:rsid w:val="009C4321"/>
    <w:rsid w:val="009C5D3C"/>
    <w:rsid w:val="009D07F5"/>
    <w:rsid w:val="009D14E8"/>
    <w:rsid w:val="009D462D"/>
    <w:rsid w:val="009D63AB"/>
    <w:rsid w:val="009E03D4"/>
    <w:rsid w:val="009E1951"/>
    <w:rsid w:val="009E50DF"/>
    <w:rsid w:val="009F1D50"/>
    <w:rsid w:val="009F2D8B"/>
    <w:rsid w:val="009F4E7F"/>
    <w:rsid w:val="009F5758"/>
    <w:rsid w:val="009F7715"/>
    <w:rsid w:val="009F7BD2"/>
    <w:rsid w:val="00A00638"/>
    <w:rsid w:val="00A019BA"/>
    <w:rsid w:val="00A033EC"/>
    <w:rsid w:val="00A14F3D"/>
    <w:rsid w:val="00A167C1"/>
    <w:rsid w:val="00A22A80"/>
    <w:rsid w:val="00A3114F"/>
    <w:rsid w:val="00A317E2"/>
    <w:rsid w:val="00A33386"/>
    <w:rsid w:val="00A335DB"/>
    <w:rsid w:val="00A37C93"/>
    <w:rsid w:val="00A42494"/>
    <w:rsid w:val="00A43A8B"/>
    <w:rsid w:val="00A47411"/>
    <w:rsid w:val="00A505D8"/>
    <w:rsid w:val="00A51C17"/>
    <w:rsid w:val="00A5316B"/>
    <w:rsid w:val="00A53387"/>
    <w:rsid w:val="00A54FC8"/>
    <w:rsid w:val="00A650D0"/>
    <w:rsid w:val="00A6564A"/>
    <w:rsid w:val="00A7422B"/>
    <w:rsid w:val="00A75538"/>
    <w:rsid w:val="00A80AA9"/>
    <w:rsid w:val="00A85A26"/>
    <w:rsid w:val="00A8635E"/>
    <w:rsid w:val="00A87C22"/>
    <w:rsid w:val="00A92F98"/>
    <w:rsid w:val="00A94DD7"/>
    <w:rsid w:val="00A95380"/>
    <w:rsid w:val="00A95B51"/>
    <w:rsid w:val="00A966D6"/>
    <w:rsid w:val="00A96F86"/>
    <w:rsid w:val="00A975B7"/>
    <w:rsid w:val="00AA2820"/>
    <w:rsid w:val="00AA432E"/>
    <w:rsid w:val="00AA5413"/>
    <w:rsid w:val="00AB019A"/>
    <w:rsid w:val="00AB45AE"/>
    <w:rsid w:val="00AC2CD1"/>
    <w:rsid w:val="00AC46B8"/>
    <w:rsid w:val="00AD0093"/>
    <w:rsid w:val="00AD27AC"/>
    <w:rsid w:val="00AD4519"/>
    <w:rsid w:val="00AD5410"/>
    <w:rsid w:val="00AD618C"/>
    <w:rsid w:val="00AD6735"/>
    <w:rsid w:val="00AD7636"/>
    <w:rsid w:val="00AD7D12"/>
    <w:rsid w:val="00AE2011"/>
    <w:rsid w:val="00AE2094"/>
    <w:rsid w:val="00AE5E72"/>
    <w:rsid w:val="00AE6392"/>
    <w:rsid w:val="00AF1A25"/>
    <w:rsid w:val="00AF3202"/>
    <w:rsid w:val="00AF578E"/>
    <w:rsid w:val="00B04D82"/>
    <w:rsid w:val="00B06CDC"/>
    <w:rsid w:val="00B07CF7"/>
    <w:rsid w:val="00B11FE0"/>
    <w:rsid w:val="00B1509B"/>
    <w:rsid w:val="00B2003B"/>
    <w:rsid w:val="00B24AF0"/>
    <w:rsid w:val="00B2507F"/>
    <w:rsid w:val="00B270C9"/>
    <w:rsid w:val="00B3116C"/>
    <w:rsid w:val="00B339F9"/>
    <w:rsid w:val="00B40431"/>
    <w:rsid w:val="00B42698"/>
    <w:rsid w:val="00B436C5"/>
    <w:rsid w:val="00B510C1"/>
    <w:rsid w:val="00B522B0"/>
    <w:rsid w:val="00B53C44"/>
    <w:rsid w:val="00B549ED"/>
    <w:rsid w:val="00B627A3"/>
    <w:rsid w:val="00B63985"/>
    <w:rsid w:val="00B64836"/>
    <w:rsid w:val="00B6580D"/>
    <w:rsid w:val="00B66E8E"/>
    <w:rsid w:val="00B750BE"/>
    <w:rsid w:val="00B75101"/>
    <w:rsid w:val="00B75E93"/>
    <w:rsid w:val="00B76DC5"/>
    <w:rsid w:val="00B80664"/>
    <w:rsid w:val="00B8153F"/>
    <w:rsid w:val="00B84E60"/>
    <w:rsid w:val="00B90B53"/>
    <w:rsid w:val="00B913E1"/>
    <w:rsid w:val="00B92046"/>
    <w:rsid w:val="00B92C96"/>
    <w:rsid w:val="00B938BC"/>
    <w:rsid w:val="00BA20BE"/>
    <w:rsid w:val="00BA2B16"/>
    <w:rsid w:val="00BA7DEF"/>
    <w:rsid w:val="00BB142C"/>
    <w:rsid w:val="00BB3D8F"/>
    <w:rsid w:val="00BC1635"/>
    <w:rsid w:val="00BC215B"/>
    <w:rsid w:val="00BC3B28"/>
    <w:rsid w:val="00BC5874"/>
    <w:rsid w:val="00BD10B8"/>
    <w:rsid w:val="00BD39BE"/>
    <w:rsid w:val="00BD5C9A"/>
    <w:rsid w:val="00BD6298"/>
    <w:rsid w:val="00BE38FB"/>
    <w:rsid w:val="00BE52B9"/>
    <w:rsid w:val="00BE571B"/>
    <w:rsid w:val="00BF3ED3"/>
    <w:rsid w:val="00C0067E"/>
    <w:rsid w:val="00C06770"/>
    <w:rsid w:val="00C07A91"/>
    <w:rsid w:val="00C111CC"/>
    <w:rsid w:val="00C13B98"/>
    <w:rsid w:val="00C13CA7"/>
    <w:rsid w:val="00C14AEA"/>
    <w:rsid w:val="00C17078"/>
    <w:rsid w:val="00C2185F"/>
    <w:rsid w:val="00C22A33"/>
    <w:rsid w:val="00C22DC0"/>
    <w:rsid w:val="00C32E63"/>
    <w:rsid w:val="00C3524E"/>
    <w:rsid w:val="00C40783"/>
    <w:rsid w:val="00C42913"/>
    <w:rsid w:val="00C43D5C"/>
    <w:rsid w:val="00C444A9"/>
    <w:rsid w:val="00C465EB"/>
    <w:rsid w:val="00C5179C"/>
    <w:rsid w:val="00C5352D"/>
    <w:rsid w:val="00C56CCE"/>
    <w:rsid w:val="00C61313"/>
    <w:rsid w:val="00C63B35"/>
    <w:rsid w:val="00C6606D"/>
    <w:rsid w:val="00C66A7E"/>
    <w:rsid w:val="00C67652"/>
    <w:rsid w:val="00C742D8"/>
    <w:rsid w:val="00C750FB"/>
    <w:rsid w:val="00C84E67"/>
    <w:rsid w:val="00C853F9"/>
    <w:rsid w:val="00C85C0B"/>
    <w:rsid w:val="00C861D0"/>
    <w:rsid w:val="00C87907"/>
    <w:rsid w:val="00C90D49"/>
    <w:rsid w:val="00C93EC7"/>
    <w:rsid w:val="00C96B8F"/>
    <w:rsid w:val="00CA6027"/>
    <w:rsid w:val="00CB0C1C"/>
    <w:rsid w:val="00CB2CA0"/>
    <w:rsid w:val="00CB5925"/>
    <w:rsid w:val="00CB7A21"/>
    <w:rsid w:val="00CB7B32"/>
    <w:rsid w:val="00CC12B5"/>
    <w:rsid w:val="00CC47DB"/>
    <w:rsid w:val="00CC5D78"/>
    <w:rsid w:val="00CD0170"/>
    <w:rsid w:val="00CD33C7"/>
    <w:rsid w:val="00CD5310"/>
    <w:rsid w:val="00CD725F"/>
    <w:rsid w:val="00CE0737"/>
    <w:rsid w:val="00CE363D"/>
    <w:rsid w:val="00CF51DC"/>
    <w:rsid w:val="00CF54F3"/>
    <w:rsid w:val="00CF7464"/>
    <w:rsid w:val="00CF789B"/>
    <w:rsid w:val="00D02FE9"/>
    <w:rsid w:val="00D047D9"/>
    <w:rsid w:val="00D1401F"/>
    <w:rsid w:val="00D16013"/>
    <w:rsid w:val="00D16A43"/>
    <w:rsid w:val="00D20FC9"/>
    <w:rsid w:val="00D2377A"/>
    <w:rsid w:val="00D24FAB"/>
    <w:rsid w:val="00D341F2"/>
    <w:rsid w:val="00D409EF"/>
    <w:rsid w:val="00D4559C"/>
    <w:rsid w:val="00D5050B"/>
    <w:rsid w:val="00D56534"/>
    <w:rsid w:val="00D62DC9"/>
    <w:rsid w:val="00D63B74"/>
    <w:rsid w:val="00D63DE0"/>
    <w:rsid w:val="00D6429D"/>
    <w:rsid w:val="00D67519"/>
    <w:rsid w:val="00D67AFC"/>
    <w:rsid w:val="00D71078"/>
    <w:rsid w:val="00D71167"/>
    <w:rsid w:val="00D72412"/>
    <w:rsid w:val="00D7299C"/>
    <w:rsid w:val="00D72A51"/>
    <w:rsid w:val="00D75B0C"/>
    <w:rsid w:val="00D82643"/>
    <w:rsid w:val="00D833DD"/>
    <w:rsid w:val="00D8537B"/>
    <w:rsid w:val="00D860EC"/>
    <w:rsid w:val="00D86645"/>
    <w:rsid w:val="00D87D30"/>
    <w:rsid w:val="00D904B4"/>
    <w:rsid w:val="00DA0103"/>
    <w:rsid w:val="00DA2A04"/>
    <w:rsid w:val="00DA55F2"/>
    <w:rsid w:val="00DB1AF7"/>
    <w:rsid w:val="00DB5AD3"/>
    <w:rsid w:val="00DC34D6"/>
    <w:rsid w:val="00DC670E"/>
    <w:rsid w:val="00DC739C"/>
    <w:rsid w:val="00DD1A0C"/>
    <w:rsid w:val="00DD210E"/>
    <w:rsid w:val="00DE0DAC"/>
    <w:rsid w:val="00DE743E"/>
    <w:rsid w:val="00DF267B"/>
    <w:rsid w:val="00DF6353"/>
    <w:rsid w:val="00E019E1"/>
    <w:rsid w:val="00E05438"/>
    <w:rsid w:val="00E159F2"/>
    <w:rsid w:val="00E2034C"/>
    <w:rsid w:val="00E22285"/>
    <w:rsid w:val="00E22462"/>
    <w:rsid w:val="00E3581C"/>
    <w:rsid w:val="00E36635"/>
    <w:rsid w:val="00E41499"/>
    <w:rsid w:val="00E43272"/>
    <w:rsid w:val="00E4376B"/>
    <w:rsid w:val="00E44175"/>
    <w:rsid w:val="00E5195E"/>
    <w:rsid w:val="00E53398"/>
    <w:rsid w:val="00E533D7"/>
    <w:rsid w:val="00E6325E"/>
    <w:rsid w:val="00E72E88"/>
    <w:rsid w:val="00E77108"/>
    <w:rsid w:val="00E80F03"/>
    <w:rsid w:val="00E8442E"/>
    <w:rsid w:val="00E86AFE"/>
    <w:rsid w:val="00E87575"/>
    <w:rsid w:val="00E87795"/>
    <w:rsid w:val="00E902E8"/>
    <w:rsid w:val="00E90331"/>
    <w:rsid w:val="00E90A97"/>
    <w:rsid w:val="00E92CB9"/>
    <w:rsid w:val="00E964EC"/>
    <w:rsid w:val="00E96D0B"/>
    <w:rsid w:val="00EA0C98"/>
    <w:rsid w:val="00EA1CA7"/>
    <w:rsid w:val="00EB1A4A"/>
    <w:rsid w:val="00EB3800"/>
    <w:rsid w:val="00EB51CE"/>
    <w:rsid w:val="00EB5D74"/>
    <w:rsid w:val="00EC0C06"/>
    <w:rsid w:val="00EC7EBC"/>
    <w:rsid w:val="00ED08F5"/>
    <w:rsid w:val="00ED38F8"/>
    <w:rsid w:val="00ED628E"/>
    <w:rsid w:val="00ED6532"/>
    <w:rsid w:val="00ED6849"/>
    <w:rsid w:val="00ED73D5"/>
    <w:rsid w:val="00EF297C"/>
    <w:rsid w:val="00EF2FD2"/>
    <w:rsid w:val="00EF549E"/>
    <w:rsid w:val="00EF742C"/>
    <w:rsid w:val="00F02799"/>
    <w:rsid w:val="00F02E87"/>
    <w:rsid w:val="00F04AEB"/>
    <w:rsid w:val="00F061E2"/>
    <w:rsid w:val="00F06380"/>
    <w:rsid w:val="00F063BC"/>
    <w:rsid w:val="00F06929"/>
    <w:rsid w:val="00F07BA3"/>
    <w:rsid w:val="00F10E8C"/>
    <w:rsid w:val="00F1333D"/>
    <w:rsid w:val="00F172AF"/>
    <w:rsid w:val="00F174D5"/>
    <w:rsid w:val="00F26F09"/>
    <w:rsid w:val="00F30D3E"/>
    <w:rsid w:val="00F31E9E"/>
    <w:rsid w:val="00F40887"/>
    <w:rsid w:val="00F41F04"/>
    <w:rsid w:val="00F420DF"/>
    <w:rsid w:val="00F42181"/>
    <w:rsid w:val="00F44312"/>
    <w:rsid w:val="00F46C49"/>
    <w:rsid w:val="00F47F93"/>
    <w:rsid w:val="00F5597B"/>
    <w:rsid w:val="00F71109"/>
    <w:rsid w:val="00F71E97"/>
    <w:rsid w:val="00F75FD3"/>
    <w:rsid w:val="00F82272"/>
    <w:rsid w:val="00F85171"/>
    <w:rsid w:val="00F86D25"/>
    <w:rsid w:val="00F90EEF"/>
    <w:rsid w:val="00F92225"/>
    <w:rsid w:val="00F964F4"/>
    <w:rsid w:val="00FA0587"/>
    <w:rsid w:val="00FA2A02"/>
    <w:rsid w:val="00FA4687"/>
    <w:rsid w:val="00FA58E4"/>
    <w:rsid w:val="00FA68BA"/>
    <w:rsid w:val="00FA78C6"/>
    <w:rsid w:val="00FB451B"/>
    <w:rsid w:val="00FB64F7"/>
    <w:rsid w:val="00FC2685"/>
    <w:rsid w:val="00FC2BCB"/>
    <w:rsid w:val="00FC4D0F"/>
    <w:rsid w:val="00FC60C1"/>
    <w:rsid w:val="00FC6D8D"/>
    <w:rsid w:val="00FC72DD"/>
    <w:rsid w:val="00FD06FE"/>
    <w:rsid w:val="00FD43BB"/>
    <w:rsid w:val="00FD6C62"/>
    <w:rsid w:val="00FD7DEA"/>
    <w:rsid w:val="00FE0DB3"/>
    <w:rsid w:val="00FE31DD"/>
    <w:rsid w:val="00FE6AEF"/>
    <w:rsid w:val="00FF5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E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1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3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1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3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4869">
      <w:bodyDiv w:val="1"/>
      <w:marLeft w:val="0"/>
      <w:marRight w:val="0"/>
      <w:marTop w:val="0"/>
      <w:marBottom w:val="0"/>
      <w:divBdr>
        <w:top w:val="none" w:sz="0" w:space="0" w:color="auto"/>
        <w:left w:val="none" w:sz="0" w:space="0" w:color="auto"/>
        <w:bottom w:val="none" w:sz="0" w:space="0" w:color="auto"/>
        <w:right w:val="none" w:sz="0" w:space="0" w:color="auto"/>
      </w:divBdr>
    </w:div>
    <w:div w:id="348917615">
      <w:bodyDiv w:val="1"/>
      <w:marLeft w:val="0"/>
      <w:marRight w:val="0"/>
      <w:marTop w:val="0"/>
      <w:marBottom w:val="0"/>
      <w:divBdr>
        <w:top w:val="none" w:sz="0" w:space="0" w:color="auto"/>
        <w:left w:val="none" w:sz="0" w:space="0" w:color="auto"/>
        <w:bottom w:val="none" w:sz="0" w:space="0" w:color="auto"/>
        <w:right w:val="none" w:sz="0" w:space="0" w:color="auto"/>
      </w:divBdr>
    </w:div>
    <w:div w:id="550045194">
      <w:bodyDiv w:val="1"/>
      <w:marLeft w:val="0"/>
      <w:marRight w:val="0"/>
      <w:marTop w:val="0"/>
      <w:marBottom w:val="0"/>
      <w:divBdr>
        <w:top w:val="none" w:sz="0" w:space="0" w:color="auto"/>
        <w:left w:val="none" w:sz="0" w:space="0" w:color="auto"/>
        <w:bottom w:val="none" w:sz="0" w:space="0" w:color="auto"/>
        <w:right w:val="none" w:sz="0" w:space="0" w:color="auto"/>
      </w:divBdr>
    </w:div>
    <w:div w:id="711347353">
      <w:bodyDiv w:val="1"/>
      <w:marLeft w:val="0"/>
      <w:marRight w:val="0"/>
      <w:marTop w:val="0"/>
      <w:marBottom w:val="0"/>
      <w:divBdr>
        <w:top w:val="none" w:sz="0" w:space="0" w:color="auto"/>
        <w:left w:val="none" w:sz="0" w:space="0" w:color="auto"/>
        <w:bottom w:val="none" w:sz="0" w:space="0" w:color="auto"/>
        <w:right w:val="none" w:sz="0" w:space="0" w:color="auto"/>
      </w:divBdr>
    </w:div>
    <w:div w:id="852496952">
      <w:bodyDiv w:val="1"/>
      <w:marLeft w:val="0"/>
      <w:marRight w:val="0"/>
      <w:marTop w:val="0"/>
      <w:marBottom w:val="0"/>
      <w:divBdr>
        <w:top w:val="none" w:sz="0" w:space="0" w:color="auto"/>
        <w:left w:val="none" w:sz="0" w:space="0" w:color="auto"/>
        <w:bottom w:val="none" w:sz="0" w:space="0" w:color="auto"/>
        <w:right w:val="none" w:sz="0" w:space="0" w:color="auto"/>
      </w:divBdr>
    </w:div>
    <w:div w:id="924802546">
      <w:bodyDiv w:val="1"/>
      <w:marLeft w:val="0"/>
      <w:marRight w:val="0"/>
      <w:marTop w:val="0"/>
      <w:marBottom w:val="0"/>
      <w:divBdr>
        <w:top w:val="none" w:sz="0" w:space="0" w:color="auto"/>
        <w:left w:val="none" w:sz="0" w:space="0" w:color="auto"/>
        <w:bottom w:val="none" w:sz="0" w:space="0" w:color="auto"/>
        <w:right w:val="none" w:sz="0" w:space="0" w:color="auto"/>
      </w:divBdr>
    </w:div>
    <w:div w:id="1260020036">
      <w:bodyDiv w:val="1"/>
      <w:marLeft w:val="0"/>
      <w:marRight w:val="0"/>
      <w:marTop w:val="0"/>
      <w:marBottom w:val="0"/>
      <w:divBdr>
        <w:top w:val="none" w:sz="0" w:space="0" w:color="auto"/>
        <w:left w:val="none" w:sz="0" w:space="0" w:color="auto"/>
        <w:bottom w:val="none" w:sz="0" w:space="0" w:color="auto"/>
        <w:right w:val="none" w:sz="0" w:space="0" w:color="auto"/>
      </w:divBdr>
    </w:div>
    <w:div w:id="1330908630">
      <w:bodyDiv w:val="1"/>
      <w:marLeft w:val="0"/>
      <w:marRight w:val="0"/>
      <w:marTop w:val="0"/>
      <w:marBottom w:val="0"/>
      <w:divBdr>
        <w:top w:val="none" w:sz="0" w:space="0" w:color="auto"/>
        <w:left w:val="none" w:sz="0" w:space="0" w:color="auto"/>
        <w:bottom w:val="none" w:sz="0" w:space="0" w:color="auto"/>
        <w:right w:val="none" w:sz="0" w:space="0" w:color="auto"/>
      </w:divBdr>
    </w:div>
    <w:div w:id="1354648111">
      <w:bodyDiv w:val="1"/>
      <w:marLeft w:val="0"/>
      <w:marRight w:val="0"/>
      <w:marTop w:val="0"/>
      <w:marBottom w:val="0"/>
      <w:divBdr>
        <w:top w:val="none" w:sz="0" w:space="0" w:color="auto"/>
        <w:left w:val="none" w:sz="0" w:space="0" w:color="auto"/>
        <w:bottom w:val="none" w:sz="0" w:space="0" w:color="auto"/>
        <w:right w:val="none" w:sz="0" w:space="0" w:color="auto"/>
      </w:divBdr>
    </w:div>
    <w:div w:id="1914965238">
      <w:bodyDiv w:val="1"/>
      <w:marLeft w:val="0"/>
      <w:marRight w:val="0"/>
      <w:marTop w:val="0"/>
      <w:marBottom w:val="0"/>
      <w:divBdr>
        <w:top w:val="none" w:sz="0" w:space="0" w:color="auto"/>
        <w:left w:val="none" w:sz="0" w:space="0" w:color="auto"/>
        <w:bottom w:val="none" w:sz="0" w:space="0" w:color="auto"/>
        <w:right w:val="none" w:sz="0" w:space="0" w:color="auto"/>
      </w:divBdr>
    </w:div>
    <w:div w:id="2065792158">
      <w:bodyDiv w:val="1"/>
      <w:marLeft w:val="0"/>
      <w:marRight w:val="0"/>
      <w:marTop w:val="0"/>
      <w:marBottom w:val="0"/>
      <w:divBdr>
        <w:top w:val="none" w:sz="0" w:space="0" w:color="auto"/>
        <w:left w:val="none" w:sz="0" w:space="0" w:color="auto"/>
        <w:bottom w:val="none" w:sz="0" w:space="0" w:color="auto"/>
        <w:right w:val="none" w:sz="0" w:space="0" w:color="auto"/>
      </w:divBdr>
    </w:div>
    <w:div w:id="211755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24398037201868"/>
          <c:y val="8.4452975047984644E-2"/>
          <c:w val="0.817350222526532"/>
          <c:h val="0.69950700500249374"/>
        </c:manualLayout>
      </c:layout>
      <c:scatterChart>
        <c:scatterStyle val="lineMarker"/>
        <c:varyColors val="0"/>
        <c:ser>
          <c:idx val="0"/>
          <c:order val="0"/>
          <c:tx>
            <c:strRef>
              <c:f>Taul1!$B$2</c:f>
              <c:strCache>
                <c:ptCount val="1"/>
                <c:pt idx="0">
                  <c:v>Abdominal aorta</c:v>
                </c:pt>
              </c:strCache>
            </c:strRef>
          </c:tx>
          <c:spPr>
            <a:ln w="19050"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xVal>
            <c:numRef>
              <c:f>Taul1!$A$3:$A$28</c:f>
              <c:numCache>
                <c:formatCode>General</c:formatCode>
                <c:ptCount val="26"/>
                <c:pt idx="0">
                  <c:v>2</c:v>
                </c:pt>
                <c:pt idx="1">
                  <c:v>6</c:v>
                </c:pt>
                <c:pt idx="2">
                  <c:v>10</c:v>
                </c:pt>
                <c:pt idx="3">
                  <c:v>14</c:v>
                </c:pt>
                <c:pt idx="4">
                  <c:v>18</c:v>
                </c:pt>
                <c:pt idx="5">
                  <c:v>22</c:v>
                </c:pt>
                <c:pt idx="6">
                  <c:v>26</c:v>
                </c:pt>
                <c:pt idx="7">
                  <c:v>30</c:v>
                </c:pt>
                <c:pt idx="8">
                  <c:v>34</c:v>
                </c:pt>
                <c:pt idx="9">
                  <c:v>38</c:v>
                </c:pt>
                <c:pt idx="10">
                  <c:v>42</c:v>
                </c:pt>
                <c:pt idx="11">
                  <c:v>46</c:v>
                </c:pt>
                <c:pt idx="12">
                  <c:v>50</c:v>
                </c:pt>
                <c:pt idx="13">
                  <c:v>54</c:v>
                </c:pt>
                <c:pt idx="14">
                  <c:v>58</c:v>
                </c:pt>
                <c:pt idx="15">
                  <c:v>65</c:v>
                </c:pt>
                <c:pt idx="16">
                  <c:v>75</c:v>
                </c:pt>
                <c:pt idx="17">
                  <c:v>85</c:v>
                </c:pt>
                <c:pt idx="18">
                  <c:v>95</c:v>
                </c:pt>
                <c:pt idx="19">
                  <c:v>110</c:v>
                </c:pt>
                <c:pt idx="20">
                  <c:v>130</c:v>
                </c:pt>
                <c:pt idx="21">
                  <c:v>150</c:v>
                </c:pt>
                <c:pt idx="22">
                  <c:v>170</c:v>
                </c:pt>
                <c:pt idx="23">
                  <c:v>210</c:v>
                </c:pt>
                <c:pt idx="24">
                  <c:v>270</c:v>
                </c:pt>
                <c:pt idx="25">
                  <c:v>330</c:v>
                </c:pt>
              </c:numCache>
            </c:numRef>
          </c:xVal>
          <c:yVal>
            <c:numRef>
              <c:f>Taul1!$B$3:$B$28</c:f>
              <c:numCache>
                <c:formatCode>General</c:formatCode>
                <c:ptCount val="26"/>
                <c:pt idx="0">
                  <c:v>3.3240499999999998E-3</c:v>
                </c:pt>
                <c:pt idx="1">
                  <c:v>3.5734299999999997E-2</c:v>
                </c:pt>
                <c:pt idx="2">
                  <c:v>0.13414599999999999</c:v>
                </c:pt>
                <c:pt idx="3">
                  <c:v>0.194909</c:v>
                </c:pt>
                <c:pt idx="4">
                  <c:v>2.25393</c:v>
                </c:pt>
                <c:pt idx="5">
                  <c:v>10.8271</c:v>
                </c:pt>
                <c:pt idx="6">
                  <c:v>21.402100000000001</c:v>
                </c:pt>
                <c:pt idx="7">
                  <c:v>28.907499999999999</c:v>
                </c:pt>
                <c:pt idx="8">
                  <c:v>27.6022</c:v>
                </c:pt>
                <c:pt idx="9">
                  <c:v>25.688600000000001</c:v>
                </c:pt>
                <c:pt idx="10">
                  <c:v>22.7347</c:v>
                </c:pt>
                <c:pt idx="11">
                  <c:v>18.125800000000002</c:v>
                </c:pt>
                <c:pt idx="12">
                  <c:v>13.6966</c:v>
                </c:pt>
                <c:pt idx="13">
                  <c:v>11.635</c:v>
                </c:pt>
                <c:pt idx="14">
                  <c:v>9.8279999999999994</c:v>
                </c:pt>
                <c:pt idx="15">
                  <c:v>6.8820699999999997</c:v>
                </c:pt>
                <c:pt idx="16">
                  <c:v>6.1899499999999996</c:v>
                </c:pt>
                <c:pt idx="17">
                  <c:v>5.7578899999999997</c:v>
                </c:pt>
                <c:pt idx="18">
                  <c:v>5.4162499999999998</c:v>
                </c:pt>
                <c:pt idx="19">
                  <c:v>4.7134</c:v>
                </c:pt>
                <c:pt idx="20">
                  <c:v>4.2654399999999999</c:v>
                </c:pt>
                <c:pt idx="21">
                  <c:v>4.3004300000000004</c:v>
                </c:pt>
                <c:pt idx="22">
                  <c:v>5.1178499999999998</c:v>
                </c:pt>
                <c:pt idx="23">
                  <c:v>4.3348100000000001</c:v>
                </c:pt>
                <c:pt idx="24">
                  <c:v>4.21591</c:v>
                </c:pt>
                <c:pt idx="25">
                  <c:v>4.4030699999999996</c:v>
                </c:pt>
              </c:numCache>
            </c:numRef>
          </c:yVal>
          <c:smooth val="0"/>
          <c:extLst xmlns:c16r2="http://schemas.microsoft.com/office/drawing/2015/06/chart">
            <c:ext xmlns:c16="http://schemas.microsoft.com/office/drawing/2014/chart" uri="{C3380CC4-5D6E-409C-BE32-E72D297353CC}">
              <c16:uniqueId val="{00000000-FE47-44F4-BE72-F105472B6C6C}"/>
            </c:ext>
          </c:extLst>
        </c:ser>
        <c:ser>
          <c:idx val="1"/>
          <c:order val="1"/>
          <c:tx>
            <c:strRef>
              <c:f>Taul1!$C$2</c:f>
              <c:strCache>
                <c:ptCount val="1"/>
                <c:pt idx="0">
                  <c:v>Iliac artery</c:v>
                </c:pt>
              </c:strCache>
            </c:strRef>
          </c:tx>
          <c:spPr>
            <a:ln w="19050" cap="rnd">
              <a:solidFill>
                <a:srgbClr val="E7E6E6">
                  <a:lumMod val="75000"/>
                </a:srgbClr>
              </a:solidFill>
              <a:round/>
            </a:ln>
            <a:effectLst/>
          </c:spPr>
          <c:marker>
            <c:symbol val="circle"/>
            <c:size val="5"/>
            <c:spPr>
              <a:solidFill>
                <a:sysClr val="window" lastClr="FFFFFF">
                  <a:lumMod val="50000"/>
                </a:sysClr>
              </a:solidFill>
              <a:ln w="9525">
                <a:solidFill>
                  <a:srgbClr val="E7E6E6">
                    <a:lumMod val="75000"/>
                  </a:srgbClr>
                </a:solidFill>
              </a:ln>
              <a:effectLst/>
            </c:spPr>
          </c:marker>
          <c:xVal>
            <c:numRef>
              <c:f>Taul1!$A$3:$A$28</c:f>
              <c:numCache>
                <c:formatCode>General</c:formatCode>
                <c:ptCount val="26"/>
                <c:pt idx="0">
                  <c:v>2</c:v>
                </c:pt>
                <c:pt idx="1">
                  <c:v>6</c:v>
                </c:pt>
                <c:pt idx="2">
                  <c:v>10</c:v>
                </c:pt>
                <c:pt idx="3">
                  <c:v>14</c:v>
                </c:pt>
                <c:pt idx="4">
                  <c:v>18</c:v>
                </c:pt>
                <c:pt idx="5">
                  <c:v>22</c:v>
                </c:pt>
                <c:pt idx="6">
                  <c:v>26</c:v>
                </c:pt>
                <c:pt idx="7">
                  <c:v>30</c:v>
                </c:pt>
                <c:pt idx="8">
                  <c:v>34</c:v>
                </c:pt>
                <c:pt idx="9">
                  <c:v>38</c:v>
                </c:pt>
                <c:pt idx="10">
                  <c:v>42</c:v>
                </c:pt>
                <c:pt idx="11">
                  <c:v>46</c:v>
                </c:pt>
                <c:pt idx="12">
                  <c:v>50</c:v>
                </c:pt>
                <c:pt idx="13">
                  <c:v>54</c:v>
                </c:pt>
                <c:pt idx="14">
                  <c:v>58</c:v>
                </c:pt>
                <c:pt idx="15">
                  <c:v>65</c:v>
                </c:pt>
                <c:pt idx="16">
                  <c:v>75</c:v>
                </c:pt>
                <c:pt idx="17">
                  <c:v>85</c:v>
                </c:pt>
                <c:pt idx="18">
                  <c:v>95</c:v>
                </c:pt>
                <c:pt idx="19">
                  <c:v>110</c:v>
                </c:pt>
                <c:pt idx="20">
                  <c:v>130</c:v>
                </c:pt>
                <c:pt idx="21">
                  <c:v>150</c:v>
                </c:pt>
                <c:pt idx="22">
                  <c:v>170</c:v>
                </c:pt>
                <c:pt idx="23">
                  <c:v>210</c:v>
                </c:pt>
                <c:pt idx="24">
                  <c:v>270</c:v>
                </c:pt>
                <c:pt idx="25">
                  <c:v>330</c:v>
                </c:pt>
              </c:numCache>
            </c:numRef>
          </c:xVal>
          <c:yVal>
            <c:numRef>
              <c:f>Taul1!$C$3:$C$28</c:f>
              <c:numCache>
                <c:formatCode>General</c:formatCode>
                <c:ptCount val="26"/>
                <c:pt idx="0">
                  <c:v>0</c:v>
                </c:pt>
                <c:pt idx="1">
                  <c:v>0</c:v>
                </c:pt>
                <c:pt idx="2">
                  <c:v>0.50278599999999996</c:v>
                </c:pt>
                <c:pt idx="3">
                  <c:v>2.6793999999999998</c:v>
                </c:pt>
                <c:pt idx="4">
                  <c:v>12.4521</c:v>
                </c:pt>
                <c:pt idx="5">
                  <c:v>27.7669</c:v>
                </c:pt>
                <c:pt idx="6">
                  <c:v>29.1557</c:v>
                </c:pt>
                <c:pt idx="7">
                  <c:v>22.527200000000001</c:v>
                </c:pt>
                <c:pt idx="8">
                  <c:v>19.800599999999999</c:v>
                </c:pt>
                <c:pt idx="9">
                  <c:v>15.993600000000001</c:v>
                </c:pt>
                <c:pt idx="10">
                  <c:v>12.170500000000001</c:v>
                </c:pt>
                <c:pt idx="11">
                  <c:v>7.6082000000000001</c:v>
                </c:pt>
                <c:pt idx="12">
                  <c:v>7.6675000000000004</c:v>
                </c:pt>
                <c:pt idx="13">
                  <c:v>9.3814399999999996</c:v>
                </c:pt>
                <c:pt idx="14">
                  <c:v>5.2710299999999997</c:v>
                </c:pt>
                <c:pt idx="15">
                  <c:v>5.5854499999999998</c:v>
                </c:pt>
                <c:pt idx="16">
                  <c:v>4.8892499999999997</c:v>
                </c:pt>
                <c:pt idx="17">
                  <c:v>4.5940899999999996</c:v>
                </c:pt>
                <c:pt idx="18">
                  <c:v>4.8954599999999999</c:v>
                </c:pt>
                <c:pt idx="19">
                  <c:v>5.4499500000000003</c:v>
                </c:pt>
                <c:pt idx="20">
                  <c:v>5.6107500000000003</c:v>
                </c:pt>
                <c:pt idx="21">
                  <c:v>4.8260899999999998</c:v>
                </c:pt>
                <c:pt idx="22">
                  <c:v>3.9897499999999999</c:v>
                </c:pt>
                <c:pt idx="23">
                  <c:v>4.6704999999999997</c:v>
                </c:pt>
                <c:pt idx="24">
                  <c:v>3.0024500000000001</c:v>
                </c:pt>
                <c:pt idx="25">
                  <c:v>3.6208399999999998</c:v>
                </c:pt>
              </c:numCache>
            </c:numRef>
          </c:yVal>
          <c:smooth val="0"/>
          <c:extLst xmlns:c16r2="http://schemas.microsoft.com/office/drawing/2015/06/chart">
            <c:ext xmlns:c16="http://schemas.microsoft.com/office/drawing/2014/chart" uri="{C3380CC4-5D6E-409C-BE32-E72D297353CC}">
              <c16:uniqueId val="{00000001-FE47-44F4-BE72-F105472B6C6C}"/>
            </c:ext>
          </c:extLst>
        </c:ser>
        <c:dLbls>
          <c:showLegendKey val="0"/>
          <c:showVal val="0"/>
          <c:showCatName val="0"/>
          <c:showSerName val="0"/>
          <c:showPercent val="0"/>
          <c:showBubbleSize val="0"/>
        </c:dLbls>
        <c:axId val="358384000"/>
        <c:axId val="358386304"/>
      </c:scatterChart>
      <c:valAx>
        <c:axId val="3583840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Time</a:t>
                </a:r>
                <a:r>
                  <a:rPr lang="en-GB" baseline="0"/>
                  <a:t> (s)</a:t>
                </a:r>
                <a:endParaRPr lang="en-GB"/>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386304"/>
        <c:crosses val="autoZero"/>
        <c:crossBetween val="midCat"/>
      </c:valAx>
      <c:valAx>
        <c:axId val="358386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Concentration in blood</a:t>
                </a:r>
                <a:r>
                  <a:rPr lang="en-GB" baseline="0"/>
                  <a:t> (SUV)</a:t>
                </a:r>
                <a:endParaRPr lang="en-GB"/>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384000"/>
        <c:crosses val="autoZero"/>
        <c:crossBetween val="midCat"/>
      </c:valAx>
      <c:spPr>
        <a:noFill/>
        <a:ln>
          <a:noFill/>
        </a:ln>
        <a:effectLst/>
      </c:spPr>
    </c:plotArea>
    <c:legend>
      <c:legendPos val="b"/>
      <c:layout>
        <c:manualLayout>
          <c:xMode val="edge"/>
          <c:yMode val="edge"/>
          <c:x val="0.33239347255506108"/>
          <c:y val="0.25822625919474873"/>
          <c:w val="0.51492319981741408"/>
          <c:h val="6.170061466265528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732</Characters>
  <Application>Microsoft Office Word</Application>
  <DocSecurity>0</DocSecurity>
  <Lines>6</Lines>
  <Paragraphs>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Päivärinta</dc:creator>
  <cp:keywords/>
  <dc:description/>
  <cp:lastModifiedBy>AFRENACIA</cp:lastModifiedBy>
  <cp:revision>3</cp:revision>
  <dcterms:created xsi:type="dcterms:W3CDTF">2019-11-01T21:38:00Z</dcterms:created>
  <dcterms:modified xsi:type="dcterms:W3CDTF">2019-11-14T22:14:00Z</dcterms:modified>
</cp:coreProperties>
</file>