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470"/>
        <w:tblW w:w="13502" w:type="dxa"/>
        <w:tblLook w:val="04A0" w:firstRow="1" w:lastRow="0" w:firstColumn="1" w:lastColumn="0" w:noHBand="0" w:noVBand="1"/>
      </w:tblPr>
      <w:tblGrid>
        <w:gridCol w:w="2183"/>
        <w:gridCol w:w="257"/>
        <w:gridCol w:w="1108"/>
        <w:gridCol w:w="1108"/>
        <w:gridCol w:w="1108"/>
        <w:gridCol w:w="1108"/>
        <w:gridCol w:w="964"/>
        <w:gridCol w:w="222"/>
        <w:gridCol w:w="1108"/>
        <w:gridCol w:w="1108"/>
        <w:gridCol w:w="1108"/>
        <w:gridCol w:w="1080"/>
        <w:gridCol w:w="1040"/>
      </w:tblGrid>
      <w:tr w:rsidR="004759DE" w:rsidRPr="004759DE" w:rsidTr="004759DE">
        <w:trPr>
          <w:trHeight w:val="300"/>
        </w:trPr>
        <w:tc>
          <w:tcPr>
            <w:tcW w:w="1246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F13701" wp14:editId="0AD80565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-1370330</wp:posOffset>
                      </wp:positionV>
                      <wp:extent cx="9744075" cy="1403985"/>
                      <wp:effectExtent l="0" t="0" r="9525" b="190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40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59DE" w:rsidRPr="00DB1AAB" w:rsidRDefault="00DB6251" w:rsidP="00AB4467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Additional File 2</w:t>
                                  </w:r>
                                  <w:bookmarkStart w:id="0" w:name="_GoBack"/>
                                  <w:bookmarkEnd w:id="0"/>
                                  <w:r w:rsidR="009D4DB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:rsidR="004759DE" w:rsidRPr="004759DE" w:rsidRDefault="004759DE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Sensitivity analys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is: Excluding patients with strong indication for renin-angiotensin-aldosterone blockade (proteinuric chronic kidney disease and congestive cardiac failure)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6.45pt;margin-top:-107.9pt;width:767.25pt;height:1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" stroked="f">
                      <v:textbox style="mso-fit-shape-to-text:t">
                        <w:txbxContent>
                          <w:p w:rsidR="004759DE" w:rsidRPr="00DB1AAB" w:rsidRDefault="00DB6251" w:rsidP="00AB446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Additional File 2</w:t>
                            </w:r>
                            <w:bookmarkStart w:id="1" w:name="_GoBack"/>
                            <w:bookmarkEnd w:id="1"/>
                            <w:r w:rsidR="009D4DB4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759DE" w:rsidRPr="004759DE" w:rsidRDefault="004759D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Sensitivity analys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is: Excluding patients with strong indication for renin-angiotensin-aldosterone blockade (proteinuric chronic kidney disease and congestive cardiac failure)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Table 1. Covariabl</w:t>
            </w: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 information for non-missing data, by exposure (RAAS blocke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rs / diuretics) and outcome (acute kidney injury</w:t>
            </w: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759DE" w:rsidRPr="004759DE" w:rsidTr="004759DE">
        <w:trPr>
          <w:trHeight w:val="18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Exposed (n=69,610)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44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Unexposed (n=69,610)</w:t>
            </w:r>
          </w:p>
        </w:tc>
      </w:tr>
      <w:tr w:rsidR="004759DE" w:rsidRPr="004759DE" w:rsidTr="004759DE">
        <w:trPr>
          <w:trHeight w:val="135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69,083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99.2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69,273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99.5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Gender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331 (62.8)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196 (37.2)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194 (57.6)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143 (42.4)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37,500 (54.3)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31,583 (45.7)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37,637 (54.3)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31,636 (45.7)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Age at Exposure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191 (36.2)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185 (35.1)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151 (28.7)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137 (40.7)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102 (30.3)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98 (29.1)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36,847 (53.3)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19,168 (27.7)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13,068 (18.9)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36,302 (52.4)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20,106 (29)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12,865 (18.6)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Diagnosis to Exposure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170 (32.3)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61 (11.6)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38 (7.2)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258 (49)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32 (9.5)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124 (36.8)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24 (7.1)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157 (46.6)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26,074 (37.7)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8,672 (12.6)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4,003 (5.8)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30,334 (43.9)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7,134 (10.3)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25,704 (37.1)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5,580 (8.1)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30,855 (44.5)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Medications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208 (39.5)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319 (60.5)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287 (85.2)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50 (14.8)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34,877 (50.5)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34,206 (49.5)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59,642 (86.1)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9,631 (13.9)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GP Consultations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130 (24.7)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171 (32.4)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118 (22.4)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108 (20.5)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72 (21.4)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111 (32.9)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78 (23.1)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76 (22.6)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20,791 (30.1)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24,665 (35.7)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12,610 (18.3)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11,017 (15.9)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18,673 (27)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25,574 (36.9)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13,274 (19.2)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11,752 (17)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Systolic Blood Pressure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 (5.9)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127 (25.1)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221 (43.8)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127 (25.1)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 (6.2)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136 (42)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134 (41.4)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34 (10.5)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3.9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No 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1,843 (2.9)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12,720 (19.8)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30,560 (47.6)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19,016 (29.6)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5,112 (7.7)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23,666 (35.5)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28,440 (42.6)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9,491 (14.2)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3.7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Smoking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96 (18.3)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220 (41.9)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209 (39.8)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70 (20.8)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150 (44.6)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116 (34.5)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0.3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12,026 (17.5)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34,711 (50.5)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22,056 (32.1)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12,032 (17.4)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35,098 (50.8)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22,003 (31.8)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GFR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343 (75.6)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80 (17.6)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31 (6.8)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13.9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236 (77.9)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50 (16.5)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 (5.6)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10.1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41,659 (86.2)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5,686 (11.8)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977 (2)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30.1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37,505 (84.9)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6,000 (13.6)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648 (1.5)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36.3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Chronic Conditions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387 (73.4)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 (26.6)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279 (82.8)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58 (17.2)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56,521 (81.8)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12,562 (18.2)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61,312 (88.5)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7,961 (11.5)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Chronic Conditions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Chronic Kidney Disease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7,069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8,605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12.4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Diabetes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10,473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7,253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10.4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Heart Failure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Hypertension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54,636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78.5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48,959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70.3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4759DE" w:rsidRPr="004759DE" w:rsidTr="004759DE">
        <w:trPr>
          <w:trHeight w:val="300"/>
        </w:trPr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Ischaemic Heart Disease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11,353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16.3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13,527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759D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19.4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9DE" w:rsidRPr="004759DE" w:rsidRDefault="004759DE" w:rsidP="00475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AB27D9" w:rsidRDefault="00AB27D9"/>
    <w:p w:rsidR="004759DE" w:rsidRDefault="004759DE"/>
    <w:p w:rsidR="004759DE" w:rsidRDefault="004759DE"/>
    <w:p w:rsidR="004759DE" w:rsidRDefault="004759DE"/>
    <w:p w:rsidR="004759DE" w:rsidRDefault="004759DE"/>
    <w:p w:rsidR="004759DE" w:rsidRDefault="004759DE"/>
    <w:p w:rsidR="004759DE" w:rsidRDefault="004759DE"/>
    <w:p w:rsidR="004759DE" w:rsidRDefault="004759DE"/>
    <w:p w:rsidR="004759DE" w:rsidRDefault="004759DE"/>
    <w:p w:rsidR="004759DE" w:rsidRDefault="004759DE"/>
    <w:p w:rsidR="004759DE" w:rsidRDefault="004759DE"/>
    <w:p w:rsidR="004759DE" w:rsidRDefault="004759DE"/>
    <w:p w:rsidR="004759DE" w:rsidRPr="009E4168" w:rsidRDefault="004759DE" w:rsidP="004759DE">
      <w:pPr>
        <w:rPr>
          <w:i/>
        </w:rPr>
      </w:pPr>
      <w:r w:rsidRPr="009E4168">
        <w:rPr>
          <w:i/>
        </w:rPr>
        <w:t>Percentages exclude missing values, except for the “Missing” column which shows the percentage of patients with missing data.</w:t>
      </w:r>
    </w:p>
    <w:p w:rsidR="004759DE" w:rsidRDefault="004759DE"/>
    <w:p w:rsidR="005E56AF" w:rsidRDefault="005E56AF"/>
    <w:p w:rsidR="005E56AF" w:rsidRDefault="005E56AF"/>
    <w:p w:rsidR="005E56AF" w:rsidRDefault="005E56AF"/>
    <w:p w:rsidR="005E56AF" w:rsidRDefault="005E56AF"/>
    <w:tbl>
      <w:tblPr>
        <w:tblW w:w="5000" w:type="pct"/>
        <w:tblLook w:val="04A0" w:firstRow="1" w:lastRow="0" w:firstColumn="1" w:lastColumn="0" w:noHBand="0" w:noVBand="1"/>
      </w:tblPr>
      <w:tblGrid>
        <w:gridCol w:w="2515"/>
        <w:gridCol w:w="222"/>
        <w:gridCol w:w="1379"/>
        <w:gridCol w:w="1379"/>
        <w:gridCol w:w="1470"/>
        <w:gridCol w:w="1379"/>
        <w:gridCol w:w="222"/>
        <w:gridCol w:w="1379"/>
        <w:gridCol w:w="1379"/>
        <w:gridCol w:w="1470"/>
        <w:gridCol w:w="1380"/>
      </w:tblGrid>
      <w:tr w:rsidR="001E5721" w:rsidRPr="001E5721" w:rsidTr="001E572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Table 2. Acute kidney injury r</w:t>
            </w: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ates (per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1,000 person-years) by covariabl</w:t>
            </w: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es (non-missing)</w:t>
            </w: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7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Exposed (n=39,586)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78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Unexposed (n=39,586)</w:t>
            </w: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Overall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Rate (95% CI)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Rate (95% CI)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 (2.11-2.51)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1.66 (1.49-1.84)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Gender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2.64 (2.37-2.94)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1.89 (1.64-2.17)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1.75 (1.52-2.02)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1.54 (1.31-1.82)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Age at Exposure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1.53 (1.33-1.76)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2.91 (2.52-3.36)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3.71 (3.16-4.35)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1.24 (1.05-1.47)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1.72 (1.42-2.09)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2.88 (2.36-3.51)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Diagnosis to Exposure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 (1.72-2.33)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2.29 (1.78-2.94)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 (2.19-4.13)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2.46 (2.18-2.78)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1.79 (1.27-2.53)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1.66 (1.4-1.98)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1.47 (0.99-2.19)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1.66 (1.42-1.94)</w:t>
            </w: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Medications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1.73 (1.51-1.99)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2.92 (2.62-3.26)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1.65 (1.47-1.86)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1.66 (1.26-2.19)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GP Consultations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1.74 (1.47-2.07)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2.06 (1.77-2.39)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2.98 (2.49-3.57)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3.41 (2.82-4.11)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1.19 (0.94-1.49)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1.44 (1.19-1.73)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2.13 (1.71-2.66)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2.62 (2.09-3.28)</w:t>
            </w: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Systolic Blood Pressure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5.5 (3.85-7.87)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3.12 (2.62-3.72)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2.15 (1.89-2.46)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1.95 (1.64-2.32)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1.28 (0.83-1.99)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1.87 (1.58-2.21)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1.64 (1.39-1.94)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1.29 (0.91-1.81)</w:t>
            </w: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Smoking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2.44 (2-2.98)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1.9 (1.67-2.17)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2.87 (2.5-3.28)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1.99 (1.57-2.52)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1.45 (1.23-1.7)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1.8 (1.5-2.16)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GFR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2.41 (2.17-2.68)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3.77 (3.03-4.69)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9.06 (6.37-12.89)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 (1.76-2.27)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2.58 (1.95-3.4)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8.71 (5.33-14.21)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Chronic Conditions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2.09 (1.89-2.31)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3.2 (2.71-3.77)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1.54 (1.37-1.73)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2.59 (2-3.35)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Chronic Conditions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Chronic Kidney Disease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2.06 (1.88-2.27)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4.4 (3.62-5.34)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1.51 (1.34-1.7)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2.75 (2.16-3.51)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Diabetes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2.12 (1.92-2.33)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3.34 (2.78-4.01)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1.46 (1.29-1.64)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3.62 (2.85-4.61)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Heart Failure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 (2.11-2.51)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data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1.66 (1.49-1.84)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data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Hypertension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3.89 (3.36-4.5)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1.9 (1.71-2.11)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2.2 (1.86-2.6)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1.42 (1.24-1.63)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1E5721" w:rsidRPr="001E5721" w:rsidTr="001E5721">
        <w:trPr>
          <w:trHeight w:val="300"/>
        </w:trPr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Ischaemic Heart Disease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2.11 (1.92-2.33)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3.3 (2.76-3.94)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1.68 (1.49-1.89)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57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1.57 (1.24-1.99)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721" w:rsidRPr="001E5721" w:rsidRDefault="001E5721" w:rsidP="001E5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1E5721" w:rsidRPr="009E4168" w:rsidRDefault="001E5721" w:rsidP="001E5721">
      <w:pPr>
        <w:rPr>
          <w:rFonts w:ascii="Calibri" w:hAnsi="Calibri" w:cs="Calibri"/>
          <w:bCs/>
          <w:i/>
          <w:color w:val="000000"/>
        </w:rPr>
      </w:pPr>
      <w:r w:rsidRPr="009E4168">
        <w:rPr>
          <w:rFonts w:ascii="Calibri" w:hAnsi="Calibri" w:cs="Calibri"/>
          <w:bCs/>
          <w:i/>
          <w:color w:val="000000"/>
        </w:rPr>
        <w:t>Numbers in brackets are 95% confidence intervals</w:t>
      </w:r>
    </w:p>
    <w:p w:rsidR="004759DE" w:rsidRDefault="004759DE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CF7FE8" w:rsidRDefault="00CF7FE8"/>
    <w:tbl>
      <w:tblPr>
        <w:tblW w:w="6120" w:type="dxa"/>
        <w:tblInd w:w="93" w:type="dxa"/>
        <w:tblLook w:val="04A0" w:firstRow="1" w:lastRow="0" w:firstColumn="1" w:lastColumn="0" w:noHBand="0" w:noVBand="1"/>
      </w:tblPr>
      <w:tblGrid>
        <w:gridCol w:w="2664"/>
        <w:gridCol w:w="1224"/>
        <w:gridCol w:w="732"/>
        <w:gridCol w:w="740"/>
        <w:gridCol w:w="760"/>
      </w:tblGrid>
      <w:tr w:rsidR="00CF7FE8" w:rsidRPr="00CF7FE8" w:rsidTr="00CF7FE8">
        <w:trPr>
          <w:trHeight w:val="300"/>
        </w:trPr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Table 3. Cox Regression Models (n= 139,220)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Covariates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HR (AKI)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95% LCI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95% UCI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1.58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Sex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1.58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0.89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Age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1.57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 65 years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65-74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1.99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&gt;=75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2.88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Chronic_Time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1.65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 30 days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30 - 179 days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1.41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180 - 364 days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1.64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 365 days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1.36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CKD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CKD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CKD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2.37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DM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1.51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DM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DM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2.19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HT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HT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HT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0.63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IHD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IHD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IHD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1.48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Medications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1.39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 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GP Consultations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1.59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&lt;10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10-19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1.45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20-29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2.18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&gt;=30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2.63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SBP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1.75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&lt;120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120-139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1.26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140-159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0.97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&gt;=160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0.86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Smoking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1.58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1.59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1.63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Basline + GFR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1.56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&gt;=60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45-59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1.59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 45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4.15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Full Model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1.39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Full Model (inc meds*exposure)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 (exposed)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1.19</w:t>
            </w:r>
          </w:p>
        </w:tc>
      </w:tr>
      <w:tr w:rsidR="00CF7FE8" w:rsidRPr="00CF7FE8" w:rsidTr="00CF7FE8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 2 (exposed)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2.6</w:t>
            </w:r>
          </w:p>
        </w:tc>
      </w:tr>
    </w:tbl>
    <w:p w:rsidR="00CF7FE8" w:rsidRPr="009E4168" w:rsidRDefault="00CF7FE8" w:rsidP="00CF7FE8">
      <w:pPr>
        <w:rPr>
          <w:i/>
        </w:rPr>
      </w:pPr>
      <w:r>
        <w:rPr>
          <w:i/>
          <w:vertAlign w:val="superscript"/>
        </w:rPr>
        <w:t>1</w:t>
      </w:r>
      <w:r w:rsidRPr="009E4168">
        <w:rPr>
          <w:i/>
        </w:rPr>
        <w:t>“Baseline” – hazard ratio prior to adjustment for covariable(s).</w:t>
      </w:r>
    </w:p>
    <w:p w:rsidR="00CF7FE8" w:rsidRDefault="00CF7FE8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3898"/>
        <w:gridCol w:w="1789"/>
        <w:gridCol w:w="1072"/>
        <w:gridCol w:w="990"/>
        <w:gridCol w:w="1058"/>
        <w:gridCol w:w="222"/>
      </w:tblGrid>
      <w:tr w:rsidR="00CF7FE8" w:rsidRPr="00CF7FE8" w:rsidTr="00CF7FE8">
        <w:trPr>
          <w:trHeight w:val="300"/>
        </w:trPr>
        <w:tc>
          <w:tcPr>
            <w:tcW w:w="88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Table 4. Cox Regression Models adjusted by Propensity Scores for Disease Severity (n = 139,220)</w:t>
            </w:r>
          </w:p>
        </w:tc>
      </w:tr>
      <w:tr w:rsidR="00CF7FE8" w:rsidRPr="00CF7FE8" w:rsidTr="00CF7FE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285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Covariates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HR (AKI)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95% LCI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95% UCI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P-Score (Full Model)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1.43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Full Model (inc meds*exposure)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 (exposed)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1.28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 2 (exposed)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2.45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Notes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975"/>
        </w:trPr>
        <w:tc>
          <w:tcPr>
            <w:tcW w:w="88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Variables in the propensity score model were: gender, age, time since first chronic condition, number of medications, number of GP consultations, chronic condition flags, systolic blood pressure, kidney function (GFR), and smoking status</w:t>
            </w:r>
          </w:p>
        </w:tc>
        <w:tc>
          <w:tcPr>
            <w:tcW w:w="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CF7FE8" w:rsidRDefault="00CF7FE8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p w:rsidR="005E56AF" w:rsidRDefault="005E56AF"/>
    <w:tbl>
      <w:tblPr>
        <w:tblW w:w="5760" w:type="dxa"/>
        <w:tblInd w:w="93" w:type="dxa"/>
        <w:tblLook w:val="04A0" w:firstRow="1" w:lastRow="0" w:firstColumn="1" w:lastColumn="0" w:noHBand="0" w:noVBand="1"/>
      </w:tblPr>
      <w:tblGrid>
        <w:gridCol w:w="1788"/>
        <w:gridCol w:w="1788"/>
        <w:gridCol w:w="1924"/>
        <w:gridCol w:w="260"/>
      </w:tblGrid>
      <w:tr w:rsidR="00CF7FE8" w:rsidRPr="00CF7FE8" w:rsidTr="00CF7FE8">
        <w:trPr>
          <w:trHeight w:val="660"/>
        </w:trPr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 xml:space="preserve">Table 5. Prior-Event-Rate-Ratio (PERR) Analysis.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165"/>
        </w:trPr>
        <w:tc>
          <w:tcPr>
            <w:tcW w:w="17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915"/>
        </w:trPr>
        <w:tc>
          <w:tcPr>
            <w:tcW w:w="57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With left truncation at 3 years and excluding those with no days before exposure or AKI within 42 days; right truncation at 3 years (n=221,506)</w:t>
            </w:r>
          </w:p>
        </w:tc>
      </w:tr>
      <w:tr w:rsidR="00CF7FE8" w:rsidRPr="00CF7FE8" w:rsidTr="00CF7FE8">
        <w:trPr>
          <w:trHeight w:val="300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HR (prior)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HR (post)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PERR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lang w:eastAsia="en-GB"/>
              </w:rPr>
              <w:t>1.26 (0.96-1.66)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lang w:eastAsia="en-GB"/>
              </w:rPr>
              <w:t>1.59 (1.35-1.86)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color w:val="000000"/>
                <w:lang w:eastAsia="en-GB"/>
              </w:rPr>
              <w:t>1.26 (0.85-1.67)*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150"/>
        </w:trPr>
        <w:tc>
          <w:tcPr>
            <w:tcW w:w="17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F7FE8" w:rsidRPr="00CF7FE8" w:rsidTr="00CF7FE8">
        <w:trPr>
          <w:trHeight w:val="300"/>
        </w:trPr>
        <w:tc>
          <w:tcPr>
            <w:tcW w:w="5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CF7FE8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* Bootstrapped confidence interval; reps=100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FE8" w:rsidRPr="00CF7FE8" w:rsidRDefault="00CF7FE8" w:rsidP="00CF7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CF7FE8" w:rsidRDefault="00CF7FE8"/>
    <w:sectPr w:rsidR="00CF7FE8" w:rsidSect="00AB446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67"/>
    <w:rsid w:val="00000311"/>
    <w:rsid w:val="00003303"/>
    <w:rsid w:val="0002373B"/>
    <w:rsid w:val="000273C1"/>
    <w:rsid w:val="00032219"/>
    <w:rsid w:val="00037939"/>
    <w:rsid w:val="00056431"/>
    <w:rsid w:val="000578A8"/>
    <w:rsid w:val="00066A47"/>
    <w:rsid w:val="0007066A"/>
    <w:rsid w:val="000824E4"/>
    <w:rsid w:val="00083E42"/>
    <w:rsid w:val="00085C04"/>
    <w:rsid w:val="00086670"/>
    <w:rsid w:val="00095899"/>
    <w:rsid w:val="000A639A"/>
    <w:rsid w:val="000C10EB"/>
    <w:rsid w:val="000E7198"/>
    <w:rsid w:val="000F2667"/>
    <w:rsid w:val="000F5CE1"/>
    <w:rsid w:val="00104493"/>
    <w:rsid w:val="0011721D"/>
    <w:rsid w:val="00117655"/>
    <w:rsid w:val="00133834"/>
    <w:rsid w:val="00134FB2"/>
    <w:rsid w:val="00143630"/>
    <w:rsid w:val="00147C39"/>
    <w:rsid w:val="00151897"/>
    <w:rsid w:val="00155E25"/>
    <w:rsid w:val="00181FF8"/>
    <w:rsid w:val="001A4AFB"/>
    <w:rsid w:val="001A693F"/>
    <w:rsid w:val="001B333B"/>
    <w:rsid w:val="001B6AF6"/>
    <w:rsid w:val="001C4EEA"/>
    <w:rsid w:val="001D60CA"/>
    <w:rsid w:val="001E1DB5"/>
    <w:rsid w:val="001E5721"/>
    <w:rsid w:val="001F2B75"/>
    <w:rsid w:val="00203966"/>
    <w:rsid w:val="00210A50"/>
    <w:rsid w:val="00211A4F"/>
    <w:rsid w:val="00212328"/>
    <w:rsid w:val="00222722"/>
    <w:rsid w:val="00222CD4"/>
    <w:rsid w:val="002255B1"/>
    <w:rsid w:val="00233D44"/>
    <w:rsid w:val="00235C93"/>
    <w:rsid w:val="00240B24"/>
    <w:rsid w:val="0025651D"/>
    <w:rsid w:val="00256F39"/>
    <w:rsid w:val="002571C9"/>
    <w:rsid w:val="0026455D"/>
    <w:rsid w:val="00270861"/>
    <w:rsid w:val="002A4602"/>
    <w:rsid w:val="002A64AF"/>
    <w:rsid w:val="002A67B1"/>
    <w:rsid w:val="002A7409"/>
    <w:rsid w:val="002A7A9B"/>
    <w:rsid w:val="002B1A82"/>
    <w:rsid w:val="002B636A"/>
    <w:rsid w:val="002C2450"/>
    <w:rsid w:val="002D2148"/>
    <w:rsid w:val="002D5B52"/>
    <w:rsid w:val="002D7AD1"/>
    <w:rsid w:val="00327B0F"/>
    <w:rsid w:val="0033166D"/>
    <w:rsid w:val="00332777"/>
    <w:rsid w:val="00337880"/>
    <w:rsid w:val="00337C35"/>
    <w:rsid w:val="0034115B"/>
    <w:rsid w:val="00345972"/>
    <w:rsid w:val="0034705F"/>
    <w:rsid w:val="00353048"/>
    <w:rsid w:val="00370083"/>
    <w:rsid w:val="0037269D"/>
    <w:rsid w:val="00376541"/>
    <w:rsid w:val="0038196E"/>
    <w:rsid w:val="0038271D"/>
    <w:rsid w:val="00384E53"/>
    <w:rsid w:val="003868F0"/>
    <w:rsid w:val="00390530"/>
    <w:rsid w:val="00392ECD"/>
    <w:rsid w:val="003A1D10"/>
    <w:rsid w:val="003A4B7D"/>
    <w:rsid w:val="003B424C"/>
    <w:rsid w:val="003B6C1E"/>
    <w:rsid w:val="003D1A99"/>
    <w:rsid w:val="003D2A18"/>
    <w:rsid w:val="003E396B"/>
    <w:rsid w:val="003F7BCA"/>
    <w:rsid w:val="00401160"/>
    <w:rsid w:val="0040771E"/>
    <w:rsid w:val="00414F59"/>
    <w:rsid w:val="0041520D"/>
    <w:rsid w:val="00425B2B"/>
    <w:rsid w:val="00426ECE"/>
    <w:rsid w:val="00432D6D"/>
    <w:rsid w:val="00432F9B"/>
    <w:rsid w:val="00436697"/>
    <w:rsid w:val="00440015"/>
    <w:rsid w:val="004514AD"/>
    <w:rsid w:val="00452181"/>
    <w:rsid w:val="00453215"/>
    <w:rsid w:val="00457661"/>
    <w:rsid w:val="00460902"/>
    <w:rsid w:val="00460BB7"/>
    <w:rsid w:val="00461AA0"/>
    <w:rsid w:val="0047296B"/>
    <w:rsid w:val="00475173"/>
    <w:rsid w:val="004758AB"/>
    <w:rsid w:val="004759DE"/>
    <w:rsid w:val="00484C70"/>
    <w:rsid w:val="004860FD"/>
    <w:rsid w:val="004946B5"/>
    <w:rsid w:val="004A2FA2"/>
    <w:rsid w:val="004A5D9E"/>
    <w:rsid w:val="004D3E44"/>
    <w:rsid w:val="004D3F4B"/>
    <w:rsid w:val="004D704F"/>
    <w:rsid w:val="004E140F"/>
    <w:rsid w:val="004E4AB1"/>
    <w:rsid w:val="004F02F5"/>
    <w:rsid w:val="004F631A"/>
    <w:rsid w:val="004F6A38"/>
    <w:rsid w:val="005020AF"/>
    <w:rsid w:val="00505177"/>
    <w:rsid w:val="005277CD"/>
    <w:rsid w:val="00537902"/>
    <w:rsid w:val="00544232"/>
    <w:rsid w:val="00544BB3"/>
    <w:rsid w:val="00547E22"/>
    <w:rsid w:val="00550011"/>
    <w:rsid w:val="00550F65"/>
    <w:rsid w:val="0055213A"/>
    <w:rsid w:val="005577F5"/>
    <w:rsid w:val="00557BA9"/>
    <w:rsid w:val="00570D51"/>
    <w:rsid w:val="0057710E"/>
    <w:rsid w:val="005924A3"/>
    <w:rsid w:val="00594A5B"/>
    <w:rsid w:val="005B1C46"/>
    <w:rsid w:val="005C1527"/>
    <w:rsid w:val="005C1CC2"/>
    <w:rsid w:val="005C2A83"/>
    <w:rsid w:val="005D32B3"/>
    <w:rsid w:val="005E11EF"/>
    <w:rsid w:val="005E2B35"/>
    <w:rsid w:val="005E56AF"/>
    <w:rsid w:val="005F05D8"/>
    <w:rsid w:val="005F16DF"/>
    <w:rsid w:val="005F35F9"/>
    <w:rsid w:val="006004E4"/>
    <w:rsid w:val="00601DD0"/>
    <w:rsid w:val="00604279"/>
    <w:rsid w:val="00614E57"/>
    <w:rsid w:val="00625DC3"/>
    <w:rsid w:val="006317D4"/>
    <w:rsid w:val="00631FBE"/>
    <w:rsid w:val="0065020E"/>
    <w:rsid w:val="006575A2"/>
    <w:rsid w:val="00667671"/>
    <w:rsid w:val="00667C78"/>
    <w:rsid w:val="00670D8C"/>
    <w:rsid w:val="00673329"/>
    <w:rsid w:val="00682399"/>
    <w:rsid w:val="006836A8"/>
    <w:rsid w:val="00690037"/>
    <w:rsid w:val="006A0F33"/>
    <w:rsid w:val="006B1B64"/>
    <w:rsid w:val="006C21DD"/>
    <w:rsid w:val="006C7600"/>
    <w:rsid w:val="006D7EC8"/>
    <w:rsid w:val="006E1796"/>
    <w:rsid w:val="006E270A"/>
    <w:rsid w:val="0070469A"/>
    <w:rsid w:val="00712539"/>
    <w:rsid w:val="00717B24"/>
    <w:rsid w:val="007208D2"/>
    <w:rsid w:val="00724741"/>
    <w:rsid w:val="00725576"/>
    <w:rsid w:val="00733148"/>
    <w:rsid w:val="00733C29"/>
    <w:rsid w:val="00734B33"/>
    <w:rsid w:val="00746F62"/>
    <w:rsid w:val="007558B1"/>
    <w:rsid w:val="0077064C"/>
    <w:rsid w:val="00775A92"/>
    <w:rsid w:val="00787619"/>
    <w:rsid w:val="00792E1F"/>
    <w:rsid w:val="0079337D"/>
    <w:rsid w:val="007940B7"/>
    <w:rsid w:val="00796FB0"/>
    <w:rsid w:val="007A7383"/>
    <w:rsid w:val="007B095B"/>
    <w:rsid w:val="007C3621"/>
    <w:rsid w:val="007C6074"/>
    <w:rsid w:val="007D56C5"/>
    <w:rsid w:val="007E5D91"/>
    <w:rsid w:val="007E7280"/>
    <w:rsid w:val="007F7EE4"/>
    <w:rsid w:val="00802798"/>
    <w:rsid w:val="00816B13"/>
    <w:rsid w:val="00820DDA"/>
    <w:rsid w:val="008322FF"/>
    <w:rsid w:val="008339EE"/>
    <w:rsid w:val="00837CB6"/>
    <w:rsid w:val="00851723"/>
    <w:rsid w:val="008659B9"/>
    <w:rsid w:val="0086678D"/>
    <w:rsid w:val="00874D3B"/>
    <w:rsid w:val="008755B9"/>
    <w:rsid w:val="00887CD5"/>
    <w:rsid w:val="008909F9"/>
    <w:rsid w:val="008A1F72"/>
    <w:rsid w:val="008F1A46"/>
    <w:rsid w:val="008F398D"/>
    <w:rsid w:val="008F503A"/>
    <w:rsid w:val="00902C3F"/>
    <w:rsid w:val="00903FE5"/>
    <w:rsid w:val="009045CD"/>
    <w:rsid w:val="00912FE8"/>
    <w:rsid w:val="00917644"/>
    <w:rsid w:val="00927555"/>
    <w:rsid w:val="00933E06"/>
    <w:rsid w:val="0093440E"/>
    <w:rsid w:val="0094218A"/>
    <w:rsid w:val="009441C9"/>
    <w:rsid w:val="00946293"/>
    <w:rsid w:val="00957A12"/>
    <w:rsid w:val="00961973"/>
    <w:rsid w:val="0096308D"/>
    <w:rsid w:val="009632BE"/>
    <w:rsid w:val="00973C80"/>
    <w:rsid w:val="0097493D"/>
    <w:rsid w:val="00995C39"/>
    <w:rsid w:val="009A5C86"/>
    <w:rsid w:val="009A6C4C"/>
    <w:rsid w:val="009D38B6"/>
    <w:rsid w:val="009D43FD"/>
    <w:rsid w:val="009D465C"/>
    <w:rsid w:val="009D4DB4"/>
    <w:rsid w:val="009D6BF6"/>
    <w:rsid w:val="009D7509"/>
    <w:rsid w:val="009D7EDD"/>
    <w:rsid w:val="009E371B"/>
    <w:rsid w:val="009F125E"/>
    <w:rsid w:val="009F3155"/>
    <w:rsid w:val="00A042EB"/>
    <w:rsid w:val="00A05A7E"/>
    <w:rsid w:val="00A21D61"/>
    <w:rsid w:val="00A37918"/>
    <w:rsid w:val="00A41248"/>
    <w:rsid w:val="00A5523F"/>
    <w:rsid w:val="00A677F5"/>
    <w:rsid w:val="00A70CB3"/>
    <w:rsid w:val="00A814E3"/>
    <w:rsid w:val="00A90F66"/>
    <w:rsid w:val="00A93CC1"/>
    <w:rsid w:val="00A95C93"/>
    <w:rsid w:val="00AB17AB"/>
    <w:rsid w:val="00AB27D9"/>
    <w:rsid w:val="00AB4467"/>
    <w:rsid w:val="00AC1271"/>
    <w:rsid w:val="00AD1198"/>
    <w:rsid w:val="00AE6862"/>
    <w:rsid w:val="00AF08FE"/>
    <w:rsid w:val="00AF41EC"/>
    <w:rsid w:val="00B05351"/>
    <w:rsid w:val="00B05EFE"/>
    <w:rsid w:val="00B11AA7"/>
    <w:rsid w:val="00B12BD9"/>
    <w:rsid w:val="00B23376"/>
    <w:rsid w:val="00B2437B"/>
    <w:rsid w:val="00B25259"/>
    <w:rsid w:val="00B413EC"/>
    <w:rsid w:val="00B42AB1"/>
    <w:rsid w:val="00B46D22"/>
    <w:rsid w:val="00B51238"/>
    <w:rsid w:val="00B51287"/>
    <w:rsid w:val="00B62644"/>
    <w:rsid w:val="00B64F40"/>
    <w:rsid w:val="00B673BC"/>
    <w:rsid w:val="00B8178B"/>
    <w:rsid w:val="00B846B7"/>
    <w:rsid w:val="00B96CCF"/>
    <w:rsid w:val="00BA4991"/>
    <w:rsid w:val="00BB64EB"/>
    <w:rsid w:val="00BC0D62"/>
    <w:rsid w:val="00BC1C53"/>
    <w:rsid w:val="00BC26DF"/>
    <w:rsid w:val="00BC44CD"/>
    <w:rsid w:val="00BC5A2E"/>
    <w:rsid w:val="00BD28E6"/>
    <w:rsid w:val="00BD3192"/>
    <w:rsid w:val="00BD679B"/>
    <w:rsid w:val="00BD6CA7"/>
    <w:rsid w:val="00BD7731"/>
    <w:rsid w:val="00BE1E7A"/>
    <w:rsid w:val="00BF0EC5"/>
    <w:rsid w:val="00BF23E5"/>
    <w:rsid w:val="00BF28A1"/>
    <w:rsid w:val="00C0321C"/>
    <w:rsid w:val="00C03B55"/>
    <w:rsid w:val="00C11000"/>
    <w:rsid w:val="00C12DFD"/>
    <w:rsid w:val="00C14763"/>
    <w:rsid w:val="00C21E0B"/>
    <w:rsid w:val="00C2226B"/>
    <w:rsid w:val="00C23FDA"/>
    <w:rsid w:val="00C24AD4"/>
    <w:rsid w:val="00C314B0"/>
    <w:rsid w:val="00C327AA"/>
    <w:rsid w:val="00C34E81"/>
    <w:rsid w:val="00C473E5"/>
    <w:rsid w:val="00C53049"/>
    <w:rsid w:val="00C572D1"/>
    <w:rsid w:val="00C6068B"/>
    <w:rsid w:val="00C62679"/>
    <w:rsid w:val="00C648E1"/>
    <w:rsid w:val="00C72A66"/>
    <w:rsid w:val="00C759F6"/>
    <w:rsid w:val="00C84A95"/>
    <w:rsid w:val="00C9116C"/>
    <w:rsid w:val="00C94606"/>
    <w:rsid w:val="00CA398E"/>
    <w:rsid w:val="00CB454F"/>
    <w:rsid w:val="00CB5C64"/>
    <w:rsid w:val="00CC20F2"/>
    <w:rsid w:val="00CC2505"/>
    <w:rsid w:val="00CD4CDA"/>
    <w:rsid w:val="00CE077F"/>
    <w:rsid w:val="00CE4BC4"/>
    <w:rsid w:val="00CF29F6"/>
    <w:rsid w:val="00CF2DD6"/>
    <w:rsid w:val="00CF4858"/>
    <w:rsid w:val="00CF7FE8"/>
    <w:rsid w:val="00D06D9B"/>
    <w:rsid w:val="00D13381"/>
    <w:rsid w:val="00D1414D"/>
    <w:rsid w:val="00D22A12"/>
    <w:rsid w:val="00D23317"/>
    <w:rsid w:val="00D31738"/>
    <w:rsid w:val="00D34977"/>
    <w:rsid w:val="00D34FE0"/>
    <w:rsid w:val="00D3596A"/>
    <w:rsid w:val="00D423C4"/>
    <w:rsid w:val="00D51E54"/>
    <w:rsid w:val="00D545F0"/>
    <w:rsid w:val="00D83495"/>
    <w:rsid w:val="00D870DD"/>
    <w:rsid w:val="00D91AB2"/>
    <w:rsid w:val="00DA3A3D"/>
    <w:rsid w:val="00DB5104"/>
    <w:rsid w:val="00DB60D9"/>
    <w:rsid w:val="00DB6251"/>
    <w:rsid w:val="00DB6FB3"/>
    <w:rsid w:val="00DD7CE6"/>
    <w:rsid w:val="00DE15D0"/>
    <w:rsid w:val="00DE50A8"/>
    <w:rsid w:val="00DE6389"/>
    <w:rsid w:val="00DF156E"/>
    <w:rsid w:val="00DF31A1"/>
    <w:rsid w:val="00E0374D"/>
    <w:rsid w:val="00E13C94"/>
    <w:rsid w:val="00E24E05"/>
    <w:rsid w:val="00E32756"/>
    <w:rsid w:val="00E36CAB"/>
    <w:rsid w:val="00E4034B"/>
    <w:rsid w:val="00E41E3E"/>
    <w:rsid w:val="00E5003F"/>
    <w:rsid w:val="00E576CD"/>
    <w:rsid w:val="00E65BC2"/>
    <w:rsid w:val="00E67AE1"/>
    <w:rsid w:val="00E71066"/>
    <w:rsid w:val="00E80183"/>
    <w:rsid w:val="00E828F7"/>
    <w:rsid w:val="00E86173"/>
    <w:rsid w:val="00E93E2E"/>
    <w:rsid w:val="00E9507C"/>
    <w:rsid w:val="00EA1783"/>
    <w:rsid w:val="00EA1886"/>
    <w:rsid w:val="00EA61D2"/>
    <w:rsid w:val="00EA6640"/>
    <w:rsid w:val="00EB2CE3"/>
    <w:rsid w:val="00ED0C2B"/>
    <w:rsid w:val="00EE0D67"/>
    <w:rsid w:val="00EE4D34"/>
    <w:rsid w:val="00EE6BF6"/>
    <w:rsid w:val="00EF3B12"/>
    <w:rsid w:val="00F04AA0"/>
    <w:rsid w:val="00F4388B"/>
    <w:rsid w:val="00F504D3"/>
    <w:rsid w:val="00F52548"/>
    <w:rsid w:val="00F61AEB"/>
    <w:rsid w:val="00F663DA"/>
    <w:rsid w:val="00F66D1F"/>
    <w:rsid w:val="00F715BE"/>
    <w:rsid w:val="00F73730"/>
    <w:rsid w:val="00F936D7"/>
    <w:rsid w:val="00FA6941"/>
    <w:rsid w:val="00FA7912"/>
    <w:rsid w:val="00FB2D5E"/>
    <w:rsid w:val="00FC2A3A"/>
    <w:rsid w:val="00FD53E2"/>
    <w:rsid w:val="00FD5507"/>
    <w:rsid w:val="00FF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4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4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jemima</dc:creator>
  <cp:lastModifiedBy>jemima</cp:lastModifiedBy>
  <cp:revision>6</cp:revision>
  <dcterms:created xsi:type="dcterms:W3CDTF">2019-04-13T18:55:00Z</dcterms:created>
  <dcterms:modified xsi:type="dcterms:W3CDTF">2019-04-13T19:26:00Z</dcterms:modified>
</cp:coreProperties>
</file>