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6AC69" w14:textId="15FC27A6" w:rsidR="00FB5BC7" w:rsidRDefault="00FB5BC7" w:rsidP="00FB5BC7">
      <w:pPr>
        <w:rPr>
          <w:b/>
        </w:rPr>
      </w:pPr>
      <w:r w:rsidRPr="00FF5560">
        <w:rPr>
          <w:b/>
        </w:rPr>
        <w:t xml:space="preserve">Supplemental </w:t>
      </w:r>
      <w:r w:rsidR="00E5502E">
        <w:rPr>
          <w:b/>
        </w:rPr>
        <w:t>Material</w:t>
      </w:r>
    </w:p>
    <w:p w14:paraId="330AAEC2" w14:textId="77777777" w:rsidR="00FB5BC7" w:rsidRDefault="00FB5BC7" w:rsidP="00FB5BC7">
      <w:pPr>
        <w:rPr>
          <w:b/>
        </w:rPr>
      </w:pPr>
    </w:p>
    <w:p w14:paraId="09E10BB1" w14:textId="05C94C4C" w:rsidR="00FB5BC7" w:rsidRPr="00E7491B" w:rsidRDefault="00FB5BC7" w:rsidP="00FB5BC7">
      <w:pPr>
        <w:ind w:left="-450"/>
        <w:rPr>
          <w:sz w:val="20"/>
          <w:szCs w:val="20"/>
        </w:rPr>
      </w:pPr>
      <w:r w:rsidRPr="00E7491B">
        <w:rPr>
          <w:sz w:val="20"/>
          <w:szCs w:val="20"/>
        </w:rPr>
        <w:t>Table S1. Comparison of age</w:t>
      </w:r>
      <w:r w:rsidR="00E920DE">
        <w:rPr>
          <w:sz w:val="20"/>
          <w:szCs w:val="20"/>
        </w:rPr>
        <w:t xml:space="preserve">, </w:t>
      </w:r>
      <w:r w:rsidRPr="00E7491B">
        <w:rPr>
          <w:sz w:val="20"/>
          <w:szCs w:val="20"/>
        </w:rPr>
        <w:t>sex</w:t>
      </w:r>
      <w:r w:rsidR="00E920DE">
        <w:rPr>
          <w:sz w:val="20"/>
          <w:szCs w:val="20"/>
        </w:rPr>
        <w:t>, and use of RAAS blockade</w:t>
      </w:r>
      <w:r w:rsidRPr="00E7491B">
        <w:rPr>
          <w:sz w:val="20"/>
          <w:szCs w:val="20"/>
        </w:rPr>
        <w:t xml:space="preserve"> for </w:t>
      </w:r>
      <w:r w:rsidR="00E920DE">
        <w:rPr>
          <w:sz w:val="20"/>
          <w:szCs w:val="20"/>
        </w:rPr>
        <w:t xml:space="preserve">all </w:t>
      </w:r>
      <w:r w:rsidRPr="00E7491B">
        <w:rPr>
          <w:sz w:val="20"/>
          <w:szCs w:val="20"/>
        </w:rPr>
        <w:t>patients with and without diabetes in each baseline eGFR and UACR/DP category.</w:t>
      </w:r>
    </w:p>
    <w:p w14:paraId="198A4D16" w14:textId="77777777" w:rsidR="00FB5BC7" w:rsidRDefault="00FB5BC7" w:rsidP="00FB5BC7">
      <w:pPr>
        <w:ind w:left="-450"/>
        <w:rPr>
          <w:szCs w:val="20"/>
        </w:rPr>
      </w:pPr>
    </w:p>
    <w:p w14:paraId="69BBF8EA" w14:textId="77777777" w:rsidR="00FB5BC7" w:rsidRDefault="00FB5BC7" w:rsidP="00FB5BC7">
      <w:pPr>
        <w:ind w:left="-450"/>
        <w:rPr>
          <w:szCs w:val="20"/>
        </w:rPr>
      </w:pPr>
      <w:r w:rsidRPr="00531DE5">
        <w:rPr>
          <w:noProof/>
          <w:lang w:val="en-GB" w:eastAsia="zh-CN" w:bidi="th-TH"/>
        </w:rPr>
        <w:drawing>
          <wp:inline distT="0" distB="0" distL="0" distR="0" wp14:anchorId="16744007" wp14:editId="1949FCFD">
            <wp:extent cx="8753475" cy="443032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348" cy="443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9247D" w14:textId="77777777" w:rsidR="00FB5BC7" w:rsidRDefault="00FB5BC7" w:rsidP="00FB5BC7">
      <w:pPr>
        <w:ind w:left="-450"/>
        <w:rPr>
          <w:szCs w:val="20"/>
        </w:rPr>
      </w:pPr>
    </w:p>
    <w:p w14:paraId="7009B66F" w14:textId="5A461236" w:rsidR="00FB5BC7" w:rsidRDefault="00FB5BC7" w:rsidP="00C16532">
      <w:pPr>
        <w:rPr>
          <w:szCs w:val="20"/>
        </w:rPr>
      </w:pPr>
      <w:r>
        <w:rPr>
          <w:szCs w:val="20"/>
        </w:rPr>
        <w:br w:type="page"/>
      </w:r>
      <w:r>
        <w:rPr>
          <w:szCs w:val="20"/>
        </w:rPr>
        <w:lastRenderedPageBreak/>
        <w:t xml:space="preserve">Table S2. </w:t>
      </w:r>
      <w:r w:rsidR="00C16532">
        <w:rPr>
          <w:szCs w:val="20"/>
        </w:rPr>
        <w:t>Crude a</w:t>
      </w:r>
      <w:bookmarkStart w:id="0" w:name="_GoBack"/>
      <w:bookmarkEnd w:id="0"/>
      <w:r>
        <w:rPr>
          <w:szCs w:val="20"/>
        </w:rPr>
        <w:t xml:space="preserve">nnualized absolute and percent decline in eGFR by baseline eGFR and UACR/DP categories among patients with </w:t>
      </w:r>
      <w:r w:rsidR="00B61BE3">
        <w:rPr>
          <w:szCs w:val="20"/>
        </w:rPr>
        <w:t xml:space="preserve">a baseline and follow-up eGFR with </w:t>
      </w:r>
      <w:r>
        <w:rPr>
          <w:szCs w:val="20"/>
        </w:rPr>
        <w:t>and without diabetes.</w:t>
      </w:r>
    </w:p>
    <w:p w14:paraId="3FA8B73C" w14:textId="77777777" w:rsidR="00FB5BC7" w:rsidRDefault="00FB5BC7" w:rsidP="00FB5BC7">
      <w:pPr>
        <w:rPr>
          <w:szCs w:val="20"/>
        </w:rPr>
      </w:pPr>
    </w:p>
    <w:p w14:paraId="468A5CD3" w14:textId="77777777" w:rsidR="00FB5BC7" w:rsidRDefault="00FB5BC7" w:rsidP="00FB5BC7">
      <w:pPr>
        <w:rPr>
          <w:szCs w:val="20"/>
        </w:rPr>
      </w:pPr>
      <w:r w:rsidRPr="002E1852">
        <w:rPr>
          <w:noProof/>
          <w:lang w:val="en-GB" w:eastAsia="zh-CN" w:bidi="th-TH"/>
        </w:rPr>
        <w:drawing>
          <wp:inline distT="0" distB="0" distL="0" distR="0" wp14:anchorId="2DE7736E" wp14:editId="23440D71">
            <wp:extent cx="7741285" cy="3634477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871" cy="36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br w:type="page"/>
      </w:r>
    </w:p>
    <w:p w14:paraId="4517F74C" w14:textId="77777777" w:rsidR="00FB5BC7" w:rsidRDefault="00FB5BC7" w:rsidP="00FB5BC7">
      <w:pPr>
        <w:rPr>
          <w:szCs w:val="20"/>
        </w:rPr>
      </w:pPr>
    </w:p>
    <w:p w14:paraId="437706FC" w14:textId="77777777" w:rsidR="00FB5BC7" w:rsidRDefault="00FB5BC7" w:rsidP="00FB5BC7">
      <w:pPr>
        <w:ind w:left="-450"/>
      </w:pPr>
      <w:r>
        <w:rPr>
          <w:szCs w:val="20"/>
        </w:rPr>
        <w:t xml:space="preserve">Figure S1. </w:t>
      </w:r>
      <w:r>
        <w:t>1-year probabilities (95% CI) of progressing to a higher eGFR stage and of all-cause mortality by baseline eGFR and UACR/DP categories for patients with and without diabetes.  The probabilities are based on life table analysis over a maximum follow-up of 11 years.</w:t>
      </w:r>
    </w:p>
    <w:p w14:paraId="4853CC5C" w14:textId="77777777" w:rsidR="00FB5BC7" w:rsidRDefault="00FB5BC7" w:rsidP="00FB5BC7">
      <w:pPr>
        <w:ind w:left="-450"/>
        <w:rPr>
          <w:szCs w:val="20"/>
        </w:rPr>
      </w:pPr>
    </w:p>
    <w:p w14:paraId="4437B52F" w14:textId="114EC15D" w:rsidR="00FB5BC7" w:rsidRDefault="007B3504" w:rsidP="00FB5BC7">
      <w:pPr>
        <w:ind w:left="-450"/>
        <w:rPr>
          <w:szCs w:val="20"/>
        </w:rPr>
      </w:pPr>
      <w:r w:rsidRPr="007B3504">
        <w:rPr>
          <w:noProof/>
        </w:rPr>
        <w:drawing>
          <wp:inline distT="0" distB="0" distL="0" distR="0" wp14:anchorId="1CFCF46C" wp14:editId="3270C10B">
            <wp:extent cx="7192517" cy="498475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169" cy="4995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5BC7">
        <w:rPr>
          <w:szCs w:val="20"/>
        </w:rPr>
        <w:br w:type="page"/>
      </w:r>
    </w:p>
    <w:p w14:paraId="1F9D1F52" w14:textId="61DDFF22" w:rsidR="00FB5BC7" w:rsidRDefault="00FB5BC7" w:rsidP="00FB5BC7">
      <w:pPr>
        <w:ind w:left="-450"/>
      </w:pPr>
      <w:r>
        <w:rPr>
          <w:szCs w:val="20"/>
        </w:rPr>
        <w:lastRenderedPageBreak/>
        <w:t xml:space="preserve">Figure S2. </w:t>
      </w:r>
      <w:r>
        <w:t>3-year probabilities (95% CI) of progressing to a higher eGFR stage and of all-cause mortality by baseline eGFR and UACR/DP categories for patients with and without diabetes.  The probabilities are based on life table analysis over a maximum follow-up of 11 years</w:t>
      </w:r>
    </w:p>
    <w:p w14:paraId="69C75970" w14:textId="57A71F8B" w:rsidR="00FB5BC7" w:rsidRDefault="007B3504" w:rsidP="00FB5BC7">
      <w:pPr>
        <w:ind w:left="-450"/>
      </w:pPr>
      <w:r w:rsidRPr="007B3504">
        <w:rPr>
          <w:noProof/>
        </w:rPr>
        <w:drawing>
          <wp:inline distT="0" distB="0" distL="0" distR="0" wp14:anchorId="5D8BB3B1" wp14:editId="1260A498">
            <wp:extent cx="7562850" cy="53943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870" cy="540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F16EC" w14:textId="77777777" w:rsidR="00FB5BC7" w:rsidRDefault="00FB5BC7" w:rsidP="00FB5BC7">
      <w:pPr>
        <w:rPr>
          <w:szCs w:val="20"/>
        </w:rPr>
      </w:pPr>
      <w:r>
        <w:rPr>
          <w:szCs w:val="20"/>
        </w:rPr>
        <w:lastRenderedPageBreak/>
        <w:br w:type="page"/>
      </w:r>
    </w:p>
    <w:p w14:paraId="00DF3188" w14:textId="089492E5" w:rsidR="00FB5BC7" w:rsidRDefault="00FB5BC7" w:rsidP="00FB5BC7">
      <w:pPr>
        <w:ind w:left="-450"/>
      </w:pPr>
      <w:r>
        <w:rPr>
          <w:szCs w:val="20"/>
        </w:rPr>
        <w:lastRenderedPageBreak/>
        <w:t xml:space="preserve">Figure S3. </w:t>
      </w:r>
      <w:r>
        <w:t>5-year probabilities (95% CI) of progressing to a higher eGFR stage and of all-cause mortality by baseline eGFR and UACR/DP categories for patients with and without diabetes.  The probabilities are based on life table analysis over a maximum follow-up of 11 years.</w:t>
      </w:r>
    </w:p>
    <w:p w14:paraId="46D40168" w14:textId="77777777" w:rsidR="00FB5BC7" w:rsidRDefault="00FB5BC7" w:rsidP="00FB5BC7">
      <w:pPr>
        <w:ind w:left="-450"/>
      </w:pPr>
    </w:p>
    <w:p w14:paraId="0D7BE110" w14:textId="77777777" w:rsidR="00FB5BC7" w:rsidRPr="00365033" w:rsidRDefault="00FB5BC7" w:rsidP="00FB5BC7">
      <w:pPr>
        <w:ind w:left="-450"/>
        <w:rPr>
          <w:szCs w:val="20"/>
        </w:rPr>
      </w:pPr>
      <w:r w:rsidRPr="000C6D65">
        <w:rPr>
          <w:noProof/>
          <w:lang w:val="en-GB" w:eastAsia="zh-CN" w:bidi="th-TH"/>
        </w:rPr>
        <w:drawing>
          <wp:inline distT="0" distB="0" distL="0" distR="0" wp14:anchorId="2F0676EB" wp14:editId="2CFE7357">
            <wp:extent cx="7496175" cy="5010785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319" cy="5016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5CE32" w14:textId="77777777" w:rsidR="00FB5BC7" w:rsidRDefault="00FB5BC7" w:rsidP="00FB5BC7"/>
    <w:sectPr w:rsidR="00FB5BC7" w:rsidSect="00FB5B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BC7"/>
    <w:rsid w:val="00200107"/>
    <w:rsid w:val="007B3504"/>
    <w:rsid w:val="009B1423"/>
    <w:rsid w:val="00A11F66"/>
    <w:rsid w:val="00B43FF4"/>
    <w:rsid w:val="00B61BE3"/>
    <w:rsid w:val="00B67C88"/>
    <w:rsid w:val="00C16532"/>
    <w:rsid w:val="00E5502E"/>
    <w:rsid w:val="00E920DE"/>
    <w:rsid w:val="00FB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F7C90"/>
  <w15:chartTrackingRefBased/>
  <w15:docId w15:val="{21199532-C0B7-4E33-9CFE-67114DAF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5B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B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Greg</dc:creator>
  <cp:keywords/>
  <dc:description/>
  <cp:lastModifiedBy>Nichols, Greg</cp:lastModifiedBy>
  <cp:revision>4</cp:revision>
  <dcterms:created xsi:type="dcterms:W3CDTF">2019-04-26T17:12:00Z</dcterms:created>
  <dcterms:modified xsi:type="dcterms:W3CDTF">2020-01-07T18:58:00Z</dcterms:modified>
</cp:coreProperties>
</file>