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B63" w:rsidRPr="00602921" w:rsidRDefault="00A17B63" w:rsidP="00806BE3">
      <w:pPr>
        <w:pStyle w:val="Geenafstand"/>
        <w:spacing w:line="480" w:lineRule="auto"/>
        <w:rPr>
          <w:b/>
          <w:sz w:val="28"/>
          <w:szCs w:val="28"/>
          <w:lang w:val="en-US"/>
        </w:rPr>
      </w:pPr>
      <w:r w:rsidRPr="00602921">
        <w:rPr>
          <w:b/>
          <w:sz w:val="28"/>
          <w:szCs w:val="28"/>
          <w:lang w:val="en-US"/>
        </w:rPr>
        <w:t xml:space="preserve">Supplemental Appendix 1 </w:t>
      </w:r>
      <w:r w:rsidR="00961233" w:rsidRPr="00602921">
        <w:rPr>
          <w:b/>
          <w:sz w:val="28"/>
          <w:szCs w:val="28"/>
          <w:lang w:val="en-US"/>
        </w:rPr>
        <w:t>–</w:t>
      </w:r>
      <w:r w:rsidRPr="00602921">
        <w:rPr>
          <w:b/>
          <w:sz w:val="28"/>
          <w:szCs w:val="28"/>
          <w:lang w:val="en-US"/>
        </w:rPr>
        <w:t xml:space="preserve"> </w:t>
      </w:r>
      <w:r w:rsidR="00961233" w:rsidRPr="00602921">
        <w:rPr>
          <w:b/>
          <w:sz w:val="28"/>
          <w:szCs w:val="28"/>
          <w:lang w:val="en-US"/>
        </w:rPr>
        <w:t>Background information about tests and questionnaires used in the</w:t>
      </w:r>
      <w:r w:rsidR="00602921">
        <w:rPr>
          <w:b/>
          <w:sz w:val="28"/>
          <w:szCs w:val="28"/>
          <w:lang w:val="en-US"/>
        </w:rPr>
        <w:t xml:space="preserve"> </w:t>
      </w:r>
      <w:r w:rsidR="00961233" w:rsidRPr="00602921">
        <w:rPr>
          <w:b/>
          <w:sz w:val="28"/>
          <w:szCs w:val="28"/>
          <w:lang w:val="en-US"/>
        </w:rPr>
        <w:t>OPTIMIZE study</w:t>
      </w:r>
    </w:p>
    <w:p w:rsidR="00961233" w:rsidRPr="00A17B63" w:rsidRDefault="00961233" w:rsidP="00806BE3">
      <w:pPr>
        <w:pStyle w:val="Geenafstand"/>
        <w:spacing w:line="480" w:lineRule="auto"/>
        <w:rPr>
          <w:lang w:val="en-US"/>
        </w:rPr>
      </w:pPr>
    </w:p>
    <w:p w:rsidR="00A17B63" w:rsidRDefault="00A17B63" w:rsidP="00806BE3">
      <w:pPr>
        <w:spacing w:line="480" w:lineRule="auto"/>
        <w:rPr>
          <w:rFonts w:eastAsia="Calibri" w:cs="Arial"/>
          <w:lang w:val="en-GB"/>
        </w:rPr>
      </w:pPr>
      <w:r w:rsidRPr="00602921">
        <w:rPr>
          <w:rFonts w:eastAsia="Calibri" w:cs="Arial"/>
          <w:b/>
          <w:sz w:val="24"/>
          <w:szCs w:val="24"/>
          <w:lang w:val="en-GB"/>
        </w:rPr>
        <w:t>F</w:t>
      </w:r>
      <w:r w:rsidR="00806BE3" w:rsidRPr="00602921">
        <w:rPr>
          <w:rFonts w:eastAsia="Calibri" w:cs="Arial"/>
          <w:b/>
          <w:sz w:val="24"/>
          <w:szCs w:val="24"/>
          <w:lang w:val="en-GB"/>
        </w:rPr>
        <w:t>railty</w:t>
      </w:r>
      <w:r w:rsidR="00806BE3" w:rsidRPr="00806BE3">
        <w:rPr>
          <w:rFonts w:eastAsia="Calibri" w:cs="Arial"/>
          <w:b/>
          <w:lang w:val="en-GB"/>
        </w:rPr>
        <w:t xml:space="preserve"> </w:t>
      </w:r>
      <w:r w:rsidRPr="0047590E">
        <w:rPr>
          <w:rFonts w:eastAsia="Calibri" w:cs="Arial"/>
          <w:i/>
          <w:lang w:val="en-GB"/>
        </w:rPr>
        <w:t xml:space="preserve"> </w:t>
      </w:r>
      <w:r w:rsidRPr="008D1BE2">
        <w:rPr>
          <w:rFonts w:eastAsia="Calibri" w:cs="Arial"/>
          <w:lang w:val="en-GB"/>
        </w:rPr>
        <w:t>Frailty</w:t>
      </w:r>
      <w:bookmarkStart w:id="0" w:name="_GoBack"/>
      <w:bookmarkEnd w:id="0"/>
      <w:r w:rsidRPr="008D1BE2">
        <w:rPr>
          <w:rFonts w:eastAsia="Calibri" w:cs="Arial"/>
          <w:lang w:val="en-GB"/>
        </w:rPr>
        <w:t xml:space="preserve"> is assessed by two measures: </w:t>
      </w:r>
      <w:r>
        <w:rPr>
          <w:rFonts w:eastAsia="Calibri" w:cs="Arial"/>
          <w:lang w:val="en-GB"/>
        </w:rPr>
        <w:t xml:space="preserve">The </w:t>
      </w:r>
      <w:r w:rsidRPr="008D1BE2">
        <w:rPr>
          <w:rFonts w:eastAsia="Calibri" w:cs="Arial"/>
          <w:lang w:val="en-GB"/>
        </w:rPr>
        <w:t>Clinical Frailty Scale</w:t>
      </w:r>
      <w:r>
        <w:rPr>
          <w:rFonts w:eastAsia="Calibri" w:cs="Arial"/>
          <w:lang w:val="en-GB"/>
        </w:rPr>
        <w:t xml:space="preserve"> (CFS) and th</w:t>
      </w:r>
      <w:r w:rsidRPr="008D1BE2">
        <w:rPr>
          <w:rFonts w:eastAsia="Calibri" w:cs="Arial"/>
          <w:lang w:val="en-GB"/>
        </w:rPr>
        <w:t>e F</w:t>
      </w:r>
      <w:r>
        <w:rPr>
          <w:rFonts w:eastAsia="Calibri" w:cs="Arial"/>
          <w:lang w:val="en-GB"/>
        </w:rPr>
        <w:t>ried Frailty Index (FFI)</w:t>
      </w:r>
      <w:r w:rsidRPr="008D1BE2">
        <w:rPr>
          <w:rFonts w:eastAsia="Calibri" w:cs="Arial"/>
          <w:lang w:val="en-GB"/>
        </w:rPr>
        <w:t xml:space="preserve">. </w:t>
      </w:r>
      <w:r>
        <w:rPr>
          <w:rFonts w:eastAsia="Calibri" w:cs="Arial"/>
          <w:lang w:val="en-GB"/>
        </w:rPr>
        <w:t xml:space="preserve"> </w:t>
      </w:r>
      <w:r w:rsidRPr="008D1BE2">
        <w:rPr>
          <w:rFonts w:eastAsia="Calibri" w:cs="Arial"/>
          <w:lang w:val="en-GB"/>
        </w:rPr>
        <w:t xml:space="preserve">Both measures are validated instruments to establish prevalence rates for frailty. </w:t>
      </w:r>
    </w:p>
    <w:p w:rsidR="00A17B63" w:rsidRPr="008D1BE2" w:rsidRDefault="00A17B63" w:rsidP="00806BE3">
      <w:pPr>
        <w:spacing w:line="480" w:lineRule="auto"/>
        <w:rPr>
          <w:rFonts w:eastAsia="Calibri" w:cs="Arial"/>
          <w:lang w:val="en-GB"/>
        </w:rPr>
      </w:pPr>
      <w:r w:rsidRPr="008D1BE2">
        <w:rPr>
          <w:rFonts w:eastAsia="Calibri" w:cs="Arial"/>
          <w:lang w:val="en-GB"/>
        </w:rPr>
        <w:t xml:space="preserve">The </w:t>
      </w:r>
      <w:r>
        <w:rPr>
          <w:rFonts w:eastAsia="Calibri" w:cs="Arial"/>
          <w:lang w:val="en-GB"/>
        </w:rPr>
        <w:t>CFS</w:t>
      </w:r>
      <w:r w:rsidRPr="008D1BE2">
        <w:rPr>
          <w:rFonts w:eastAsia="Calibri" w:cs="Arial"/>
          <w:lang w:val="en-GB"/>
        </w:rPr>
        <w:t xml:space="preserve"> is a subjective measure of frailty based on clinical judgements and uses clinical descriptors and pictographs to assess the level of vulnerability from 1 (very fit) to 9 (terminally ill). The CFS has shown to have a high inter-rater reliability (ICC 0.97) and to correlate well with objective measures of frailty (r = 0.80)</w:t>
      </w:r>
      <w:r w:rsidR="00293F89">
        <w:rPr>
          <w:rFonts w:eastAsia="Calibri" w:cs="Arial"/>
          <w:lang w:val="en-GB"/>
        </w:rPr>
        <w:t>.</w:t>
      </w:r>
      <w:r>
        <w:rPr>
          <w:rFonts w:eastAsia="Calibri" w:cs="Arial"/>
          <w:lang w:val="en-GB"/>
        </w:rPr>
        <w:fldChar w:fldCharType="begin" w:fldLock="1"/>
      </w:r>
      <w:r w:rsidR="00B214DD">
        <w:rPr>
          <w:rFonts w:eastAsia="Calibri" w:cs="Arial"/>
          <w:lang w:val="en-GB"/>
        </w:rPr>
        <w:instrText>ADDIN CSL_CITATION {"citationItems":[{"id":"ITEM-1","itemData":{"DOI":"10.1503/cmaj.050051","ISSN":"08203946","PMID":"16129869","abstract":"Background: There is no single generally accepted clinical definition of frailty. Previously developed tools to assess frailty that have been shown to be predictive of death or need for entry into an institutional facility have not gained acceptance among practising clinicians. We aimed to develop a tool that would be both predictive and easy to use. Methods: We developed the 7-point Clinical Frailty Scale and applied it and other established tools that measure frailty to 2305 elderly patients who participated in the second stage of the Canadian Study of Health and Aging (CSHA). We followed this cohort prospectively; after 5 years, we determined the ability of the Clinical Frailty Scale to predict death or need for institutional care, and correlated the results with those obtained from other established tools. Results: The CSHA Clinical Frailty Scale was highly correlated (r = 0.80) with the Frailty Index. Each 1-category increment of our scale significantly increased the medium-term risks of death (21.2% within about 70 mo, 95% confidence interval [CI] 12.5%-30.6%) and entry into an institution (23.9%, 95% CI 8.8%-41.2%) in multivariable models that adjusted for age, sex and education. Analyses of receiver operating characteristic curves showed that our Clinical Frailty Scale performed better than measures of cognition, function or comorbidity in assessing risk for death (area under the curve 0.77 for 18-month and 0.70 for 70-month mortality). Interpretation: Frailty is a valid and clinically important construct that is recognizable by physicians. Clinical judgments about frailty can yield useful predictive information. © 2005 CMA Media Inc. or its licensors.","author":[{"dropping-particle":"","family":"Rockwood","given":"Kenneth","non-dropping-particle":"","parse-names":false,"suffix":""},{"dropping-particle":"","family":"Song","given":"Xiaowei","non-dropping-particle":"","parse-names":false,"suffix":""},{"dropping-particle":"","family":"MacKnight","given":"Chris","non-dropping-particle":"","parse-names":false,"suffix":""},{"dropping-particle":"","family":"Bergman","given":"Howard","non-dropping-particle":"","parse-names":false,"suffix":""},{"dropping-particle":"","family":"Hogan","given":"David B.","non-dropping-particle":"","parse-names":false,"suffix":""},{"dropping-particle":"","family":"McDowell","given":"Ian","non-dropping-particle":"","parse-names":false,"suffix":""},{"dropping-particle":"","family":"Mitnitski","given":"Arnold","non-dropping-particle":"","parse-names":false,"suffix":""}],"container-title":"CMAJ","id":"ITEM-1","issue":"5","issued":{"date-parts":[["2005","8","30"]]},"page":"489-495","publisher":"Canadian Medical Association","title":"A global clinical measure of fitness and frailty in elderly people","type":"article-journal","volume":"173"},"uris":["http://www.mendeley.com/documents/?uuid=a5ff3ed2-dec5-39aa-ac52-d211370bfbbd"]}],"mendeley":{"formattedCitation":"[1]","plainTextFormattedCitation":"[1]","previouslyFormattedCitation":"[1]"},"properties":{"noteIndex":0},"schema":"https://github.com/citation-style-language/schema/raw/master/csl-citation.json"}</w:instrText>
      </w:r>
      <w:r>
        <w:rPr>
          <w:rFonts w:eastAsia="Calibri" w:cs="Arial"/>
          <w:lang w:val="en-GB"/>
        </w:rPr>
        <w:fldChar w:fldCharType="separate"/>
      </w:r>
      <w:r w:rsidR="00B214DD" w:rsidRPr="00B214DD">
        <w:rPr>
          <w:rFonts w:eastAsia="Calibri" w:cs="Arial"/>
          <w:noProof/>
          <w:lang w:val="en-GB"/>
        </w:rPr>
        <w:t>[1]</w:t>
      </w:r>
      <w:r>
        <w:rPr>
          <w:rFonts w:eastAsia="Calibri" w:cs="Arial"/>
          <w:lang w:val="en-GB"/>
        </w:rPr>
        <w:fldChar w:fldCharType="end"/>
      </w:r>
      <w:r w:rsidR="00293F89">
        <w:rPr>
          <w:rFonts w:eastAsia="Calibri" w:cs="Arial"/>
          <w:lang w:val="en-GB"/>
        </w:rPr>
        <w:t xml:space="preserve"> </w:t>
      </w:r>
      <w:r w:rsidRPr="008D1BE2">
        <w:rPr>
          <w:rFonts w:eastAsia="Calibri" w:cs="Arial"/>
          <w:lang w:val="en-GB"/>
        </w:rPr>
        <w:t xml:space="preserve">For subgroup analyses, CFS scores can be subdivided into three categories according to functional ability: managing well (CFS score 1-3); vulnerable to mildly frail (CFS score 4-5); and moderate to severe frail (CFS score 6-9). Patients classified into the latter two categories will be considered as frail. </w:t>
      </w:r>
    </w:p>
    <w:p w:rsidR="00A17B63" w:rsidRDefault="00A17B63" w:rsidP="00806BE3">
      <w:pPr>
        <w:spacing w:line="480" w:lineRule="auto"/>
        <w:rPr>
          <w:rFonts w:eastAsia="Calibri" w:cs="Arial"/>
          <w:lang w:val="en-GB"/>
        </w:rPr>
      </w:pPr>
      <w:r w:rsidRPr="008D1BE2">
        <w:rPr>
          <w:rFonts w:eastAsia="Calibri" w:cs="Arial"/>
          <w:lang w:val="en-GB"/>
        </w:rPr>
        <w:t xml:space="preserve">The </w:t>
      </w:r>
      <w:r>
        <w:rPr>
          <w:rFonts w:eastAsia="Calibri" w:cs="Arial"/>
          <w:lang w:val="en-GB"/>
        </w:rPr>
        <w:t xml:space="preserve">FFI </w:t>
      </w:r>
      <w:r w:rsidRPr="008D1BE2">
        <w:rPr>
          <w:rFonts w:eastAsia="Calibri" w:cs="Arial"/>
          <w:lang w:val="en-GB"/>
        </w:rPr>
        <w:t>is an objective, validated measure of frailty, consisting of five criteria: weakness, slow walking speed, low physical activity, self-reported exhaustion, and unintentional weight loss</w:t>
      </w:r>
      <w:r w:rsidR="00293F89">
        <w:rPr>
          <w:rFonts w:eastAsia="Calibri" w:cs="Arial"/>
          <w:lang w:val="en-GB"/>
        </w:rPr>
        <w:t>.</w:t>
      </w:r>
      <w:r>
        <w:rPr>
          <w:rFonts w:eastAsia="Calibri" w:cs="Arial"/>
          <w:lang w:val="en-GB"/>
        </w:rPr>
        <w:fldChar w:fldCharType="begin" w:fldLock="1"/>
      </w:r>
      <w:r w:rsidR="00B214DD">
        <w:rPr>
          <w:rFonts w:eastAsia="Calibri" w:cs="Arial"/>
          <w:lang w:val="en-GB"/>
        </w:rPr>
        <w:instrText>ADDIN CSL_CITATION {"citationItems":[{"id":"ITEM-1","itemData":{"DOI":"10.1093/gerona/56.3.m146","ISSN":"1079-5006","PMID":"11253156","abstract":"BACKGROUND Frailty is considered highly prevalent in old age and to confer high risk for falls, disability, hospitalization, and mortality. Frailty has been considered synonymous with disability, comorbidity, and other characteristics, but it is recognized that it may have a biologic basis and be a distinct clinical syndrome. A standardized definition has not yet been established. METHODS To develop and operationalize a phenotype of frailty in older adults and assess concurrent and predictive validity, the study used data from the Cardiovascular Health Study. Participants were 5,317 men and women 65 years and older (4,735 from an original cohort recruited in 1989-90 and 582 from an African American cohort recruited in 1992-93). Both cohorts received almost identical baseline evaluations and 7 and 4 years of follow-up, respectively, with annual examinations and surveillance for outcomes including incident disease, hospitalization, falls, disability, and mortality. RESULTS Frailty was defined as a clinical syndrome in which three or more of the following criteria were present: unintentional weight loss (10 lbs in past year), self-reported exhaustion, weakness (grip strength), slow walking speed, and low physical activity. The overall prevalence of frailty in this community-dwelling population was 6.9%; it increased with age and was greater in women than men. Four-year incidence was 7.2%. Frailty was associated with being African American, having lower education and income, poorer health, and having higher rates of comorbid chronic diseases and disability. There was overlap, but not concordance, in the cooccurrence of frailty, comorbidity, and disability. This frailty phenotype was independently predictive (over 3 years) of incident falls, worsening mobility or ADL disability, hospitalization, and death, with hazard ratios ranging from 1.82 to 4.46, unadjusted, and 1.29-2.24, adjusted for a number of health, disease, and social characteristics predictive of 5-year mortality. Intermediate frailty status, as indicated by the presence of one or two criteria, showed intermediate risk of these outcomes as well as increased risk of becoming frail over 3-4 years of follow-up (odds ratios for incident frailty = 4.51 unadjusted and 2.63 adjusted for covariates, compared to those with no frailty criteria at baseline). CONCLUSIONS This study provides a potential standardized definition for frailty in community-dwelling older adults and offers concurrent and predictiv…","author":[{"dropping-particle":"","family":"Fried","given":"L. P.","non-dropping-particle":"","parse-names":false,"suffix":""},{"dropping-particle":"","family":"Tangen","given":"C. M.","non-dropping-particle":"","parse-names":false,"suffix":""},{"dropping-particle":"","family":"Walston","given":"J.","non-dropping-particle":"","parse-names":false,"suffix":""},{"dropping-particle":"","family":"Newman","given":"A. B.","non-dropping-particle":"","parse-names":false,"suffix":""},{"dropping-particle":"","family":"Hirsch","given":"C.","non-dropping-particle":"","parse-names":false,"suffix":""},{"dropping-particle":"","family":"Gottdiener","given":"J.","non-dropping-particle":"","parse-names":false,"suffix":""},{"dropping-particle":"","family":"Seeman","given":"T.","non-dropping-particle":"","parse-names":false,"suffix":""},{"dropping-particle":"","family":"Tracy","given":"R.","non-dropping-particle":"","parse-names":false,"suffix":""},{"dropping-particle":"","family":"Kop","given":"W. J.","non-dropping-particle":"","parse-names":false,"suffix":""},{"dropping-particle":"","family":"Burke","given":"G.","non-dropping-particle":"","parse-names":false,"suffix":""},{"dropping-particle":"","family":"McBurnie","given":"M. A.","non-dropping-particle":"","parse-names":false,"suffix":""}],"container-title":"The Journals of Gerontology Series A: Biological Sciences and Medical Sciences","id":"ITEM-1","issue":"3","issued":{"date-parts":[["2001"]]},"page":"M146-M157","title":"Frailty in Older Adults: Evidence for a Phenotype","type":"article-journal","volume":"56"},"uris":["http://www.mendeley.com/documents/?uuid=cbf21ee7-6dab-439b-b743-f3127bb88ad2"]}],"mendeley":{"formattedCitation":"[2]","plainTextFormattedCitation":"[2]","previouslyFormattedCitation":"[2]"},"properties":{"noteIndex":0},"schema":"https://github.com/citation-style-language/schema/raw/master/csl-citation.json"}</w:instrText>
      </w:r>
      <w:r>
        <w:rPr>
          <w:rFonts w:eastAsia="Calibri" w:cs="Arial"/>
          <w:lang w:val="en-GB"/>
        </w:rPr>
        <w:fldChar w:fldCharType="separate"/>
      </w:r>
      <w:r w:rsidR="00B214DD" w:rsidRPr="00B214DD">
        <w:rPr>
          <w:rFonts w:eastAsia="Calibri" w:cs="Arial"/>
          <w:noProof/>
          <w:lang w:val="en-GB"/>
        </w:rPr>
        <w:t>[2]</w:t>
      </w:r>
      <w:r>
        <w:rPr>
          <w:rFonts w:eastAsia="Calibri" w:cs="Arial"/>
          <w:lang w:val="en-GB"/>
        </w:rPr>
        <w:fldChar w:fldCharType="end"/>
      </w:r>
      <w:r w:rsidR="00293F89">
        <w:rPr>
          <w:rFonts w:eastAsia="Calibri" w:cs="Arial"/>
          <w:lang w:val="en-GB"/>
        </w:rPr>
        <w:t xml:space="preserve"> </w:t>
      </w:r>
      <w:r w:rsidRPr="008D1BE2">
        <w:rPr>
          <w:rFonts w:eastAsia="Calibri" w:cs="Arial"/>
          <w:lang w:val="en-GB"/>
        </w:rPr>
        <w:t xml:space="preserve">Each item of the FFI is awarded a score of 1 if present. A summary score is indicative of: non-frail (score 0), pre-frail (score 1-2) or frail (score 3-5). Patients classified into the latter two categories will be considered as frail. </w:t>
      </w:r>
    </w:p>
    <w:p w:rsidR="00806BE3" w:rsidRPr="008D1BE2" w:rsidRDefault="00806BE3" w:rsidP="00806BE3">
      <w:pPr>
        <w:spacing w:line="480" w:lineRule="auto"/>
        <w:rPr>
          <w:rFonts w:eastAsia="Calibri" w:cs="Arial"/>
          <w:lang w:val="en-GB"/>
        </w:rPr>
      </w:pPr>
      <w:r w:rsidRPr="00602921">
        <w:rPr>
          <w:rFonts w:eastAsia="Calibri" w:cs="Arial"/>
          <w:b/>
          <w:sz w:val="24"/>
          <w:szCs w:val="24"/>
          <w:lang w:val="en-GB"/>
        </w:rPr>
        <w:t>Physical functioning</w:t>
      </w:r>
      <w:r>
        <w:rPr>
          <w:rFonts w:eastAsia="Calibri" w:cs="Arial"/>
          <w:b/>
          <w:lang w:val="en-GB"/>
        </w:rPr>
        <w:t xml:space="preserve"> </w:t>
      </w:r>
      <w:r>
        <w:rPr>
          <w:rFonts w:eastAsia="Calibri" w:cs="Arial"/>
          <w:i/>
          <w:lang w:val="en-GB"/>
        </w:rPr>
        <w:t xml:space="preserve"> </w:t>
      </w:r>
      <w:r w:rsidRPr="008D1BE2">
        <w:rPr>
          <w:rFonts w:eastAsia="Calibri" w:cs="Arial"/>
          <w:lang w:val="en-GB"/>
        </w:rPr>
        <w:t>To measure physical functioning the</w:t>
      </w:r>
      <w:r>
        <w:rPr>
          <w:rFonts w:eastAsia="Calibri" w:cs="Arial"/>
          <w:lang w:val="en-GB"/>
        </w:rPr>
        <w:t xml:space="preserve"> Dutch version of the </w:t>
      </w:r>
      <w:r w:rsidRPr="008D1BE2">
        <w:rPr>
          <w:rFonts w:eastAsia="Calibri" w:cs="Arial"/>
          <w:lang w:val="en-GB"/>
        </w:rPr>
        <w:t>short physical performance battery (SPPB) is used. The SPPB is a group of measures that combines the results of the gait speed, chair stand and balance tests. It has been used as a predictive tool for possible disability and can aid in the monitoring of function in older people. The scores range from 0 (worst performance) to 12 (best performance). The SPPB has been shown to have good properties regarding validity, reliability, and responsiveness</w:t>
      </w:r>
      <w:r>
        <w:rPr>
          <w:rFonts w:eastAsia="Calibri" w:cs="Arial"/>
          <w:lang w:val="en-GB"/>
        </w:rPr>
        <w:t>.</w:t>
      </w:r>
      <w:r>
        <w:rPr>
          <w:rFonts w:eastAsia="Calibri" w:cs="Arial"/>
          <w:lang w:val="en-GB"/>
        </w:rPr>
        <w:fldChar w:fldCharType="begin" w:fldLock="1"/>
      </w:r>
      <w:r w:rsidR="00B214DD">
        <w:rPr>
          <w:rFonts w:eastAsia="Calibri" w:cs="Arial"/>
          <w:lang w:val="en-GB"/>
        </w:rPr>
        <w:instrText>ADDIN CSL_CITATION {"citationItems":[{"id":"ITEM-1","itemData":{"DOI":"10.1093/ageing/afs099","ISSN":"00020729","PMID":"22885845","abstract":"Background: Identification of older persons at risk for the loss of independence, onset of (co)-morbidity or functional limitations through screening/assessment is of interest for the public health-care system. To date several different measurement instruments for overall physical function are frequently used in practice, but little information about their psychometric properties is available. Objectives and Methods: Our aim was to assess instruments with an overall score related to functional status and/or physical performance on content and psychometric properties. Electronic databases (Medline, EMBASE, AMED, Cochrane Library and CINAHL) were searched, using MeSH terms and relevant keywords. Studies, published in English, were included if their primary or secondary purpose was to evaluate the measurement properties of measurement instruments for overall physical function in community-dwelling older persons aged 60 years and older. Reliability, validity, responsiveness and practicability were evaluated, adhering to a specified protocol. Results: In total 78 articles describing 12 different functional assessment instruments were included and data extracted. Seven instruments, including their modified versions, were evaluated for reliability. Nine instruments, including their modified versions, were evaluated with regard to validity. Conclusion: In conclusion, the Short Physical Performance Battery can be recommended most highly in terms of validity, reliability and responsiveness, followed by the Physical Performance Test and Continuous Scale Physical Functional Performance. © The Author 2012. Published by Oxford University Press on behalf of the British Geriatrics Society. All rights reserved.","author":[{"dropping-particle":"","family":"Freiberger","given":"Ellen","non-dropping-particle":"","parse-names":false,"suffix":""},{"dropping-particle":"","family":"vreede","given":"Paul","non-dropping-particle":"De","parse-names":false,"suffix":""},{"dropping-particle":"","family":"Schoene","given":"Daniel","non-dropping-particle":"","parse-names":false,"suffix":""},{"dropping-particle":"","family":"Rydwik","given":"Elisabeth","non-dropping-particle":"","parse-names":false,"suffix":""},{"dropping-particle":"","family":"Mueller","given":"Volker","non-dropping-particle":"","parse-names":false,"suffix":""},{"dropping-particle":"","family":"Frändin","given":"Kerstin","non-dropping-particle":"","parse-names":false,"suffix":""},{"dropping-particle":"","family":"Hopman-Rock","given":"Marijke","non-dropping-particle":"","parse-names":false,"suffix":""}],"container-title":"Age and Ageing","id":"ITEM-1","issue":"6","issued":{"date-parts":[["2012"]]},"page":"712-721","title":"Performance-based physical function in older community-dwelling persons: A systematic review of instruments","type":"article-journal","volume":"41"},"uris":["http://www.mendeley.com/documents/?uuid=b6cb7ed8-69ed-31e8-b151-a39174708c25"]}],"mendeley":{"formattedCitation":"[3]","plainTextFormattedCitation":"[3]","previouslyFormattedCitation":"[3]"},"properties":{"noteIndex":0},"schema":"https://github.com/citation-style-language/schema/raw/master/csl-citation.json"}</w:instrText>
      </w:r>
      <w:r>
        <w:rPr>
          <w:rFonts w:eastAsia="Calibri" w:cs="Arial"/>
          <w:lang w:val="en-GB"/>
        </w:rPr>
        <w:fldChar w:fldCharType="separate"/>
      </w:r>
      <w:r w:rsidR="00B214DD" w:rsidRPr="00B214DD">
        <w:rPr>
          <w:rFonts w:eastAsia="Calibri" w:cs="Arial"/>
          <w:noProof/>
          <w:lang w:val="en-GB"/>
        </w:rPr>
        <w:t>[3]</w:t>
      </w:r>
      <w:r>
        <w:rPr>
          <w:rFonts w:eastAsia="Calibri" w:cs="Arial"/>
          <w:lang w:val="en-GB"/>
        </w:rPr>
        <w:fldChar w:fldCharType="end"/>
      </w:r>
    </w:p>
    <w:p w:rsidR="00806BE3" w:rsidRDefault="00806BE3" w:rsidP="00806BE3">
      <w:pPr>
        <w:spacing w:line="480" w:lineRule="auto"/>
        <w:rPr>
          <w:rFonts w:eastAsia="Calibri" w:cs="Arial"/>
          <w:lang w:val="en-GB"/>
        </w:rPr>
      </w:pPr>
    </w:p>
    <w:p w:rsidR="00A17B63" w:rsidRPr="00806BE3" w:rsidRDefault="00A17B63" w:rsidP="00806BE3">
      <w:pPr>
        <w:spacing w:line="480" w:lineRule="auto"/>
        <w:rPr>
          <w:rFonts w:eastAsia="Calibri" w:cs="Arial"/>
          <w:b/>
          <w:lang w:val="en-GB"/>
        </w:rPr>
      </w:pPr>
      <w:r w:rsidRPr="00602921">
        <w:rPr>
          <w:rFonts w:eastAsia="Calibri" w:cs="Arial"/>
          <w:b/>
          <w:sz w:val="24"/>
          <w:szCs w:val="24"/>
          <w:lang w:val="en-GB"/>
        </w:rPr>
        <w:lastRenderedPageBreak/>
        <w:t>Cognitive functioning</w:t>
      </w:r>
      <w:r w:rsidR="00806BE3">
        <w:rPr>
          <w:rFonts w:eastAsia="Calibri" w:cs="Arial"/>
          <w:b/>
          <w:lang w:val="en-GB"/>
        </w:rPr>
        <w:t xml:space="preserve"> </w:t>
      </w:r>
      <w:r>
        <w:rPr>
          <w:rFonts w:eastAsia="Calibri" w:cs="Arial"/>
          <w:i/>
          <w:lang w:val="en-GB"/>
        </w:rPr>
        <w:t xml:space="preserve"> </w:t>
      </w:r>
      <w:r w:rsidRPr="008D1BE2">
        <w:rPr>
          <w:rFonts w:eastAsia="Calibri" w:cs="Arial"/>
          <w:lang w:val="en-GB"/>
        </w:rPr>
        <w:t>Because frailty in elderly is often combined with a decline in cognitive functioning, the cognitive functioning will also be assessed using the Dutch version of the Montreal Cognitive Assessment (MoCA)</w:t>
      </w:r>
      <w:r w:rsidR="00293F89">
        <w:rPr>
          <w:rFonts w:eastAsia="Calibri" w:cs="Arial"/>
          <w:lang w:val="en-GB"/>
        </w:rPr>
        <w:t>.</w:t>
      </w:r>
      <w:r>
        <w:rPr>
          <w:rFonts w:eastAsia="Calibri" w:cs="Arial"/>
          <w:lang w:val="en-GB"/>
        </w:rPr>
        <w:fldChar w:fldCharType="begin" w:fldLock="1"/>
      </w:r>
      <w:r w:rsidR="00B214DD">
        <w:rPr>
          <w:rFonts w:eastAsia="Calibri" w:cs="Arial"/>
          <w:lang w:val="en-GB"/>
        </w:rPr>
        <w:instrText>ADDIN CSL_CITATION {"citationItems":[{"id":"ITEM-1","itemData":{"DOI":"10.1111/j.1532-5415.2005.53221.x","ISSN":"00028614","PMID":"15817019","abstract":"OBJECTIVES: To develop a 10-minute cognitive screening tool (Montreal Cognitive Assessment, MoCA) to assist first-line physicians in detection of mild cognitive impairment (MCI), a clinical state that often progresses to dementia. DESIGN: Validation study. SETTING: A community clinic and an academic center. PARTICIPANTS: Ninety-four patients meeting MCI clinical criteria supported by psychometric measures, 93 patients with mild Alzheimer's disease (AD) (Mini-Mental State Examination (MMSE) score ≥17), and 90 healthy elderly controls (NC). MEASUREMENTS: The MoCA and MMSE were administered to all participants, and sensitivity and specificity of both measures were assessed for detection of MCI and mild AD. RESULTS: Using a cutoff score 26, the MMSE had a sensitivity of 18% to detect MCI, whereas the MoCA detected 90% of MCI subjects. In the mild AD group, the MMSE had a sensitivity of 78%, whereas the MoCA detected 100%. Specificity was excellent for both MMSE and MoCA (100% and 87%, respectively). CONCLUSION: MCI as an entity is evolving and somewhat controversial. The MoCA is a brief cognitive screening tool with high sensitivity and specificity for detecting MCI as currently conceptualized in patients performing in the normal range on the MMSE. © 2005 by the American Geriatrics Society.","author":[{"dropping-particle":"","family":"Nasreddine","given":"Ziad S.","non-dropping-particle":"","parse-names":false,"suffix":""},{"dropping-particle":"","family":"Phillips","given":"Natalie A.","non-dropping-particle":"","parse-names":false,"suffix":""},{"dropping-particle":"","family":"BÃ©dirian","given":"ValÃ©rie","non-dropping-particle":"","parse-names":false,"suffix":""},{"dropping-particle":"","family":"Charbonneau","given":"Simon","non-dropping-particle":"","parse-names":false,"suffix":""},{"dropping-particle":"","family":"Whitehead","given":"Victor","non-dropping-particle":"","parse-names":false,"suffix":""},{"dropping-particle":"","family":"Collin","given":"Isabelle","non-dropping-particle":"","parse-names":false,"suffix":""},{"dropping-particle":"","family":"Cummings","given":"Jeffrey L.","non-dropping-particle":"","parse-names":false,"suffix":""},{"dropping-particle":"","family":"Chertkow","given":"Howard","non-dropping-particle":"","parse-names":false,"suffix":""}],"container-title":"Journal of the American Geriatrics Society","id":"ITEM-1","issue":"4","issued":{"date-parts":[["2005","4"]]},"page":"695-699","title":"The Montreal Cognitive Assessment, MoCA: A Brief Screening Tool For Mild Cognitive Impairment","type":"article-journal","volume":"53"},"uris":["http://www.mendeley.com/documents/?uuid=d4af58ba-5ae8-4527-9bc1-003b7b4fb192"]},{"id":"ITEM-2","itemData":{"DOI":"10.1007/s12439-010-0218-0","ISSN":"01679228","abstract":"Objective: The MoCA is a new screening test to detect Mild Cognitive Impairment (MCI). Purpose of this study is validating the Dutch version (MoCA-D). Method: We administered the MoCA-D to healthy control subjects and to elderly with MCI or dementia from a memory disorder outpatient clinic and a geriatric (outpatient) clinic (n=30, 32, 37 respectively, age≥60). Neuropsychological testing was part of the standard procedure for patients to diagnose MCI. Sensitivity, specificity and predictive values (positive: PPV and negative: NPV) of the MoCA-D were assessed. Results: A significant effect of group was found on MoCA-D total score (F(2, 95)=67, 9; p&lt;0,01). With a cutoff score of ≤25, sensitivity and specificity to detect MCI in relation to healthy controls were 72% and 73%, respectively. PPV and NPV were 84% and 56%, respectively. With a cut-off score of ≤20, sensitivity to detect dementia in relation to MCI was 100% for severe dementia and 75% for mild dementia. Specificity for dementia was 81%, PPV 94% and NPV 55%. Conclusion: The MoCA-D distinguishes between healthy elderly, MCI patients and dementia patients. However, in this study, insufficient sensitivity and poor specificity were found. For the present, applying a broader and flexible screening procedure in order to detect MCI seems a more useful method than the interpretation of one test result in particular.","author":[{"dropping-particle":"","family":"Thissen","given":"A. J.A.M.","non-dropping-particle":"","parse-names":false,"suffix":""},{"dropping-particle":"","family":"Bergen","given":"F.","non-dropping-particle":"Van","parse-names":false,"suffix":""},{"dropping-particle":"","family":"Jonghe","given":"J. F.M.","non-dropping-particle":"De","parse-names":false,"suffix":""},{"dropping-particle":"","family":"Kessels","given":"R. P.C.","non-dropping-particle":"","parse-names":false,"suffix":""},{"dropping-particle":"","family":"Dautzenberg","given":"P. L.J.","non-dropping-particle":"","parse-names":false,"suffix":""}],"container-title":"Tijdschrift voor Gerontologie en Geriatrie","id":"ITEM-2","issue":"6","issued":{"date-parts":[["2010","12"]]},"page":"231-240","publisher":"Tijdschr Gerontol Geriatr","title":"Bruikbaarheid en validiteit van de Nederlandse versie van de montreal cognitive assessment (MoCA-D) bij het diagnosticeren van mild cognitive impairment","type":"article-journal","volume":"41"},"uris":["http://www.mendeley.com/documents/?uuid=03a8ecc0-f4fa-3573-a4f3-c114cc994559"]}],"mendeley":{"formattedCitation":"[4, 5]","plainTextFormattedCitation":"[4, 5]","previouslyFormattedCitation":"[4, 5]"},"properties":{"noteIndex":0},"schema":"https://github.com/citation-style-language/schema/raw/master/csl-citation.json"}</w:instrText>
      </w:r>
      <w:r>
        <w:rPr>
          <w:rFonts w:eastAsia="Calibri" w:cs="Arial"/>
          <w:lang w:val="en-GB"/>
        </w:rPr>
        <w:fldChar w:fldCharType="separate"/>
      </w:r>
      <w:r w:rsidR="00B214DD" w:rsidRPr="00B214DD">
        <w:rPr>
          <w:rFonts w:eastAsia="Calibri" w:cs="Arial"/>
          <w:noProof/>
          <w:lang w:val="en-GB"/>
        </w:rPr>
        <w:t>[4, 5]</w:t>
      </w:r>
      <w:r>
        <w:rPr>
          <w:rFonts w:eastAsia="Calibri" w:cs="Arial"/>
          <w:lang w:val="en-GB"/>
        </w:rPr>
        <w:fldChar w:fldCharType="end"/>
      </w:r>
      <w:r w:rsidR="00293F89">
        <w:rPr>
          <w:rFonts w:eastAsia="Calibri" w:cs="Arial"/>
          <w:lang w:val="en-GB"/>
        </w:rPr>
        <w:t xml:space="preserve"> </w:t>
      </w:r>
      <w:r w:rsidRPr="008D1BE2">
        <w:rPr>
          <w:rFonts w:eastAsia="Calibri" w:cs="Arial"/>
          <w:lang w:val="en-GB"/>
        </w:rPr>
        <w:t xml:space="preserve">This 10-minute assessment covers visio-spatial and executive functioning, naming, memory, attention, language, abstraction, delayed recall and </w:t>
      </w:r>
      <w:r w:rsidR="00BB2ACF" w:rsidRPr="008D1BE2">
        <w:rPr>
          <w:rFonts w:eastAsia="Calibri" w:cs="Arial"/>
          <w:lang w:val="en-GB"/>
        </w:rPr>
        <w:t xml:space="preserve">orientation. </w:t>
      </w:r>
      <w:r>
        <w:rPr>
          <w:rFonts w:eastAsia="Calibri" w:cs="Arial"/>
          <w:lang w:val="en-GB"/>
        </w:rPr>
        <w:t>T</w:t>
      </w:r>
      <w:r w:rsidR="00293F89">
        <w:rPr>
          <w:rFonts w:eastAsia="Calibri" w:cs="Arial"/>
          <w:lang w:val="en-GB"/>
        </w:rPr>
        <w:t>he MoCA</w:t>
      </w:r>
      <w:r w:rsidRPr="008D1BE2">
        <w:rPr>
          <w:rFonts w:eastAsia="Calibri" w:cs="Arial"/>
          <w:lang w:val="en-GB"/>
        </w:rPr>
        <w:t>’s sensitivity and specificity exceed those of the Mini Mental State Examination</w:t>
      </w:r>
      <w:r>
        <w:rPr>
          <w:rFonts w:eastAsia="Calibri" w:cs="Arial"/>
          <w:lang w:val="en-GB"/>
        </w:rPr>
        <w:t>, r</w:t>
      </w:r>
      <w:r w:rsidRPr="008D1BE2">
        <w:rPr>
          <w:rFonts w:eastAsia="Calibri" w:cs="Arial"/>
          <w:lang w:val="en-GB"/>
        </w:rPr>
        <w:t>egarding</w:t>
      </w:r>
      <w:r>
        <w:rPr>
          <w:rFonts w:eastAsia="Calibri" w:cs="Arial"/>
          <w:lang w:val="en-GB"/>
        </w:rPr>
        <w:t xml:space="preserve"> detection of mild cognitive impairment</w:t>
      </w:r>
      <w:r w:rsidRPr="008D1BE2">
        <w:rPr>
          <w:rFonts w:eastAsia="Calibri" w:cs="Arial"/>
          <w:lang w:val="en-GB"/>
        </w:rPr>
        <w:t xml:space="preserve"> in older community-dwelling ad</w:t>
      </w:r>
      <w:r>
        <w:rPr>
          <w:rFonts w:eastAsia="Calibri" w:cs="Arial"/>
          <w:lang w:val="en-GB"/>
        </w:rPr>
        <w:t>ults and haemodialysis patients</w:t>
      </w:r>
      <w:r w:rsidR="00293F89">
        <w:rPr>
          <w:rFonts w:eastAsia="Calibri" w:cs="Arial"/>
          <w:lang w:val="en-GB"/>
        </w:rPr>
        <w:t>.</w:t>
      </w:r>
      <w:r>
        <w:rPr>
          <w:rFonts w:eastAsia="Calibri" w:cs="Arial"/>
          <w:lang w:val="en-GB"/>
        </w:rPr>
        <w:fldChar w:fldCharType="begin" w:fldLock="1"/>
      </w:r>
      <w:r w:rsidR="00B214DD">
        <w:rPr>
          <w:rFonts w:eastAsia="Calibri" w:cs="Arial"/>
          <w:lang w:val="en-GB"/>
        </w:rPr>
        <w:instrText>ADDIN CSL_CITATION {"citationItems":[{"id":"ITEM-1","itemData":{"DOI":"10.1186/s12877-015-0103-3","ISSN":"1471-2318","abstract":"Background: The Montreal Cognitive Assessment (MoCA) was developed to enable earlier detection of mild cognitive impairment (MCI) relative to familiar multi-domain tests like the Mini-Mental State Exam (MMSE). Clinicians need to better understand the relationship between MoCA and MMSE scores. Methods: For this cross-sectional study, we analyzed 219 healthy control (HC), 299 MCI, and 100 Alzheimer's disease (AD) dementia cases from the Alzheimer's Disease Neuroimaging Initiative (ADNI)-GO/2 database to evaluate MMSE and MoCA score distributions and select MoCA values to capture early and late MCI cases. Stepwise variable selection in logistic regression evaluated relative value of four test domains for separating MCI from HC. Functional Activities Questionnaire (FAQ) was evaluated as a strategy to separate dementia from MCI. Equi-percentile equating produced a translation grid for MoCA against MMSE scores. Receiver Operating Characteristic (ROC) analyses evaluated lower cutoff scores for capturing the most MCI cases. Results: Most dementia cases scored abnormally, while MCI and HC score distributions overlapped on each test. Most MCI cases scored ≥17 on MoCA (96.3 %) and ≥24 on MMSE (98.3 %). The ceiling effect (28-30 points) for MCI and HC was less using MoCA (18.1 %) versus MMSE (71.4 %). MoCA and MMSE scores correlated most for dementia (r = 0.86; versus MCI r = 0.60; HC r = 0.43). Equi-percentile equating showed a MoCA score of 18 was equivalent to MMSE of 24. ROC analysis found MoCA ≥ 17 as the cutoff between MCI and dementia that emphasized high sensitivity (92.3 %) to capture MCI cases. The core and orientation domains in both tests best distinguished HC from MCI groups, whereas comprehension/executive function and attention/calculation were not helpful. Mean FAQ scores were significantly higher and a greater proportion had abnormal FAQ scores in dementia than MCI and HC. Conclusions: MoCA and MMSE were more similar for dementia cases, but MoCA distributes MCI cases across a broader score range with less ceiling effect. A cutoff of ≥17 on the MoCA may help capture early and late MCI cases; depending on the level of sensitivity desired, ≥18 or 19 could be used. Functional assessment can help exclude dementia cases. MoCA scores are translatable to the MMSE to facilitate comparison.","author":[{"dropping-particle":"","family":"Trzepacz","given":"Paula T.","non-dropping-particle":"","parse-names":false,"suffix":""},{"dropping-particle":"","family":"Hochstetler","given":"Helen","non-dropping-particle":"","parse-names":false,"suffix":""},{"dropping-particle":"","family":"Wang","given":"Shufang","non-dropping-particle":"","parse-names":false,"suffix":""},{"dropping-particle":"","family":"Walker","given":"Brett","non-dropping-particle":"","parse-names":false,"suffix":""},{"dropping-particle":"","family":"Saykin","given":"Andrew J.","non-dropping-particle":"","parse-names":false,"suffix":""}],"container-title":"BMC Geriatrics","id":"ITEM-1","issue":"1","issued":{"date-parts":[["2015","12","7"]]},"page":"107","publisher":"BioMed Central Ltd.","title":"Relationship between the Montreal Cognitive Assessment and Mini-mental State Examination for assessment of mild cognitive impairment in older adults","type":"article-journal","volume":"15"},"uris":["http://www.mendeley.com/documents/?uuid=16e03192-4ea5-390d-87e3-62bd0595c27b"]},{"id":"ITEM-2","itemData":{"DOI":"10.1371/journal.pone.0106700","ISSN":"19326203","abstract":"Background: Chronic kidney disease (CKD) patients undergoing hemodialysis (HD) therapy have an increased risk of developing cognitive impairment and dementia, which are known relevant factors in disease prognosis and therapeutic success, but still lack adequate screening in clinical routine. We evaluated the Montreal Cognitive Assessment (MoCA) for suitability in assessing cognitive performance in HD patients in comparison to the commonly used Mini-Mental State Examination (MMSE) and a detailed neuropsychological test battery, used as gold standard.\nMethods:43 HD patients and 42 healthy controls with an average age of 58 years, were assessed with the MoCA, the MMSE and a detailed neuropsychological test battery, covering the domains of memory, attention, language, visuospatial and executive functions. Composite scores were created for comparison of cognitive domains and test results were analyzed using Spearman's correlation and linear regression. Cognitive dysfunction was defined using z-score values and predictive values were calculated. Sensitivity and specificity of the MoCA were determined using receiver operating characteristic (ROC) analysis.\nResults: HD patients performed worse in all cognitive domains, especially in memory recall and executive functions. The MoCA correlated well with the detailed test battery and identified patients with cognitive impairment with a sensitivity of 76.7% and specificity of 78.6% for a cut-off value of ≤24 out of 30 points. In the detailed assessment executive functions accounted significantly for performance in the MoCA. The MMSE only discriminated weakly between groups.\nConclusions: The MoCA represents a suitable cognitive screening tool for hemodialysis patients, demonstrating good sensitivity and specificity levels, and covering executive functions, which appear to play an important role in cognitive performance of HD patients.","author":[{"dropping-particle":"","family":"Tiffin-Richards","given":"Frances E.","non-dropping-particle":"","parse-names":false,"suffix":""},{"dropping-particle":"","family":"Costa","given":"Ana S.","non-dropping-particle":"","parse-names":false,"suffix":""},{"dropping-particle":"","family":"Holschbach","given":"Bernhard","non-dropping-particle":"","parse-names":false,"suffix":""},{"dropping-particle":"","family":"Frank","given":"Rolf D.","non-dropping-particle":"","parse-names":false,"suffix":""},{"dropping-particle":"","family":"Vassiliadou","given":"Athina","non-dropping-particle":"","parse-names":false,"suffix":""},{"dropping-particle":"","family":"Krüger","given":"Thilo","non-dropping-particle":"","parse-names":false,"suffix":""},{"dropping-particle":"","family":"Kuckuck","given":"Karl","non-dropping-particle":"","parse-names":false,"suffix":""},{"dropping-particle":"","family":"Gross","given":"Theresa","non-dropping-particle":"","parse-names":false,"suffix":""},{"dropping-particle":"","family":"Eitner","given":"Frank","non-dropping-particle":"","parse-names":false,"suffix":""},{"dropping-particle":"","family":"Floege","given":"Jürgen","non-dropping-particle":"","parse-names":false,"suffix":""},{"dropping-particle":"","family":"Schulz","given":"Jörg B.","non-dropping-particle":"","parse-names":false,"suffix":""},{"dropping-particle":"","family":"Reetz","given":"Kathrin","non-dropping-particle":"","parse-names":false,"suffix":""}],"container-title":"PLoS ONE","id":"ITEM-2","issue":"10","issued":{"date-parts":[["2014","10","27"]]},"publisher":"Public Library of Science","title":"The Montreal Cognitive Assessment (MoCA) - A sensitive screening instrument for detecting cognitive impairment in chronic hemodialysis patients","type":"article-journal","volume":"9"},"uris":["http://www.mendeley.com/documents/?uuid=5a83fb89-a8d3-335b-896a-fbc675f22a4b"]}],"mendeley":{"formattedCitation":"[6, 7]","plainTextFormattedCitation":"[6, 7]","previouslyFormattedCitation":"[6, 7]"},"properties":{"noteIndex":0},"schema":"https://github.com/citation-style-language/schema/raw/master/csl-citation.json"}</w:instrText>
      </w:r>
      <w:r>
        <w:rPr>
          <w:rFonts w:eastAsia="Calibri" w:cs="Arial"/>
          <w:lang w:val="en-GB"/>
        </w:rPr>
        <w:fldChar w:fldCharType="separate"/>
      </w:r>
      <w:r w:rsidR="00B214DD" w:rsidRPr="00B214DD">
        <w:rPr>
          <w:rFonts w:eastAsia="Calibri" w:cs="Arial"/>
          <w:noProof/>
          <w:lang w:val="en-GB"/>
        </w:rPr>
        <w:t>[6, 7]</w:t>
      </w:r>
      <w:r>
        <w:rPr>
          <w:rFonts w:eastAsia="Calibri" w:cs="Arial"/>
          <w:lang w:val="en-GB"/>
        </w:rPr>
        <w:fldChar w:fldCharType="end"/>
      </w:r>
      <w:r w:rsidR="00293F89">
        <w:rPr>
          <w:rFonts w:eastAsia="Calibri" w:cs="Arial"/>
          <w:lang w:val="en-GB"/>
        </w:rPr>
        <w:t xml:space="preserve"> </w:t>
      </w:r>
      <w:r w:rsidRPr="008D1BE2">
        <w:rPr>
          <w:rFonts w:eastAsia="Calibri" w:cs="Arial"/>
          <w:lang w:val="en-GB"/>
        </w:rPr>
        <w:t xml:space="preserve">Possible scores range from 0-30; scores &lt;26 indicate cognitive impairments. </w:t>
      </w:r>
    </w:p>
    <w:p w:rsidR="006541E9" w:rsidRDefault="0056073E" w:rsidP="00806BE3">
      <w:pPr>
        <w:spacing w:line="480" w:lineRule="auto"/>
        <w:rPr>
          <w:rFonts w:eastAsia="Calibri" w:cs="Arial"/>
          <w:lang w:val="en-GB"/>
        </w:rPr>
      </w:pPr>
      <w:r w:rsidRPr="00602921">
        <w:rPr>
          <w:rFonts w:eastAsia="Calibri" w:cs="Arial"/>
          <w:b/>
          <w:sz w:val="24"/>
          <w:szCs w:val="24"/>
          <w:lang w:val="en-GB"/>
        </w:rPr>
        <w:t>Health related quality of life</w:t>
      </w:r>
      <w:r>
        <w:rPr>
          <w:rFonts w:eastAsia="Calibri" w:cs="Arial"/>
          <w:b/>
          <w:lang w:val="en-GB"/>
        </w:rPr>
        <w:t xml:space="preserve"> </w:t>
      </w:r>
      <w:r w:rsidR="00A17B63" w:rsidRPr="0056073E">
        <w:rPr>
          <w:rFonts w:eastAsia="Calibri" w:cs="Arial"/>
          <w:lang w:val="en-GB"/>
        </w:rPr>
        <w:t xml:space="preserve"> </w:t>
      </w:r>
      <w:r w:rsidR="00A17B63">
        <w:rPr>
          <w:rFonts w:eastAsia="Calibri" w:cs="Arial"/>
          <w:lang w:val="en-GB"/>
        </w:rPr>
        <w:t xml:space="preserve">Two </w:t>
      </w:r>
      <w:r w:rsidR="00A17B63" w:rsidRPr="008D1BE2">
        <w:rPr>
          <w:rFonts w:eastAsia="Calibri" w:cs="Arial"/>
          <w:lang w:val="en-GB"/>
        </w:rPr>
        <w:t xml:space="preserve"> instrument</w:t>
      </w:r>
      <w:r w:rsidR="00A17B63">
        <w:rPr>
          <w:rFonts w:eastAsia="Calibri" w:cs="Arial"/>
          <w:lang w:val="en-GB"/>
        </w:rPr>
        <w:t>s</w:t>
      </w:r>
      <w:r w:rsidR="00A17B63" w:rsidRPr="008D1BE2">
        <w:rPr>
          <w:rFonts w:eastAsia="Calibri" w:cs="Arial"/>
          <w:lang w:val="en-GB"/>
        </w:rPr>
        <w:t xml:space="preserve"> will be u</w:t>
      </w:r>
      <w:r w:rsidR="00A17B63">
        <w:rPr>
          <w:rFonts w:eastAsia="Calibri" w:cs="Arial"/>
          <w:lang w:val="en-GB"/>
        </w:rPr>
        <w:t xml:space="preserve">sed to measure quality of life, the Short Form -12 (SF-12), and the </w:t>
      </w:r>
      <w:r w:rsidR="00A17B63" w:rsidRPr="00746FB5">
        <w:rPr>
          <w:rFonts w:cs="Arial"/>
          <w:lang w:val="en-GB"/>
        </w:rPr>
        <w:t>European Quality of life</w:t>
      </w:r>
      <w:r w:rsidR="00A17B63">
        <w:rPr>
          <w:rFonts w:cs="Arial"/>
          <w:lang w:val="en-GB"/>
        </w:rPr>
        <w:t>-5 Dimensions (</w:t>
      </w:r>
      <w:r w:rsidR="00A17B63" w:rsidRPr="00746FB5">
        <w:rPr>
          <w:rFonts w:cs="Arial"/>
          <w:lang w:val="en-GB"/>
        </w:rPr>
        <w:t>EQ</w:t>
      </w:r>
      <w:r w:rsidR="00A17B63">
        <w:rPr>
          <w:rFonts w:cs="Arial"/>
          <w:lang w:val="en-GB"/>
        </w:rPr>
        <w:t>-</w:t>
      </w:r>
      <w:r w:rsidR="00A17B63" w:rsidRPr="00746FB5">
        <w:rPr>
          <w:rFonts w:cs="Arial"/>
          <w:lang w:val="en-GB"/>
        </w:rPr>
        <w:t>5D</w:t>
      </w:r>
      <w:r w:rsidR="00A17B63">
        <w:rPr>
          <w:rFonts w:cs="Arial"/>
          <w:lang w:val="en-GB"/>
        </w:rPr>
        <w:t>).</w:t>
      </w:r>
      <w:r w:rsidR="00A17B63">
        <w:rPr>
          <w:rFonts w:eastAsia="Calibri" w:cs="Arial"/>
          <w:lang w:val="en-GB"/>
        </w:rPr>
        <w:t xml:space="preserve"> </w:t>
      </w:r>
      <w:r w:rsidR="00A17B63" w:rsidRPr="008D1BE2">
        <w:rPr>
          <w:rFonts w:eastAsia="Calibri" w:cs="Arial"/>
          <w:lang w:val="en-GB"/>
        </w:rPr>
        <w:t xml:space="preserve">The SF-12 is the short-form of the SF-36 health survey, a widely used and well validated health-related quality-of-life questionnaire. The SF-12 consists of twelve questions that measure eight health domains to assess physical and mental health. The SF-12 summary </w:t>
      </w:r>
      <w:r w:rsidR="00BB2ACF" w:rsidRPr="008D1BE2">
        <w:rPr>
          <w:rFonts w:eastAsia="Calibri" w:cs="Arial"/>
          <w:lang w:val="en-GB"/>
        </w:rPr>
        <w:t>scores for</w:t>
      </w:r>
      <w:r w:rsidR="00A17B63" w:rsidRPr="008D1BE2">
        <w:rPr>
          <w:rFonts w:eastAsia="Calibri" w:cs="Arial"/>
          <w:lang w:val="en-GB"/>
        </w:rPr>
        <w:t xml:space="preserve"> physical functioning (PCS-12) and mental functioning (MCS-12) range from 0 to 100, with higher scores representing better self-reported health.   The instrument has been validated across a number of chronic diseases and conditions including kidney disease</w:t>
      </w:r>
      <w:r w:rsidR="00293F89">
        <w:rPr>
          <w:rFonts w:eastAsia="Calibri" w:cs="Arial"/>
          <w:lang w:val="en-GB"/>
        </w:rPr>
        <w:t>.</w:t>
      </w:r>
      <w:r w:rsidR="00A17B63">
        <w:rPr>
          <w:rFonts w:eastAsia="Calibri" w:cs="Arial"/>
          <w:lang w:val="en-GB"/>
        </w:rPr>
        <w:fldChar w:fldCharType="begin" w:fldLock="1"/>
      </w:r>
      <w:r w:rsidR="00B214DD">
        <w:rPr>
          <w:rFonts w:eastAsia="Calibri" w:cs="Arial"/>
          <w:lang w:val="en-GB"/>
        </w:rPr>
        <w:instrText>ADDIN CSL_CITATION {"citationItems":[{"id":"ITEM-1","itemData":{"DOI":"10.2215/CJN.07231009","ISSN":"15559041","abstract":"Background and objectives: The Short Form 12 (SF-12) has not been validated for long-term dialysis patients. The study compared physical and mental component summary (PCS/MCS) scores from the SF-36 with those from the embedded SF-12 in a national cohort of dialysis patients. Design, setting, participants, &amp; measurements: All 44,395 patients who had scorable SF-36 and SF-12 from January 1, 2006, to December 31, 2006, and were treated at Fresenius Medical Care, North America facilities were included. Death and first hospitalization were followed for up to 1 year from the date of survey. Correlation and agreement were obtained between PCS-36 and PCS-12 and MCS-36 and MCS-12; then Cox models were constructed to compare associated hazard ratios (HRs) between them. Results: Physical and mental dimensions both exhibited excellent intraclass correlation coefficients of 0.94. Each incremental point for both PCS-12 and PCS-36 was associated with a 2.4% lower adjusted HR of death and 0.4% decline in HR for first hospitalization (both P &lt; 0.0001). Corresponding improvement in HR of death for each MCS point was 1.2% for MCS-12 and 1.3% for MCS-36, whereas both had similar 0.6% lower HR for hospitalization per point (all P &lt; 0.0001). Conclusions: The use of the SF-12 alone or as part of a larger survey is valid in dialysis patients. Composite scores from the SF-12 and SF-36 have similar prognostic association with death and hospitalization risk. Prospective longitudinal studies of SF-12 surveys that consider responsiveness to specific clinical, situational, and interventional changes are needed in this population. Copyright © 2010 by the American Society of Nephrology.","author":[{"dropping-particle":"","family":"Lacson","given":"Eduardo","non-dropping-particle":"","parse-names":false,"suffix":""},{"dropping-particle":"","family":"Xu","given":"Jianglin","non-dropping-particle":"","parse-names":false,"suffix":""},{"dropping-particle":"","family":"Lin","given":"Shu Fang","non-dropping-particle":"","parse-names":false,"suffix":""},{"dropping-particle":"","family":"Dean","given":"Sandie Guerra","non-dropping-particle":"","parse-names":false,"suffix":""},{"dropping-particle":"","family":"Lazarus","given":"J. Michael","non-dropping-particle":"","parse-names":false,"suffix":""},{"dropping-particle":"","family":"Hakim","given":"Raymond M.","non-dropping-particle":"","parse-names":false,"suffix":""}],"container-title":"Clinical Journal of the American Society of Nephrology","id":"ITEM-1","issue":"2","issued":{"date-parts":[["2010"]]},"page":"252-260","publisher":"Clin J Am Soc Nephrol","title":"A comparison of SF-36 and SF-12 composite scores and subsequent hospitalization and mortality risks in long-term dialysis patients","type":"article-journal","volume":"5"},"uris":["http://www.mendeley.com/documents/?uuid=48e885e8-28ba-38be-8c52-e302559a26a1"]}],"mendeley":{"formattedCitation":"[8]","plainTextFormattedCitation":"[8]","previouslyFormattedCitation":"[8]"},"properties":{"noteIndex":0},"schema":"https://github.com/citation-style-language/schema/raw/master/csl-citation.json"}</w:instrText>
      </w:r>
      <w:r w:rsidR="00A17B63">
        <w:rPr>
          <w:rFonts w:eastAsia="Calibri" w:cs="Arial"/>
          <w:lang w:val="en-GB"/>
        </w:rPr>
        <w:fldChar w:fldCharType="separate"/>
      </w:r>
      <w:r w:rsidR="00B214DD" w:rsidRPr="00B214DD">
        <w:rPr>
          <w:rFonts w:eastAsia="Calibri" w:cs="Arial"/>
          <w:noProof/>
          <w:lang w:val="en-GB"/>
        </w:rPr>
        <w:t>[8]</w:t>
      </w:r>
      <w:r w:rsidR="00A17B63">
        <w:rPr>
          <w:rFonts w:eastAsia="Calibri" w:cs="Arial"/>
          <w:lang w:val="en-GB"/>
        </w:rPr>
        <w:fldChar w:fldCharType="end"/>
      </w:r>
      <w:r w:rsidR="00A17B63" w:rsidRPr="008D1BE2">
        <w:rPr>
          <w:rFonts w:eastAsia="Calibri" w:cs="Arial"/>
          <w:lang w:val="en-GB"/>
        </w:rPr>
        <w:t xml:space="preserve"> </w:t>
      </w:r>
    </w:p>
    <w:p w:rsidR="00A17B63" w:rsidRPr="00746FB5" w:rsidRDefault="00A17B63" w:rsidP="00806BE3">
      <w:pPr>
        <w:spacing w:line="480" w:lineRule="auto"/>
        <w:rPr>
          <w:rFonts w:eastAsia="Calibri" w:cs="Arial"/>
          <w:lang w:val="en-GB"/>
        </w:rPr>
      </w:pPr>
      <w:r w:rsidRPr="00746FB5">
        <w:rPr>
          <w:rFonts w:cs="Arial"/>
          <w:lang w:val="en-GB"/>
        </w:rPr>
        <w:t>The EQ</w:t>
      </w:r>
      <w:r>
        <w:rPr>
          <w:rFonts w:cs="Arial"/>
          <w:lang w:val="en-GB"/>
        </w:rPr>
        <w:t>-</w:t>
      </w:r>
      <w:r w:rsidRPr="00746FB5">
        <w:rPr>
          <w:rFonts w:cs="Arial"/>
          <w:lang w:val="en-GB"/>
        </w:rPr>
        <w:t>5D is a standardised measure of health status in order to provide a simple, generic measure of health for clinical and economic appraisal. The EQ</w:t>
      </w:r>
      <w:r>
        <w:rPr>
          <w:rFonts w:cs="Arial"/>
          <w:lang w:val="en-GB"/>
        </w:rPr>
        <w:t>-</w:t>
      </w:r>
      <w:r w:rsidRPr="00746FB5">
        <w:rPr>
          <w:rFonts w:cs="Arial"/>
          <w:lang w:val="en-GB"/>
        </w:rPr>
        <w:t xml:space="preserve">5D consists of 5 dimensions (mobility, self-care, usual activities, pain/discomfort, and anxiety/depression) and a numerical expression of self-perceived health status. Each </w:t>
      </w:r>
      <w:r w:rsidR="00BB2ACF" w:rsidRPr="00746FB5">
        <w:rPr>
          <w:rFonts w:cs="Arial"/>
          <w:lang w:val="en-GB"/>
        </w:rPr>
        <w:t>dimension</w:t>
      </w:r>
      <w:r w:rsidRPr="00746FB5">
        <w:rPr>
          <w:rFonts w:cs="Arial"/>
          <w:lang w:val="en-GB"/>
        </w:rPr>
        <w:t xml:space="preserve"> has three possible answers: no problems, some problems, and extreme problems. The EQ VAS records the respondent’s self-rated health on a visual analogue scale with endpoints labelled ‘the best health you can imagine’ and ‘the worst health you can imagine’. This information can be used as a quantitative measure of health as judged by the individual respondents.  The EQ5D was found to be a valid instrument for the measurement of health status in renal transplant patients, with good construct, concurre</w:t>
      </w:r>
      <w:r>
        <w:rPr>
          <w:rFonts w:cs="Arial"/>
          <w:lang w:val="en-GB"/>
        </w:rPr>
        <w:t>nt and discriminative validity</w:t>
      </w:r>
      <w:r w:rsidR="00293F89">
        <w:rPr>
          <w:rFonts w:cs="Arial"/>
          <w:lang w:val="en-GB"/>
        </w:rPr>
        <w:t>.</w:t>
      </w:r>
      <w:r>
        <w:rPr>
          <w:rFonts w:cs="Arial"/>
          <w:lang w:val="en-GB"/>
        </w:rPr>
        <w:fldChar w:fldCharType="begin" w:fldLock="1"/>
      </w:r>
      <w:r w:rsidR="00B214DD">
        <w:rPr>
          <w:rFonts w:cs="Arial"/>
          <w:lang w:val="en-GB"/>
        </w:rPr>
        <w:instrText>ADDIN CSL_CITATION {"citationItems":[{"id":"ITEM-1","itemData":{"DOI":"10.1111/j.1524-4733.2004.74013.x","ISSN":"10983015","PMID":"15449642","abstract":"Objectives: Cost-utility analysis in renal transplant populations requires the use of a generic instrument for health status measurement that generates a single value for health. Such instruments should be widely applicable in diverse patient populations and their validity should be established. The aim of this study was to explore the validity of the EQ-5D in renal transplant patients. Methods: The EQ-5D was compared with the Short-Form 36 Health Survey (SF-36), the modified transplant symptom occurrence and symptom distress (MTSOSD) scale, the short-form Beck Depression Inventory (BDI), and the State Trait Anxiety Inventory (STAI). Construct and concurrent validity were tested on cross-sectional data of 350 patients. Results: Construct validity is good for some but not all EQ-5D dimensions, and the EQ-5D discriminates well among groups of patients with different health states according to the SF-36, MTSOSD scale, BDI, and STAI and between patients and the general public. Concurrent validity is good, as shown by the correspondence of EQ-5D and SF-36 results. Conclusion: It is concluded that the EQ-5D is a valid instrument for the measurement of health status in renal transplant patients.","author":[{"dropping-particle":"","family":"Cleemput","given":"Irina","non-dropping-particle":"","parse-names":false,"suffix":""},{"dropping-particle":"","family":"Kesteloot","given":"Katrien","non-dropping-particle":"","parse-names":false,"suffix":""},{"dropping-particle":"","family":"Moons","given":"Philip","non-dropping-particle":"","parse-names":false,"suffix":""},{"dropping-particle":"","family":"Vanrenterghem","given":"Yves","non-dropping-particle":"","parse-names":false,"suffix":""},{"dropping-particle":"","family":"Hooff","given":"Johannes P.","non-dropping-particle":"Van","parse-names":false,"suffix":""},{"dropping-particle":"","family":"Squifflet","given":"Jean Paul","non-dropping-particle":"","parse-names":false,"suffix":""},{"dropping-particle":"","family":"Geest","given":"Sabina","non-dropping-particle":"De","parse-names":false,"suffix":""}],"container-title":"Value in Health","id":"ITEM-1","issue":"4","issued":{"date-parts":[["2004"]]},"page":"499-509","publisher":"Blackwell Publishing Inc.","title":"The construct and concurrent validity of the EQ-5D in a renal transplant population","type":"article-journal","volume":"7"},"uris":["http://www.mendeley.com/documents/?uuid=971c3767-55a1-349c-86b3-d9b6bdd34647"]}],"mendeley":{"formattedCitation":"[9]","plainTextFormattedCitation":"[9]","previouslyFormattedCitation":"[9]"},"properties":{"noteIndex":0},"schema":"https://github.com/citation-style-language/schema/raw/master/csl-citation.json"}</w:instrText>
      </w:r>
      <w:r>
        <w:rPr>
          <w:rFonts w:cs="Arial"/>
          <w:lang w:val="en-GB"/>
        </w:rPr>
        <w:fldChar w:fldCharType="separate"/>
      </w:r>
      <w:r w:rsidR="00B214DD" w:rsidRPr="00B214DD">
        <w:rPr>
          <w:rFonts w:cs="Arial"/>
          <w:noProof/>
          <w:lang w:val="en-GB"/>
        </w:rPr>
        <w:t>[9]</w:t>
      </w:r>
      <w:r>
        <w:rPr>
          <w:rFonts w:cs="Arial"/>
          <w:lang w:val="en-GB"/>
        </w:rPr>
        <w:fldChar w:fldCharType="end"/>
      </w:r>
    </w:p>
    <w:p w:rsidR="00A17B63" w:rsidRDefault="00A17B63" w:rsidP="00806BE3">
      <w:pPr>
        <w:spacing w:line="480" w:lineRule="auto"/>
        <w:rPr>
          <w:lang w:val="en-GB"/>
        </w:rPr>
      </w:pPr>
      <w:r w:rsidRPr="003D4C4D">
        <w:rPr>
          <w:rFonts w:eastAsia="Calibri" w:cs="Arial"/>
          <w:i/>
          <w:lang w:val="en-GB"/>
        </w:rPr>
        <w:lastRenderedPageBreak/>
        <w:t>Illness perceptions</w:t>
      </w:r>
      <w:r>
        <w:rPr>
          <w:rFonts w:eastAsia="Calibri" w:cs="Arial"/>
          <w:i/>
          <w:lang w:val="en-GB"/>
        </w:rPr>
        <w:t xml:space="preserve"> </w:t>
      </w:r>
      <w:r>
        <w:rPr>
          <w:i/>
          <w:iCs/>
          <w:lang w:val="en-GB"/>
        </w:rPr>
        <w:t xml:space="preserve">– </w:t>
      </w:r>
      <w:r>
        <w:rPr>
          <w:lang w:val="en-GB"/>
        </w:rPr>
        <w:t>A growing body of literature suggests that patients’ illness perceptions are key to understanding why many patients with chronic kidney disease have poor outcomes that are not explained by the clinical severity of the disease, including an impaired health-related quality of life, a faster disease progression, depressive symptoms and mortality</w:t>
      </w:r>
      <w:r w:rsidR="00293F89">
        <w:rPr>
          <w:lang w:val="en-GB"/>
        </w:rPr>
        <w:t>.</w:t>
      </w:r>
      <w:r>
        <w:rPr>
          <w:lang w:val="en-GB"/>
        </w:rPr>
        <w:fldChar w:fldCharType="begin" w:fldLock="1"/>
      </w:r>
      <w:r w:rsidR="00B214DD">
        <w:rPr>
          <w:lang w:val="en-GB"/>
        </w:rPr>
        <w:instrText>ADDIN CSL_CITATION {"citationItems":[{"id":"ITEM-1","itemData":{"DOI":"10.1093/ckj/sfw014","ISSN":"20488513","abstract":"Patients with chronic kidney disease (CKD) form organized beliefs regarding their illness and treatment. These perceptions influence the coping strategies employed by an individual to manage his/her illness and may act as a predictor for his/her willingness to engage in self-management behaviours. While illness perceptions have been identified as predictors of nonadherence, depression and mortality in dialysis patients, there is a paucity of research in CKD patients not requiring renal replacement therapy. This narrative review synthesizes the existing literature regarding the role of illness perceptions and associated clinical and psychosocial outcomes in non-dialysis CKD patients. Studies were identified following database searches of AMED, BNI, CINAHL, EMBASE, Health Business Elite, HMIC, Medline, PsycINFO and Google Scholar in January 2016. Despite the small evidence base, existing studies indicate that negative illness perceptions are associated with disease progression and a number of psychosocial outcomes in non-dialysis CKD patients. Evidence from other clinical populations suggests that illness perceptions are modifiable through psychological intervention, which may be most effective if delivered early before beliefs have the chance to become more established. Therefore, targeting illness perceptions in the earlier stages of CKD may be optimal. Further studies are now required to ascertain the mechanisms through which illness perceptions predict psychosocial and clinical outcomes in CKD patients and to ultimately test the efficacy of illness perception-based interventions.","author":[{"dropping-particle":"","family":"Clarke","given":"Amy L","non-dropping-particle":"","parse-names":false,"suffix":""},{"dropping-particle":"","family":"Yates","given":"Thomas","non-dropping-particle":"","parse-names":false,"suffix":""},{"dropping-particle":"","family":"Smith","given":"Alice C","non-dropping-particle":"","parse-names":false,"suffix":""},{"dropping-particle":"","family":"Chilcot","given":"Joseph","non-dropping-particle":"","parse-names":false,"suffix":""}],"container-title":"Clinical Kidney Journal","id":"ITEM-1","issue":"3","issued":{"date-parts":[["2016"]]},"page":"494-502","title":"Patient's perceptions of chronic kidney disease and their association with psychosocial and clinical outcomes: A narrative review","type":"article","volume":"9"},"uris":["http://www.mendeley.com/documents/?uuid=0a8e07ea-6c8b-3ab7-a8f4-1881cc2c6d79"]}],"mendeley":{"formattedCitation":"[10]","plainTextFormattedCitation":"[10]","previouslyFormattedCitation":"[10]"},"properties":{"noteIndex":0},"schema":"https://github.com/citation-style-language/schema/raw/master/csl-citation.json"}</w:instrText>
      </w:r>
      <w:r>
        <w:rPr>
          <w:lang w:val="en-GB"/>
        </w:rPr>
        <w:fldChar w:fldCharType="separate"/>
      </w:r>
      <w:r w:rsidR="00B214DD" w:rsidRPr="00B214DD">
        <w:rPr>
          <w:noProof/>
          <w:lang w:val="en-GB"/>
        </w:rPr>
        <w:t>[10]</w:t>
      </w:r>
      <w:r>
        <w:rPr>
          <w:lang w:val="en-GB"/>
        </w:rPr>
        <w:fldChar w:fldCharType="end"/>
      </w:r>
      <w:r w:rsidR="00293F89">
        <w:rPr>
          <w:lang w:val="en-GB"/>
        </w:rPr>
        <w:t xml:space="preserve"> </w:t>
      </w:r>
      <w:r>
        <w:rPr>
          <w:lang w:val="en-GB"/>
        </w:rPr>
        <w:t>Moreover, these illness perceptions seem to be a promising starting point for patient-centred interventions to improve clinical and patient-reported outcomes. The commonly used and validated Brief Illness Perception Questionnaire</w:t>
      </w:r>
      <w:r>
        <w:rPr>
          <w:lang w:val="en-GB"/>
        </w:rPr>
        <w:fldChar w:fldCharType="begin" w:fldLock="1"/>
      </w:r>
      <w:r w:rsidR="00B214DD">
        <w:rPr>
          <w:lang w:val="en-GB"/>
        </w:rPr>
        <w:instrText>ADDIN CSL_CITATION {"citationItems":[{"id":"ITEM-1","itemData":{"DOI":"10.1080/08870446.2015.1070851","ISSN":"14768321","PMID":"26181764","abstract":"Objective: This paper aims to systematically review the use and performance of the Brief Illness Perception Questionnaire (Brief IPQ). Design: Electronic databases were searched for papers administering the Brief IPQ published in peer-reviewed journals. Data were extracted from the results for meta-analysis. Main outcome measures: Use by illness population, country, language and study design. The questionnaire’s concurrent validity, predictive validity, sensitivity to change, discriminant validity and mean scores for different populations were summarised. Results: The review included 188 papers. The Brief IPQ has been administered to patients from age 8 to over 80, with a wide range of illnesses, in 26 languages from 36 countries. Pooled correlations between illness perceptions and depression, anxiety, blood glucose levels and quality of life were consistent with previous research and theory (range.25–.49 for consequences, identity and emotional representations; −.12 to −.27 for personal control). All items were able to predict some outcomes up to one-year follow-up. Each subscale demonstrated sensitivity to change after intervention in randomised controlled trials with the personal control and causal items showing most frequent change. Conclusions: The Brief IPQ is widely used and has good psychometric properties. More studies should include and analyse the causal item.","author":[{"dropping-particle":"","family":"Broadbent","given":"Elizabeth","non-dropping-particle":"","parse-names":false,"suffix":""},{"dropping-particle":"","family":"Wilkes","given":"Carissa","non-dropping-particle":"","parse-names":false,"suffix":""},{"dropping-particle":"","family":"Koschwanez","given":"Heidi","non-dropping-particle":"","parse-names":false,"suffix":""},{"dropping-particle":"","family":"Weinman","given":"John","non-dropping-particle":"","parse-names":false,"suffix":""},{"dropping-particle":"","family":"Norton","given":"Sam","non-dropping-particle":"","parse-names":false,"suffix":""},{"dropping-particle":"","family":"Petrie","given":"Keith J.","non-dropping-particle":"","parse-names":false,"suffix":""}],"container-title":"Psychology and Health","id":"ITEM-1","issue":"11","issued":{"date-parts":[["2015","11","2"]]},"page":"1361-1385","publisher":"Routledge","title":"A systematic review and meta-analysis of the Brief Illness Perception Questionnaire","type":"article-journal","volume":"30"},"uris":["http://www.mendeley.com/documents/?uuid=3df8e5e4-65fc-3b08-9813-cf11ad63d48c"]}],"mendeley":{"formattedCitation":"[11]","plainTextFormattedCitation":"[11]","previouslyFormattedCitation":"[11]"},"properties":{"noteIndex":0},"schema":"https://github.com/citation-style-language/schema/raw/master/csl-citation.json"}</w:instrText>
      </w:r>
      <w:r>
        <w:rPr>
          <w:lang w:val="en-GB"/>
        </w:rPr>
        <w:fldChar w:fldCharType="separate"/>
      </w:r>
      <w:r w:rsidR="00B214DD" w:rsidRPr="00B214DD">
        <w:rPr>
          <w:noProof/>
          <w:lang w:val="en-GB"/>
        </w:rPr>
        <w:t>[11]</w:t>
      </w:r>
      <w:r>
        <w:rPr>
          <w:lang w:val="en-GB"/>
        </w:rPr>
        <w:fldChar w:fldCharType="end"/>
      </w:r>
      <w:r>
        <w:rPr>
          <w:lang w:val="en-GB"/>
        </w:rPr>
        <w:t xml:space="preserve"> (B-IPQ) will be used to measure patients’ beliefs about their illness and treatment.  The B-IPQ assesses the following eight illness perceptions by means of a single item using a 0-to-10 response scale: illness identity, timeline acute/chronic, negative consequences, personal control, treatment control, illness coherence, emotional response and illness concern. </w:t>
      </w:r>
    </w:p>
    <w:p w:rsidR="00A17B63" w:rsidRDefault="00A17B63" w:rsidP="00806BE3">
      <w:pPr>
        <w:spacing w:line="480" w:lineRule="auto"/>
        <w:rPr>
          <w:lang w:val="en-GB"/>
        </w:rPr>
      </w:pPr>
      <w:r w:rsidRPr="00602921">
        <w:rPr>
          <w:b/>
          <w:iCs/>
          <w:sz w:val="24"/>
          <w:szCs w:val="24"/>
          <w:lang w:val="en-GB"/>
        </w:rPr>
        <w:t>Symptom burden</w:t>
      </w:r>
      <w:r w:rsidRPr="0056073E">
        <w:rPr>
          <w:b/>
          <w:iCs/>
          <w:lang w:val="en-GB"/>
        </w:rPr>
        <w:t>-</w:t>
      </w:r>
      <w:r>
        <w:rPr>
          <w:i/>
          <w:iCs/>
          <w:lang w:val="en-GB"/>
        </w:rPr>
        <w:t xml:space="preserve"> </w:t>
      </w:r>
      <w:r>
        <w:rPr>
          <w:lang w:val="en-GB"/>
        </w:rPr>
        <w:t xml:space="preserve">It is increasingly recognized that patient-reported outcomes such as symptom experience are crucial for understanding the benefit and/or burden of treatment, for understanding patients’ health-related quality of life and (non)adherence, and to detect issues that might jeopardize patients’ clinical outcome. An adjusted questionnaire consisting of the complete Dialysis Symptom Index (DSI) with additional items from the Modified Transplant Symptom Occurrence and Symptom Distress Scale-59 Items (MTSOSD-59) is developed in collaboration with nephrologists and patients to capture the vast range of symptoms experienced by kidney transplant recipients. </w:t>
      </w:r>
    </w:p>
    <w:p w:rsidR="00A17B63" w:rsidRDefault="00A17B63" w:rsidP="00806BE3">
      <w:pPr>
        <w:spacing w:line="480" w:lineRule="auto"/>
        <w:rPr>
          <w:lang w:val="en-GB"/>
        </w:rPr>
      </w:pPr>
      <w:r>
        <w:rPr>
          <w:lang w:val="en-GB"/>
        </w:rPr>
        <w:t>The DSI is a 30-item disease-specific symptom questionnaire to assess physical and emotional symptom burden. A recent study found the DSI to be valid and reliable, the most relevant, complete, and comprehensible symptom questionnaire available for routine assessment in patients with CKD, including kidney transplant recipients</w:t>
      </w:r>
      <w:r w:rsidR="00293F89">
        <w:rPr>
          <w:lang w:val="en-GB"/>
        </w:rPr>
        <w:t>.</w:t>
      </w:r>
      <w:r>
        <w:rPr>
          <w:lang w:val="en-GB"/>
        </w:rPr>
        <w:fldChar w:fldCharType="begin" w:fldLock="1"/>
      </w:r>
      <w:r w:rsidR="00B214DD">
        <w:rPr>
          <w:lang w:val="en-GB"/>
        </w:rPr>
        <w:instrText>ADDIN CSL_CITATION {"citationItems":[{"id":"ITEM-1","itemData":{"DOI":"10.1186/s12882-019-1521-9","ISSN":"14712369","PMID":"31477039","abstract":"Background: Patient-reported outcome measures (PROMs) are becoming increasingly important in healthcare. In nephrology, there is no agreement on which chronic kidney disease (CKD) symptom questionnaire to use. Therefore, the aim of this study is to select a valid symptom questionnaire for routine assessment in patients with advanced CKD. Methods: A four-phase mixed methods approach, using qualitative and quantitative research methods, was applied. First, a systematic literature search was conducted to retrieve existing symptom questionnaires. Second, a symptom list was created including all symptoms in existing questionnaires and symptoms mentioned in interviews with patients with CKD, from which symptom clusters were identified. Next, questionnaires were selected based on predefined criteria regarding content validity. Last, two online feedback panels of patients with CKD (n = 151) and experts (n = 6) reviewed the most promising questionnaires. Results: The literature search identified 121 questionnaires, of which 28 were potentially suitable for symptom assessment in patients with advanced CKD. 101 unique symptoms and 10 symptom clusters were distinguished. Based on predefined criteria, the Dialysis Symptom Index (DSI) and Palliative Care Outcome Scale-Renal Version (IPOS-Renal) were selected and reviewed by feedback panels. Patients needed 5.4 and 7.5 min to complete the DSI and IPOS-Renal, respectively (p &lt; 0.001). Patients experienced the DSI as more specific, complete and straightforward compared to the IPOS-Renal. Conclusions: The DSI was found to be valid and reliable, the most relevant, complete, and comprehensible symptom questionnaire available for routine assessment in patients with advanced CKD. Routine PROMs collection could be of great value to healthcare, both at individual patient and national level. Feedback on scores and involvement of healthcare providers may promote adaptation and implementation in healthcare.","author":[{"dropping-particle":"","family":"Willik","given":"Esmee M.","non-dropping-particle":"Van Der","parse-names":false,"suffix":""},{"dropping-particle":"","family":"Meuleman","given":"Yvette","non-dropping-particle":"","parse-names":false,"suffix":""},{"dropping-particle":"","family":"Prantl","given":"Karen","non-dropping-particle":"","parse-names":false,"suffix":""},{"dropping-particle":"","family":"Rijn","given":"Giel","non-dropping-particle":"Van","parse-names":false,"suffix":""},{"dropping-particle":"","family":"Bos","given":"Willem Jan W.","non-dropping-particle":"","parse-names":false,"suffix":""},{"dropping-particle":"","family":"Ittersum","given":"Frans J.","non-dropping-particle":"Van","parse-names":false,"suffix":""},{"dropping-particle":"","family":"Bart","given":"Hans A.J.","non-dropping-particle":"","parse-names":false,"suffix":""},{"dropping-particle":"","family":"Hemmelder","given":"Marc H.","non-dropping-particle":"","parse-names":false,"suffix":""},{"dropping-particle":"","family":"Dekker","given":"Friedo W.","non-dropping-particle":"","parse-names":false,"suffix":""}],"container-title":"BMC Nephrology","id":"ITEM-1","issue":"1","issued":{"date-parts":[["2019","9","2"]]},"page":"344","publisher":"BioMed Central Ltd.","title":"Patient-reported outcome measures: Selection of a valid questionnaire for routine symptom assessment in patients with advanced chronic kidney disease - A four-phase mixed methods study","type":"article-journal","volume":"20"},"uris":["http://www.mendeley.com/documents/?uuid=6234a45e-a9a7-3797-8389-c129b96bfe3c"]}],"mendeley":{"formattedCitation":"[12]","plainTextFormattedCitation":"[12]","previouslyFormattedCitation":"[12]"},"properties":{"noteIndex":0},"schema":"https://github.com/citation-style-language/schema/raw/master/csl-citation.json"}</w:instrText>
      </w:r>
      <w:r>
        <w:rPr>
          <w:lang w:val="en-GB"/>
        </w:rPr>
        <w:fldChar w:fldCharType="separate"/>
      </w:r>
      <w:r w:rsidR="00B214DD" w:rsidRPr="00B214DD">
        <w:rPr>
          <w:noProof/>
          <w:lang w:val="en-GB"/>
        </w:rPr>
        <w:t>[12]</w:t>
      </w:r>
      <w:r>
        <w:rPr>
          <w:lang w:val="en-GB"/>
        </w:rPr>
        <w:fldChar w:fldCharType="end"/>
      </w:r>
      <w:r w:rsidR="00293F89">
        <w:rPr>
          <w:lang w:val="en-GB"/>
        </w:rPr>
        <w:t xml:space="preserve"> </w:t>
      </w:r>
      <w:r>
        <w:rPr>
          <w:lang w:val="en-GB"/>
        </w:rPr>
        <w:t xml:space="preserve"> In total, 32 items of the 59 MTSOSD items were added to assess symptoms associated with side effects of immunosuppressive medication.  The adjusted questionnaire consists of 62 items, with each item reflecting one symptom that is scored for symptom occurrence and symptom burden. Symptom occurrence is assessed with the question “During the past week: did you experience this symptom?” using a yes or no format. Symptom </w:t>
      </w:r>
      <w:r>
        <w:rPr>
          <w:lang w:val="en-GB"/>
        </w:rPr>
        <w:lastRenderedPageBreak/>
        <w:t>burden is measured using the question “If yes, how much did it bother you?” using a 5-point rating scale ranging from 0 (not at all) to 4 (very much). A total sum score of symptom occurrence and symptom burden is calculated, with higher scores indicating higher symptom burden. To ensure comprehensiveness for individual patients, an open-ended question is added to report three additional symptoms.</w:t>
      </w:r>
    </w:p>
    <w:p w:rsidR="00A17B63" w:rsidRDefault="00A17B63" w:rsidP="00806BE3">
      <w:pPr>
        <w:spacing w:line="480" w:lineRule="auto"/>
        <w:rPr>
          <w:lang w:val="en-GB"/>
        </w:rPr>
      </w:pPr>
      <w:r w:rsidRPr="005328F5">
        <w:rPr>
          <w:b/>
          <w:iCs/>
          <w:sz w:val="24"/>
          <w:szCs w:val="24"/>
          <w:lang w:val="en-GB"/>
        </w:rPr>
        <w:t>Adherence to immunosuppressive medication</w:t>
      </w:r>
      <w:r w:rsidR="0056073E">
        <w:rPr>
          <w:i/>
          <w:iCs/>
          <w:lang w:val="en-GB"/>
        </w:rPr>
        <w:t xml:space="preserve"> </w:t>
      </w:r>
      <w:r>
        <w:rPr>
          <w:lang w:val="en-GB"/>
        </w:rPr>
        <w:t xml:space="preserve">The magnitude of nonadherence to immunosuppressive medication in kidney transplant recipients is high and nonadherence is associated with adverse outcomes such as graft loss.  In this study, adherence to immunosuppressive medication is assessed by means of the </w:t>
      </w:r>
      <w:r w:rsidR="00293F89">
        <w:rPr>
          <w:lang w:val="en-GB"/>
        </w:rPr>
        <w:t>B</w:t>
      </w:r>
      <w:r>
        <w:rPr>
          <w:lang w:val="en-GB"/>
        </w:rPr>
        <w:t>asel Assessment of Adherence to Immunosuppressive Medication Scale (BAASIS)</w:t>
      </w:r>
      <w:r w:rsidR="00293F89">
        <w:rPr>
          <w:lang w:val="en-GB"/>
        </w:rPr>
        <w:t>.</w:t>
      </w:r>
      <w:r>
        <w:rPr>
          <w:lang w:val="en-GB"/>
        </w:rPr>
        <w:fldChar w:fldCharType="begin" w:fldLock="1"/>
      </w:r>
      <w:r w:rsidR="00B214DD">
        <w:rPr>
          <w:lang w:val="en-GB"/>
        </w:rPr>
        <w:instrText>ADDIN CSL_CITATION {"citationItems":[{"id":"ITEM-1","itemData":{"DOI":"10.1097/TP.0b013e3181e346cd","ISSN":"00411337","PMID":"20531073","abstract":"INTRODUCTION.: Nonadherence to immunosuppressive therapy is recognized as a key prognostic indicator for poor posttransplantation long-term outcomes. Several methods aiming to measure medication nonadherence have been suggested in the literature. Although combining measurement methods is regarded as the gold standard for measuring nonadherence, self-report is generally considered a central component of adherence assessment. However, no systematic review currently exists to determine which instrument(s) are most appropriate for use in transplant populations. METHODOLOGY.: The transplant360 Task Force first performed a survey of the self-report adherence instruments currently used in European centers. Next, a systematic literature review of self-report instruments assessing medication adherence in chronically ill patients was conducted. Self-report instruments were evaluated to assess those which were: (a) short and easy to score; (b) assessed both the taking and timing of medication intake; and (c) had established reliability and validity. RESULTS.: Fourteen instruments were identified from our survey of European centers, of which the Basel Assessment of Adherence Scale for Immunosuppressives met the aforementioned criteria. The systematic review found 20 self-report instruments, of which only two qualified for use in transplantation, that is, the Brief Antiretroviral Adherence Index and the Medication Adherence Self-Report Inventory. DISCUSSION.: The three selected self-report scales may assist transplant professionals in detecting nonadherence. However, these scales were only validated in patients with HIV. Although HIV shares similar characteristics with transplantation, including the importance of taking and timing of medication, further validation in transplant populations is required. © 2010 by Lippincott Williams &amp; Wilkins.","author":[{"dropping-particle":"","family":"Dobbels","given":"Fabienne","non-dropping-particle":"","parse-names":false,"suffix":""},{"dropping-particle":"","family":"Berben","given":"Lut","non-dropping-particle":"","parse-names":false,"suffix":""},{"dropping-particle":"","family":"Geest","given":"Sabina","non-dropping-particle":"De","parse-names":false,"suffix":""},{"dropping-particle":"","family":"Drent","given":"Gerda","non-dropping-particle":"","parse-names":false,"suffix":""},{"dropping-particle":"","family":"Lennerling","given":"Annette","non-dropping-particle":"","parse-names":false,"suffix":""},{"dropping-particle":"","family":"Whittaker","given":"Clare","non-dropping-particle":"","parse-names":false,"suffix":""},{"dropping-particle":"","family":"Kugler","given":"Christiane","non-dropping-particle":"","parse-names":false,"suffix":""}],"container-title":"Transplantation","id":"ITEM-1","issue":"2","issued":{"date-parts":[["2010"]]},"page":"205-219","title":"The psychometric properties and practicability of self-report instruments to identify medication nonadherence in adult transplant patients: A systematic review","type":"article-journal","volume":"90"},"uris":["http://www.mendeley.com/documents/?uuid=a0f2b8e8-b2df-45f2-af77-ee32882fa002"]}],"mendeley":{"formattedCitation":"[13]","plainTextFormattedCitation":"[13]","previouslyFormattedCitation":"[13]"},"properties":{"noteIndex":0},"schema":"https://github.com/citation-style-language/schema/raw/master/csl-citation.json"}</w:instrText>
      </w:r>
      <w:r>
        <w:rPr>
          <w:lang w:val="en-GB"/>
        </w:rPr>
        <w:fldChar w:fldCharType="separate"/>
      </w:r>
      <w:r w:rsidR="00B214DD" w:rsidRPr="00B214DD">
        <w:rPr>
          <w:noProof/>
          <w:lang w:val="en-GB"/>
        </w:rPr>
        <w:t>[13]</w:t>
      </w:r>
      <w:r>
        <w:rPr>
          <w:lang w:val="en-GB"/>
        </w:rPr>
        <w:fldChar w:fldCharType="end"/>
      </w:r>
      <w:r w:rsidR="00293F89">
        <w:rPr>
          <w:lang w:val="en-GB"/>
        </w:rPr>
        <w:t xml:space="preserve"> </w:t>
      </w:r>
      <w:r>
        <w:rPr>
          <w:lang w:val="en-GB"/>
        </w:rPr>
        <w:t xml:space="preserve">The questionnaire consists of four items referring to the four dimensions of medication adherence, namely: 'Taking </w:t>
      </w:r>
      <w:r w:rsidR="00BB2ACF">
        <w:rPr>
          <w:lang w:val="en-GB"/>
        </w:rPr>
        <w:t>dimension’,</w:t>
      </w:r>
      <w:r>
        <w:rPr>
          <w:lang w:val="en-GB"/>
        </w:rPr>
        <w:t xml:space="preserve"> 'Drug holidays', 'Timing dimension' and 'Reduction of dose of medication'. For each domain, occurrence of nonadherence during the last 4 weeks is assessed using a yes or no format, followed by the assessment of nonadherence frequency using a 6-point scale (i.e. the answer categories: Never, Once a month, Every two weeks, Every week, More than once a week, and Every day).</w:t>
      </w:r>
    </w:p>
    <w:p w:rsidR="006541E9" w:rsidRDefault="006541E9" w:rsidP="00806BE3">
      <w:pPr>
        <w:spacing w:line="480" w:lineRule="auto"/>
        <w:rPr>
          <w:lang w:val="en-GB"/>
        </w:rPr>
      </w:pPr>
    </w:p>
    <w:p w:rsidR="00D26959" w:rsidRDefault="00D26959" w:rsidP="00806BE3">
      <w:pPr>
        <w:spacing w:line="480" w:lineRule="auto"/>
        <w:rPr>
          <w:lang w:val="en-GB"/>
        </w:rPr>
      </w:pPr>
    </w:p>
    <w:p w:rsidR="00D26959" w:rsidRDefault="00D26959" w:rsidP="00806BE3">
      <w:pPr>
        <w:spacing w:line="480" w:lineRule="auto"/>
        <w:rPr>
          <w:lang w:val="en-GB"/>
        </w:rPr>
      </w:pPr>
    </w:p>
    <w:p w:rsidR="00D26959" w:rsidRDefault="00D26959" w:rsidP="00806BE3">
      <w:pPr>
        <w:spacing w:line="480" w:lineRule="auto"/>
        <w:rPr>
          <w:lang w:val="en-GB"/>
        </w:rPr>
      </w:pPr>
    </w:p>
    <w:p w:rsidR="00D26959" w:rsidRDefault="00D26959" w:rsidP="00806BE3">
      <w:pPr>
        <w:spacing w:line="480" w:lineRule="auto"/>
        <w:rPr>
          <w:lang w:val="en-GB"/>
        </w:rPr>
      </w:pPr>
    </w:p>
    <w:p w:rsidR="00D26959" w:rsidRDefault="00D26959" w:rsidP="00806BE3">
      <w:pPr>
        <w:spacing w:line="480" w:lineRule="auto"/>
        <w:rPr>
          <w:lang w:val="en-GB"/>
        </w:rPr>
      </w:pPr>
    </w:p>
    <w:p w:rsidR="00D26959" w:rsidRDefault="00D26959" w:rsidP="00806BE3">
      <w:pPr>
        <w:spacing w:line="480" w:lineRule="auto"/>
        <w:rPr>
          <w:lang w:val="en-GB"/>
        </w:rPr>
      </w:pPr>
    </w:p>
    <w:p w:rsidR="00D26959" w:rsidRDefault="00D26959" w:rsidP="00806BE3">
      <w:pPr>
        <w:spacing w:line="480" w:lineRule="auto"/>
        <w:rPr>
          <w:lang w:val="en-GB"/>
        </w:rPr>
      </w:pPr>
    </w:p>
    <w:p w:rsidR="006541E9" w:rsidRPr="00602921" w:rsidRDefault="006541E9" w:rsidP="000E5164">
      <w:pPr>
        <w:spacing w:line="480" w:lineRule="auto"/>
        <w:rPr>
          <w:b/>
          <w:sz w:val="28"/>
          <w:szCs w:val="28"/>
          <w:lang w:val="en-GB"/>
        </w:rPr>
      </w:pPr>
      <w:r w:rsidRPr="00602921">
        <w:rPr>
          <w:b/>
          <w:sz w:val="28"/>
          <w:szCs w:val="28"/>
          <w:lang w:val="en-GB"/>
        </w:rPr>
        <w:lastRenderedPageBreak/>
        <w:t>References:</w:t>
      </w:r>
    </w:p>
    <w:p w:rsidR="00B214DD" w:rsidRPr="00B214DD" w:rsidRDefault="006F6F6C" w:rsidP="00B214DD">
      <w:pPr>
        <w:widowControl w:val="0"/>
        <w:autoSpaceDE w:val="0"/>
        <w:autoSpaceDN w:val="0"/>
        <w:adjustRightInd w:val="0"/>
        <w:spacing w:line="480" w:lineRule="auto"/>
        <w:rPr>
          <w:rFonts w:ascii="Calibri" w:hAnsi="Calibri" w:cs="Times New Roman"/>
          <w:noProof/>
          <w:szCs w:val="24"/>
        </w:rPr>
      </w:pPr>
      <w:r>
        <w:rPr>
          <w:lang w:val="en-GB"/>
        </w:rPr>
        <w:fldChar w:fldCharType="begin" w:fldLock="1"/>
      </w:r>
      <w:r>
        <w:rPr>
          <w:lang w:val="en-GB"/>
        </w:rPr>
        <w:instrText xml:space="preserve">ADDIN Mendeley Bibliography CSL_BIBLIOGRAPHY </w:instrText>
      </w:r>
      <w:r>
        <w:rPr>
          <w:lang w:val="en-GB"/>
        </w:rPr>
        <w:fldChar w:fldCharType="separate"/>
      </w:r>
      <w:r w:rsidR="00B214DD" w:rsidRPr="00B214DD">
        <w:rPr>
          <w:rFonts w:ascii="Calibri" w:hAnsi="Calibri" w:cs="Times New Roman"/>
          <w:noProof/>
          <w:szCs w:val="24"/>
        </w:rPr>
        <w:t>1. Rockwood K, Song X, MacKnight C, Bergman H, Hogan DB, McDowell I, et al. A global clinical measure of fitness and frailty in elderly people. CMAJ. 2005;173:489–95.</w:t>
      </w:r>
    </w:p>
    <w:p w:rsidR="00B214DD" w:rsidRPr="00B214DD" w:rsidRDefault="00B214DD" w:rsidP="00B214DD">
      <w:pPr>
        <w:widowControl w:val="0"/>
        <w:autoSpaceDE w:val="0"/>
        <w:autoSpaceDN w:val="0"/>
        <w:adjustRightInd w:val="0"/>
        <w:spacing w:line="480" w:lineRule="auto"/>
        <w:rPr>
          <w:rFonts w:ascii="Calibri" w:hAnsi="Calibri" w:cs="Times New Roman"/>
          <w:noProof/>
          <w:szCs w:val="24"/>
        </w:rPr>
      </w:pPr>
      <w:r w:rsidRPr="00B214DD">
        <w:rPr>
          <w:rFonts w:ascii="Calibri" w:hAnsi="Calibri" w:cs="Times New Roman"/>
          <w:noProof/>
          <w:szCs w:val="24"/>
        </w:rPr>
        <w:t>2. Fried LP, Tangen CM, Walston J, Newman AB, Hirsch C, Gottdiener J, et al. Frailty in Older Adults: Evidence for a Phenotype. Journals Gerontol Ser A Biol Sci Med Sci. 2001;56:M146–57.</w:t>
      </w:r>
    </w:p>
    <w:p w:rsidR="00B214DD" w:rsidRPr="00B214DD" w:rsidRDefault="00B214DD" w:rsidP="00B214DD">
      <w:pPr>
        <w:widowControl w:val="0"/>
        <w:autoSpaceDE w:val="0"/>
        <w:autoSpaceDN w:val="0"/>
        <w:adjustRightInd w:val="0"/>
        <w:spacing w:line="480" w:lineRule="auto"/>
        <w:rPr>
          <w:rFonts w:ascii="Calibri" w:hAnsi="Calibri" w:cs="Times New Roman"/>
          <w:noProof/>
          <w:szCs w:val="24"/>
        </w:rPr>
      </w:pPr>
      <w:r w:rsidRPr="00B214DD">
        <w:rPr>
          <w:rFonts w:ascii="Calibri" w:hAnsi="Calibri" w:cs="Times New Roman"/>
          <w:noProof/>
          <w:szCs w:val="24"/>
        </w:rPr>
        <w:t xml:space="preserve">3. Freiberger E, De vreede P, Schoene D, Rydwik E, Mueller V, Frändin K, et al. Performance-based physical function in older community-dwelling persons: A systematic review of instruments. Age Ageing. 2012;41:712–21. </w:t>
      </w:r>
    </w:p>
    <w:p w:rsidR="00B214DD" w:rsidRPr="00B214DD" w:rsidRDefault="00B214DD" w:rsidP="00B214DD">
      <w:pPr>
        <w:widowControl w:val="0"/>
        <w:autoSpaceDE w:val="0"/>
        <w:autoSpaceDN w:val="0"/>
        <w:adjustRightInd w:val="0"/>
        <w:spacing w:line="480" w:lineRule="auto"/>
        <w:rPr>
          <w:rFonts w:ascii="Calibri" w:hAnsi="Calibri" w:cs="Times New Roman"/>
          <w:noProof/>
          <w:szCs w:val="24"/>
        </w:rPr>
      </w:pPr>
      <w:r w:rsidRPr="00B214DD">
        <w:rPr>
          <w:rFonts w:ascii="Calibri" w:hAnsi="Calibri" w:cs="Times New Roman"/>
          <w:noProof/>
          <w:szCs w:val="24"/>
        </w:rPr>
        <w:t xml:space="preserve">4. Nasreddine ZS, Phillips NA, BÃ©dirian V, Charbonneau S, Whitehead V, Collin I, et al. The Montreal Cognitive Assessment, MoCA: A Brief Screening Tool For Mild Cognitive Impairment. J Am Geriatr Soc. 2005;53:695–9. </w:t>
      </w:r>
    </w:p>
    <w:p w:rsidR="00B214DD" w:rsidRPr="00B214DD" w:rsidRDefault="00B214DD" w:rsidP="00B214DD">
      <w:pPr>
        <w:widowControl w:val="0"/>
        <w:autoSpaceDE w:val="0"/>
        <w:autoSpaceDN w:val="0"/>
        <w:adjustRightInd w:val="0"/>
        <w:spacing w:line="480" w:lineRule="auto"/>
        <w:rPr>
          <w:rFonts w:ascii="Calibri" w:hAnsi="Calibri" w:cs="Times New Roman"/>
          <w:noProof/>
          <w:szCs w:val="24"/>
        </w:rPr>
      </w:pPr>
      <w:r w:rsidRPr="00B214DD">
        <w:rPr>
          <w:rFonts w:ascii="Calibri" w:hAnsi="Calibri" w:cs="Times New Roman"/>
          <w:noProof/>
          <w:szCs w:val="24"/>
        </w:rPr>
        <w:t>5. Thissen AJAM, Van Bergen F, De Jonghe JFM, Kessels RPC, Dautzenberg PLJ. Bruikbaarheid en validiteit van de Nederlandse versie van de montreal cognitive assessment (MoCA-D) bij het diagnosticeren van mild cognitive impairment. Tijdschr Gerontol Geriatr. 2010;41:231–40.</w:t>
      </w:r>
    </w:p>
    <w:p w:rsidR="00B214DD" w:rsidRPr="00B214DD" w:rsidRDefault="00B214DD" w:rsidP="00B214DD">
      <w:pPr>
        <w:widowControl w:val="0"/>
        <w:autoSpaceDE w:val="0"/>
        <w:autoSpaceDN w:val="0"/>
        <w:adjustRightInd w:val="0"/>
        <w:spacing w:line="480" w:lineRule="auto"/>
        <w:rPr>
          <w:rFonts w:ascii="Calibri" w:hAnsi="Calibri" w:cs="Times New Roman"/>
          <w:noProof/>
          <w:szCs w:val="24"/>
        </w:rPr>
      </w:pPr>
      <w:r w:rsidRPr="00B214DD">
        <w:rPr>
          <w:rFonts w:ascii="Calibri" w:hAnsi="Calibri" w:cs="Times New Roman"/>
          <w:noProof/>
          <w:szCs w:val="24"/>
        </w:rPr>
        <w:t xml:space="preserve">6. Trzepacz PT, Hochstetler H, Wang S, Walker B, Saykin AJ. Relationship between the Montreal Cognitive Assessment and Mini-mental State Examination for assessment of mild cognitive impairment in older adults. BMC Geriatr. 2015;15:107. </w:t>
      </w:r>
    </w:p>
    <w:p w:rsidR="00B214DD" w:rsidRPr="00B214DD" w:rsidRDefault="00B214DD" w:rsidP="00B214DD">
      <w:pPr>
        <w:widowControl w:val="0"/>
        <w:autoSpaceDE w:val="0"/>
        <w:autoSpaceDN w:val="0"/>
        <w:adjustRightInd w:val="0"/>
        <w:spacing w:line="480" w:lineRule="auto"/>
        <w:rPr>
          <w:rFonts w:ascii="Calibri" w:hAnsi="Calibri" w:cs="Times New Roman"/>
          <w:noProof/>
          <w:szCs w:val="24"/>
        </w:rPr>
      </w:pPr>
      <w:r w:rsidRPr="00B214DD">
        <w:rPr>
          <w:rFonts w:ascii="Calibri" w:hAnsi="Calibri" w:cs="Times New Roman"/>
          <w:noProof/>
          <w:szCs w:val="24"/>
        </w:rPr>
        <w:t>7. Tiffin-Richards FE, Costa AS, Holschbach B, Frank RD, Vassiliadou A, Krüger T, et al. The Montreal Cognitive Assessment (MoCA) - A sensitive screening instrument for detecting cognitive impairment in chronic hemodialysis patients. PLoS One. 2014;9.</w:t>
      </w:r>
    </w:p>
    <w:p w:rsidR="00B214DD" w:rsidRPr="00B214DD" w:rsidRDefault="00B214DD" w:rsidP="00B214DD">
      <w:pPr>
        <w:widowControl w:val="0"/>
        <w:autoSpaceDE w:val="0"/>
        <w:autoSpaceDN w:val="0"/>
        <w:adjustRightInd w:val="0"/>
        <w:spacing w:line="480" w:lineRule="auto"/>
        <w:rPr>
          <w:rFonts w:ascii="Calibri" w:hAnsi="Calibri" w:cs="Times New Roman"/>
          <w:noProof/>
          <w:szCs w:val="24"/>
        </w:rPr>
      </w:pPr>
      <w:r w:rsidRPr="00B214DD">
        <w:rPr>
          <w:rFonts w:ascii="Calibri" w:hAnsi="Calibri" w:cs="Times New Roman"/>
          <w:noProof/>
          <w:szCs w:val="24"/>
        </w:rPr>
        <w:t>8. Lacson E, Xu J, Lin SF, Dean SG, Lazarus JM, Hakim RM. A comparison of SF-36 and SF-12 composite scores and subsequent hospitalization and mortality risks in long-term dialysis patients. Clin J Am Soc Nephrol. 2010;5:252–60.</w:t>
      </w:r>
    </w:p>
    <w:p w:rsidR="00B214DD" w:rsidRPr="00B214DD" w:rsidRDefault="00B214DD" w:rsidP="00B214DD">
      <w:pPr>
        <w:widowControl w:val="0"/>
        <w:autoSpaceDE w:val="0"/>
        <w:autoSpaceDN w:val="0"/>
        <w:adjustRightInd w:val="0"/>
        <w:spacing w:line="480" w:lineRule="auto"/>
        <w:rPr>
          <w:rFonts w:ascii="Calibri" w:hAnsi="Calibri" w:cs="Times New Roman"/>
          <w:noProof/>
          <w:szCs w:val="24"/>
        </w:rPr>
      </w:pPr>
      <w:r w:rsidRPr="00B214DD">
        <w:rPr>
          <w:rFonts w:ascii="Calibri" w:hAnsi="Calibri" w:cs="Times New Roman"/>
          <w:noProof/>
          <w:szCs w:val="24"/>
        </w:rPr>
        <w:lastRenderedPageBreak/>
        <w:t>9. Cleemput I, Kesteloot K, Moons P, Vanrenterghem Y, Van Hooff JP, Squifflet JP, et al. The construct and concurrent validity of the EQ-5D in a renal transplant population. Value Heal. 2004;7:499–509.</w:t>
      </w:r>
    </w:p>
    <w:p w:rsidR="00B214DD" w:rsidRPr="00B214DD" w:rsidRDefault="00B214DD" w:rsidP="00B214DD">
      <w:pPr>
        <w:widowControl w:val="0"/>
        <w:autoSpaceDE w:val="0"/>
        <w:autoSpaceDN w:val="0"/>
        <w:adjustRightInd w:val="0"/>
        <w:spacing w:line="480" w:lineRule="auto"/>
        <w:rPr>
          <w:rFonts w:ascii="Calibri" w:hAnsi="Calibri" w:cs="Times New Roman"/>
          <w:noProof/>
          <w:szCs w:val="24"/>
        </w:rPr>
      </w:pPr>
      <w:r w:rsidRPr="00B214DD">
        <w:rPr>
          <w:rFonts w:ascii="Calibri" w:hAnsi="Calibri" w:cs="Times New Roman"/>
          <w:noProof/>
          <w:szCs w:val="24"/>
        </w:rPr>
        <w:t>10. Clarke AL, Yates T, Smith AC, Chilcot J. Patient’s perceptions of chronic kidney disease and their association with psychosocial and clinical outcomes: A narrative review. Clinical Kidney Journal. 2016;9:494–502.</w:t>
      </w:r>
    </w:p>
    <w:p w:rsidR="00B214DD" w:rsidRPr="00B214DD" w:rsidRDefault="00B214DD" w:rsidP="00B214DD">
      <w:pPr>
        <w:widowControl w:val="0"/>
        <w:autoSpaceDE w:val="0"/>
        <w:autoSpaceDN w:val="0"/>
        <w:adjustRightInd w:val="0"/>
        <w:spacing w:line="480" w:lineRule="auto"/>
        <w:rPr>
          <w:rFonts w:ascii="Calibri" w:hAnsi="Calibri" w:cs="Times New Roman"/>
          <w:noProof/>
          <w:szCs w:val="24"/>
        </w:rPr>
      </w:pPr>
      <w:r w:rsidRPr="00B214DD">
        <w:rPr>
          <w:rFonts w:ascii="Calibri" w:hAnsi="Calibri" w:cs="Times New Roman"/>
          <w:noProof/>
          <w:szCs w:val="24"/>
        </w:rPr>
        <w:t>11. Broadbent E, Wilkes C, Koschwanez H, Weinman J, Norton S, Petrie KJ. A systematic review and meta-analysis of the Brief Illness Perception Questionnaire. Psychol Heal. 2015;30:1361–85.</w:t>
      </w:r>
    </w:p>
    <w:p w:rsidR="00B214DD" w:rsidRPr="00B214DD" w:rsidRDefault="00B214DD" w:rsidP="00B214DD">
      <w:pPr>
        <w:widowControl w:val="0"/>
        <w:autoSpaceDE w:val="0"/>
        <w:autoSpaceDN w:val="0"/>
        <w:adjustRightInd w:val="0"/>
        <w:spacing w:line="480" w:lineRule="auto"/>
        <w:rPr>
          <w:rFonts w:ascii="Calibri" w:hAnsi="Calibri" w:cs="Times New Roman"/>
          <w:noProof/>
          <w:szCs w:val="24"/>
        </w:rPr>
      </w:pPr>
      <w:r w:rsidRPr="00B214DD">
        <w:rPr>
          <w:rFonts w:ascii="Calibri" w:hAnsi="Calibri" w:cs="Times New Roman"/>
          <w:noProof/>
          <w:szCs w:val="24"/>
        </w:rPr>
        <w:t>12. Van Der Willik EM, Meuleman Y, Prantl K, Van Rijn G, Bos WJW, Van Ittersum FJ, et al. Patient-reported outcome measures: Selection of a valid questionnaire for routine symptom assessment in patients with advanced chronic kidney disease - A four-phase mixed methods study. BMC Nephrol. 2019;20:344.</w:t>
      </w:r>
    </w:p>
    <w:p w:rsidR="00B214DD" w:rsidRPr="00B214DD" w:rsidRDefault="00B214DD" w:rsidP="00B214DD">
      <w:pPr>
        <w:widowControl w:val="0"/>
        <w:autoSpaceDE w:val="0"/>
        <w:autoSpaceDN w:val="0"/>
        <w:adjustRightInd w:val="0"/>
        <w:spacing w:line="480" w:lineRule="auto"/>
        <w:rPr>
          <w:rFonts w:ascii="Calibri" w:hAnsi="Calibri"/>
          <w:noProof/>
        </w:rPr>
      </w:pPr>
      <w:r w:rsidRPr="00B214DD">
        <w:rPr>
          <w:rFonts w:ascii="Calibri" w:hAnsi="Calibri" w:cs="Times New Roman"/>
          <w:noProof/>
          <w:szCs w:val="24"/>
        </w:rPr>
        <w:t>13. Dobbels F, Berben L, De Geest S, Drent G, Lennerling A, Whittaker C, et al. The psychometric properties and practicability of self-report instruments to identify medication nonadherence in adult transplant patients: A systematic review. Transplantation. 2010;90:205–19.</w:t>
      </w:r>
    </w:p>
    <w:p w:rsidR="006F6F6C" w:rsidRDefault="006F6F6C" w:rsidP="00B214DD">
      <w:pPr>
        <w:widowControl w:val="0"/>
        <w:autoSpaceDE w:val="0"/>
        <w:autoSpaceDN w:val="0"/>
        <w:adjustRightInd w:val="0"/>
        <w:spacing w:line="480" w:lineRule="auto"/>
        <w:rPr>
          <w:lang w:val="en-GB"/>
        </w:rPr>
      </w:pPr>
      <w:r>
        <w:rPr>
          <w:lang w:val="en-GB"/>
        </w:rPr>
        <w:fldChar w:fldCharType="end"/>
      </w:r>
    </w:p>
    <w:p w:rsidR="00A17B63" w:rsidRDefault="00A17B63" w:rsidP="00806BE3">
      <w:pPr>
        <w:spacing w:line="480" w:lineRule="auto"/>
        <w:rPr>
          <w:lang w:val="en-GB"/>
        </w:rPr>
      </w:pPr>
    </w:p>
    <w:p w:rsidR="00A17B63" w:rsidRDefault="00A17B63" w:rsidP="00806BE3">
      <w:pPr>
        <w:spacing w:line="480" w:lineRule="auto"/>
        <w:rPr>
          <w:lang w:val="en-GB"/>
        </w:rPr>
      </w:pPr>
    </w:p>
    <w:p w:rsidR="00F31B30" w:rsidRPr="00A17B63" w:rsidRDefault="00F31B30" w:rsidP="00806BE3">
      <w:pPr>
        <w:spacing w:line="480" w:lineRule="auto"/>
        <w:rPr>
          <w:lang w:val="en-GB"/>
        </w:rPr>
      </w:pPr>
    </w:p>
    <w:sectPr w:rsidR="00F31B30" w:rsidRPr="00A17B63" w:rsidSect="00806BE3">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E5244"/>
    <w:multiLevelType w:val="hybridMultilevel"/>
    <w:tmpl w:val="41AE2DA2"/>
    <w:lvl w:ilvl="0" w:tplc="1F2E72F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B63"/>
    <w:rsid w:val="000D199E"/>
    <w:rsid w:val="000E5164"/>
    <w:rsid w:val="001F0481"/>
    <w:rsid w:val="00293F89"/>
    <w:rsid w:val="002A1F9C"/>
    <w:rsid w:val="004F6337"/>
    <w:rsid w:val="005328F5"/>
    <w:rsid w:val="0056073E"/>
    <w:rsid w:val="00602921"/>
    <w:rsid w:val="006541E9"/>
    <w:rsid w:val="006F6F6C"/>
    <w:rsid w:val="00806BE3"/>
    <w:rsid w:val="00961233"/>
    <w:rsid w:val="00A17B63"/>
    <w:rsid w:val="00A60FAB"/>
    <w:rsid w:val="00B214DD"/>
    <w:rsid w:val="00BB2ACF"/>
    <w:rsid w:val="00D26959"/>
    <w:rsid w:val="00ED15A3"/>
    <w:rsid w:val="00F31B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B6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17B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7B63"/>
    <w:rPr>
      <w:rFonts w:ascii="Tahoma" w:hAnsi="Tahoma" w:cs="Tahoma"/>
      <w:sz w:val="16"/>
      <w:szCs w:val="16"/>
    </w:rPr>
  </w:style>
  <w:style w:type="paragraph" w:styleId="Tekstopmerking">
    <w:name w:val="annotation text"/>
    <w:basedOn w:val="Standaard"/>
    <w:link w:val="TekstopmerkingChar"/>
    <w:uiPriority w:val="99"/>
    <w:semiHidden/>
    <w:unhideWhenUsed/>
    <w:rsid w:val="00A17B6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17B63"/>
    <w:rPr>
      <w:sz w:val="20"/>
      <w:szCs w:val="20"/>
    </w:rPr>
  </w:style>
  <w:style w:type="paragraph" w:styleId="Geenafstand">
    <w:name w:val="No Spacing"/>
    <w:uiPriority w:val="1"/>
    <w:qFormat/>
    <w:rsid w:val="00961233"/>
    <w:pPr>
      <w:spacing w:after="0" w:line="240" w:lineRule="auto"/>
    </w:pPr>
  </w:style>
  <w:style w:type="character" w:styleId="Regelnummer">
    <w:name w:val="line number"/>
    <w:basedOn w:val="Standaardalinea-lettertype"/>
    <w:uiPriority w:val="99"/>
    <w:semiHidden/>
    <w:unhideWhenUsed/>
    <w:rsid w:val="00806B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B6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17B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7B63"/>
    <w:rPr>
      <w:rFonts w:ascii="Tahoma" w:hAnsi="Tahoma" w:cs="Tahoma"/>
      <w:sz w:val="16"/>
      <w:szCs w:val="16"/>
    </w:rPr>
  </w:style>
  <w:style w:type="paragraph" w:styleId="Tekstopmerking">
    <w:name w:val="annotation text"/>
    <w:basedOn w:val="Standaard"/>
    <w:link w:val="TekstopmerkingChar"/>
    <w:uiPriority w:val="99"/>
    <w:semiHidden/>
    <w:unhideWhenUsed/>
    <w:rsid w:val="00A17B6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17B63"/>
    <w:rPr>
      <w:sz w:val="20"/>
      <w:szCs w:val="20"/>
    </w:rPr>
  </w:style>
  <w:style w:type="paragraph" w:styleId="Geenafstand">
    <w:name w:val="No Spacing"/>
    <w:uiPriority w:val="1"/>
    <w:qFormat/>
    <w:rsid w:val="00961233"/>
    <w:pPr>
      <w:spacing w:after="0" w:line="240" w:lineRule="auto"/>
    </w:pPr>
  </w:style>
  <w:style w:type="character" w:styleId="Regelnummer">
    <w:name w:val="line number"/>
    <w:basedOn w:val="Standaardalinea-lettertype"/>
    <w:uiPriority w:val="99"/>
    <w:semiHidden/>
    <w:unhideWhenUsed/>
    <w:rsid w:val="00806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F9162-474E-44DB-904D-C9045B994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8396</Words>
  <Characters>46178</Characters>
  <Application>Microsoft Office Word</Application>
  <DocSecurity>0</DocSecurity>
  <Lines>384</Lines>
  <Paragraphs>108</Paragraphs>
  <ScaleCrop>false</ScaleCrop>
  <HeadingPairs>
    <vt:vector size="2" baseType="variant">
      <vt:variant>
        <vt:lpstr>Titel</vt:lpstr>
      </vt:variant>
      <vt:variant>
        <vt:i4>1</vt:i4>
      </vt:variant>
    </vt:vector>
  </HeadingPairs>
  <TitlesOfParts>
    <vt:vector size="1" baseType="lpstr">
      <vt:lpstr/>
    </vt:vector>
  </TitlesOfParts>
  <Company>Universitair Medisch Centrum Groningen</Company>
  <LinksUpToDate>false</LinksUpToDate>
  <CharactersWithSpaces>54466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Boer, SE de (int)</dc:creator>
  <cp:lastModifiedBy>Boer, SE de (int)</cp:lastModifiedBy>
  <cp:revision>14</cp:revision>
  <dcterms:created xsi:type="dcterms:W3CDTF">2020-11-03T14:58:00Z</dcterms:created>
  <dcterms:modified xsi:type="dcterms:W3CDTF">2021-03-22T14:15:00Z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2ae322c2-1465-33e7-9e48-26c40896c5c9</vt:lpwstr>
  </property>
  <property fmtid="{D5CDD505-2E9C-101B-9397-08002B2CF9AE}" pid="4" name="Mendeley Citation Style_1">
    <vt:lpwstr>http://www.zotero.org/styles/bmc-nephrology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http://www.zotero.org/styles/bmc-nephrology</vt:lpwstr>
  </property>
  <property fmtid="{D5CDD505-2E9C-101B-9397-08002B2CF9AE}" pid="14" name="Mendeley Recent Style Name 4_1">
    <vt:lpwstr>BMC Nephrology</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