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67528" w14:textId="6BC19369" w:rsidR="00F500FC" w:rsidRPr="00D572DE" w:rsidRDefault="00422BE1" w:rsidP="009F1131">
      <w:pPr>
        <w:spacing w:line="240" w:lineRule="auto"/>
        <w:rPr>
          <w:rFonts w:asciiTheme="minorBidi" w:hAnsiTheme="minorBidi"/>
          <w:b/>
          <w:bCs/>
          <w:sz w:val="24"/>
          <w:szCs w:val="24"/>
          <w:shd w:val="clear" w:color="auto" w:fill="FFFFFF"/>
        </w:rPr>
      </w:pPr>
      <w:r w:rsidRPr="00D572DE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Supplemen</w:t>
      </w:r>
      <w:r w:rsidR="00836EAF" w:rsidRPr="00D572DE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t</w:t>
      </w:r>
      <w:r w:rsidRPr="00D572DE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 material</w:t>
      </w:r>
    </w:p>
    <w:p w14:paraId="49CD5272" w14:textId="76314828" w:rsidR="005B5C76" w:rsidRPr="00D572DE" w:rsidRDefault="005B5C76" w:rsidP="0092101A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D572DE">
        <w:rPr>
          <w:rFonts w:asciiTheme="minorBidi" w:hAnsiTheme="minorBidi"/>
          <w:sz w:val="24"/>
          <w:szCs w:val="24"/>
        </w:rPr>
        <w:t xml:space="preserve">Frequency distribution of responses are presented in Table S1. </w:t>
      </w:r>
      <w:r w:rsidR="00F5182A" w:rsidRPr="00D572DE">
        <w:rPr>
          <w:rFonts w:asciiTheme="minorBidi" w:hAnsiTheme="minorBidi"/>
          <w:sz w:val="24"/>
          <w:szCs w:val="24"/>
        </w:rPr>
        <w:t>The required data items were considered necessary if on average 50% of the respondents considered it necessary (blue items were selected).</w:t>
      </w:r>
      <w:r w:rsidR="0092101A">
        <w:rPr>
          <w:rFonts w:asciiTheme="minorBidi" w:hAnsiTheme="minorBidi"/>
          <w:sz w:val="24"/>
          <w:szCs w:val="24"/>
        </w:rPr>
        <w:t xml:space="preserve"> </w:t>
      </w:r>
      <w:r w:rsidR="0092101A" w:rsidRPr="00ED0031">
        <w:rPr>
          <w:rFonts w:asciiTheme="minorBidi" w:hAnsiTheme="minorBidi"/>
          <w:sz w:val="24"/>
          <w:szCs w:val="24"/>
        </w:rPr>
        <w:t xml:space="preserve">The performance metrics of the predictive models for testing dataset, sensitivity, specificity, and accuracy is provided in Table S2. </w:t>
      </w:r>
    </w:p>
    <w:p w14:paraId="64E0AC24" w14:textId="31FDE5E3" w:rsidR="005B5C76" w:rsidRPr="00D9273D" w:rsidRDefault="005B5C76" w:rsidP="009F1131">
      <w:pPr>
        <w:spacing w:line="240" w:lineRule="auto"/>
        <w:jc w:val="both"/>
        <w:rPr>
          <w:rFonts w:asciiTheme="minorBidi" w:hAnsiTheme="minorBidi"/>
          <w:rtl/>
          <w:lang w:bidi="fa-IR"/>
        </w:rPr>
      </w:pPr>
      <w:r w:rsidRPr="00D9273D">
        <w:rPr>
          <w:rFonts w:asciiTheme="minorBidi" w:hAnsiTheme="minorBidi"/>
          <w:b/>
          <w:bCs/>
        </w:rPr>
        <w:t>Table S1.</w:t>
      </w:r>
      <w:r w:rsidRPr="00D9273D">
        <w:rPr>
          <w:rFonts w:asciiTheme="minorBidi" w:hAnsiTheme="minorBidi"/>
        </w:rPr>
        <w:t xml:space="preserve"> Frequency distribution </w:t>
      </w:r>
      <w:r w:rsidR="007A0E44">
        <w:rPr>
          <w:rFonts w:asciiTheme="minorBidi" w:hAnsiTheme="minorBidi"/>
        </w:rPr>
        <w:t xml:space="preserve">of </w:t>
      </w:r>
      <w:r w:rsidRPr="00D9273D">
        <w:rPr>
          <w:rFonts w:asciiTheme="minorBidi" w:hAnsiTheme="minorBidi"/>
        </w:rPr>
        <w:t xml:space="preserve">responses </w:t>
      </w:r>
    </w:p>
    <w:tbl>
      <w:tblPr>
        <w:tblStyle w:val="GridTable4-Accent3"/>
        <w:bidiVisual/>
        <w:tblW w:w="4613" w:type="pct"/>
        <w:tblInd w:w="690" w:type="dxa"/>
        <w:tblLook w:val="04A0" w:firstRow="1" w:lastRow="0" w:firstColumn="1" w:lastColumn="0" w:noHBand="0" w:noVBand="1"/>
      </w:tblPr>
      <w:tblGrid>
        <w:gridCol w:w="2545"/>
        <w:gridCol w:w="2132"/>
        <w:gridCol w:w="3949"/>
      </w:tblGrid>
      <w:tr w:rsidR="00806462" w:rsidRPr="005B274C" w14:paraId="5AB3CE62" w14:textId="77777777" w:rsidTr="00D57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A242ACD" w14:textId="4B1C6521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auto"/>
                <w:sz w:val="16"/>
                <w:szCs w:val="16"/>
                <w:lang w:bidi="fa-IR"/>
              </w:rPr>
              <w:t>The number of participants who identified the item as necessary</w:t>
            </w:r>
          </w:p>
        </w:tc>
        <w:tc>
          <w:tcPr>
            <w:tcW w:w="1236" w:type="pct"/>
          </w:tcPr>
          <w:p w14:paraId="1A38BAEB" w14:textId="01A88C8A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auto"/>
                <w:sz w:val="16"/>
                <w:szCs w:val="16"/>
                <w:lang w:bidi="fa-IR"/>
              </w:rPr>
              <w:t>Necessity average (%)</w:t>
            </w:r>
          </w:p>
        </w:tc>
        <w:tc>
          <w:tcPr>
            <w:tcW w:w="2289" w:type="pct"/>
          </w:tcPr>
          <w:p w14:paraId="0D679B0C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hAnsiTheme="minorBidi"/>
                <w:color w:val="000000"/>
                <w:sz w:val="16"/>
                <w:szCs w:val="16"/>
                <w:lang w:bidi="fa-IR"/>
              </w:rPr>
              <w:t>Questionnaire items</w:t>
            </w:r>
          </w:p>
        </w:tc>
      </w:tr>
      <w:tr w:rsidR="00806462" w:rsidRPr="005B274C" w14:paraId="03DF9491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21F5145" w14:textId="6F8F4D7C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  <w:t>-</w:t>
            </w:r>
          </w:p>
        </w:tc>
        <w:tc>
          <w:tcPr>
            <w:tcW w:w="1236" w:type="pct"/>
          </w:tcPr>
          <w:p w14:paraId="3F017A31" w14:textId="188ADBCF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2289" w:type="pct"/>
          </w:tcPr>
          <w:p w14:paraId="36B9758E" w14:textId="77777777" w:rsidR="00806462" w:rsidRPr="005B274C" w:rsidRDefault="00806462" w:rsidP="00D572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lang w:bidi="fa-IR"/>
              </w:rPr>
              <w:t xml:space="preserve"> Patient demographic information</w:t>
            </w:r>
          </w:p>
        </w:tc>
      </w:tr>
      <w:tr w:rsidR="00806462" w:rsidRPr="005B274C" w14:paraId="3A219A38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6967EB6" w14:textId="04B863A2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33533932" w14:textId="267D78F8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1AC607B0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1-1. Fist name/Last name</w:t>
            </w:r>
          </w:p>
        </w:tc>
      </w:tr>
      <w:tr w:rsidR="00806462" w:rsidRPr="005B274C" w14:paraId="0D449852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66401D2A" w14:textId="290223DC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3626216C" w14:textId="4687E3EF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6FDD0638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1-2. National code</w:t>
            </w:r>
          </w:p>
        </w:tc>
      </w:tr>
      <w:tr w:rsidR="00806462" w:rsidRPr="005B274C" w14:paraId="025997F4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E5EABEA" w14:textId="29038D6A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1B942C93" w14:textId="44ABD030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1E7ED261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1-3. Address</w:t>
            </w:r>
          </w:p>
        </w:tc>
      </w:tr>
      <w:tr w:rsidR="00806462" w:rsidRPr="005B274C" w14:paraId="6690FAD0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4C8B659" w14:textId="3A7E153C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42270E68" w14:textId="60F5E7C1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6F60906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1-4. Phone number</w:t>
            </w:r>
          </w:p>
        </w:tc>
      </w:tr>
      <w:tr w:rsidR="00806462" w:rsidRPr="005B274C" w14:paraId="6C881BC8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FE56894" w14:textId="5BEB68FE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62F2E257" w14:textId="33084901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1AE20936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1-5. Economic situation</w:t>
            </w:r>
          </w:p>
        </w:tc>
      </w:tr>
      <w:tr w:rsidR="00806462" w:rsidRPr="005B274C" w14:paraId="27B6EB72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6D1B8477" w14:textId="1B111266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5</w:t>
            </w:r>
          </w:p>
        </w:tc>
        <w:tc>
          <w:tcPr>
            <w:tcW w:w="1236" w:type="pct"/>
          </w:tcPr>
          <w:p w14:paraId="3C9EA637" w14:textId="7EE9DEF6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72</w:t>
            </w:r>
          </w:p>
        </w:tc>
        <w:tc>
          <w:tcPr>
            <w:tcW w:w="2289" w:type="pct"/>
          </w:tcPr>
          <w:p w14:paraId="2D5B6ED0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1-6. Record number</w:t>
            </w:r>
          </w:p>
        </w:tc>
      </w:tr>
      <w:tr w:rsidR="00806462" w:rsidRPr="005B274C" w14:paraId="5C8EE16C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FCF7B23" w14:textId="40E14BAB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  <w:t>-</w:t>
            </w:r>
          </w:p>
        </w:tc>
        <w:tc>
          <w:tcPr>
            <w:tcW w:w="1236" w:type="pct"/>
          </w:tcPr>
          <w:p w14:paraId="2F732BA3" w14:textId="53B5C83C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2289" w:type="pct"/>
          </w:tcPr>
          <w:p w14:paraId="705DE108" w14:textId="5438F8A5" w:rsidR="00806462" w:rsidRPr="005B274C" w:rsidRDefault="00806462" w:rsidP="00D572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lang w:bidi="fa-IR"/>
              </w:rPr>
              <w:t xml:space="preserve">Patient </w:t>
            </w:r>
            <w:r w:rsidR="0049060B" w:rsidRPr="005B274C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lang w:bidi="fa-IR"/>
              </w:rPr>
              <w:t>clinical</w:t>
            </w:r>
            <w:r w:rsidRPr="005B274C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lang w:bidi="fa-IR"/>
              </w:rPr>
              <w:t xml:space="preserve"> information</w:t>
            </w:r>
          </w:p>
        </w:tc>
      </w:tr>
      <w:tr w:rsidR="00806462" w:rsidRPr="005B274C" w14:paraId="6F7ACE71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2174990" w14:textId="672DC101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706ACD44" w14:textId="55B3E9A5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4C518C2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2-1. Gender of kidney recipient</w:t>
            </w:r>
          </w:p>
        </w:tc>
      </w:tr>
      <w:tr w:rsidR="00806462" w:rsidRPr="005B274C" w14:paraId="7A8CBFC2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1D07190" w14:textId="283C8E49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554EC52D" w14:textId="026E055D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49EF4090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2-2. Gender of kidney donor</w:t>
            </w:r>
          </w:p>
        </w:tc>
      </w:tr>
      <w:tr w:rsidR="00806462" w:rsidRPr="005B274C" w14:paraId="083099E3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36B7F6C" w14:textId="371CD21D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04A56174" w14:textId="44A184AB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579848E0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2-3. Height and weight of the transplant patient</w:t>
            </w:r>
          </w:p>
        </w:tc>
      </w:tr>
      <w:tr w:rsidR="00806462" w:rsidRPr="005B274C" w14:paraId="01FFF5BA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BFCE18D" w14:textId="3912394E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4B8C4B24" w14:textId="4E0409E8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602B8E53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2-4. Age of kidney recipient</w:t>
            </w:r>
          </w:p>
        </w:tc>
      </w:tr>
      <w:tr w:rsidR="00806462" w:rsidRPr="005B274C" w14:paraId="09F7FD5F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66B1382" w14:textId="61B534D4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53827F71" w14:textId="7F6590A5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505FE59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2-5.</w:t>
            </w:r>
            <w:r w:rsidRPr="005B274C">
              <w:rPr>
                <w:rFonts w:asciiTheme="minorBidi" w:hAnsiTheme="minorBidi"/>
                <w:color w:val="00B0F0"/>
                <w:sz w:val="16"/>
                <w:szCs w:val="16"/>
                <w:rtl/>
              </w:rPr>
              <w:t xml:space="preserve"> </w:t>
            </w: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Age of kidney donor</w:t>
            </w:r>
          </w:p>
        </w:tc>
      </w:tr>
      <w:tr w:rsidR="00806462" w:rsidRPr="005B274C" w14:paraId="6CCA2317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9598954" w14:textId="67553CA3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09BFD060" w14:textId="04D84EF4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1EA9A275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2-6. Blood type</w:t>
            </w:r>
          </w:p>
        </w:tc>
      </w:tr>
      <w:tr w:rsidR="00806462" w:rsidRPr="005B274C" w14:paraId="7A5A74DB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8BC0D12" w14:textId="58A894B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21B1193A" w14:textId="7AF65F89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222180E4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2-7. Duration of hospitalization</w:t>
            </w:r>
          </w:p>
        </w:tc>
      </w:tr>
      <w:tr w:rsidR="00806462" w:rsidRPr="005B274C" w14:paraId="16A5301B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210742F" w14:textId="72626A94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6</w:t>
            </w:r>
          </w:p>
        </w:tc>
        <w:tc>
          <w:tcPr>
            <w:tcW w:w="1236" w:type="pct"/>
          </w:tcPr>
          <w:p w14:paraId="7B41E114" w14:textId="414E4095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86</w:t>
            </w:r>
          </w:p>
        </w:tc>
        <w:tc>
          <w:tcPr>
            <w:tcW w:w="2289" w:type="pct"/>
          </w:tcPr>
          <w:p w14:paraId="2964AF48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2-8. Type of dialysis</w:t>
            </w:r>
          </w:p>
        </w:tc>
      </w:tr>
      <w:tr w:rsidR="00806462" w:rsidRPr="005B274C" w14:paraId="731EB3EC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AC75198" w14:textId="392F3CE2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6</w:t>
            </w:r>
          </w:p>
        </w:tc>
        <w:tc>
          <w:tcPr>
            <w:tcW w:w="1236" w:type="pct"/>
          </w:tcPr>
          <w:p w14:paraId="5A333235" w14:textId="7C462A0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86</w:t>
            </w:r>
          </w:p>
        </w:tc>
        <w:tc>
          <w:tcPr>
            <w:tcW w:w="2289" w:type="pct"/>
          </w:tcPr>
          <w:p w14:paraId="7919F025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2-9. Duration of dialysis</w:t>
            </w:r>
          </w:p>
        </w:tc>
      </w:tr>
      <w:tr w:rsidR="00806462" w:rsidRPr="005B274C" w14:paraId="29AD68E3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6B6BFB8D" w14:textId="70544D26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5</w:t>
            </w:r>
          </w:p>
        </w:tc>
        <w:tc>
          <w:tcPr>
            <w:tcW w:w="1236" w:type="pct"/>
          </w:tcPr>
          <w:p w14:paraId="7BE967EE" w14:textId="3B920238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72</w:t>
            </w:r>
          </w:p>
        </w:tc>
        <w:tc>
          <w:tcPr>
            <w:tcW w:w="2289" w:type="pct"/>
          </w:tcPr>
          <w:p w14:paraId="444517C3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2-10. PANEL-TEST</w:t>
            </w:r>
          </w:p>
        </w:tc>
      </w:tr>
      <w:tr w:rsidR="00806462" w:rsidRPr="005B274C" w14:paraId="5F964318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C46B9EE" w14:textId="1567CA4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4</w:t>
            </w:r>
          </w:p>
        </w:tc>
        <w:tc>
          <w:tcPr>
            <w:tcW w:w="1236" w:type="pct"/>
          </w:tcPr>
          <w:p w14:paraId="7C9D8628" w14:textId="289E4EEE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57</w:t>
            </w:r>
          </w:p>
        </w:tc>
        <w:tc>
          <w:tcPr>
            <w:tcW w:w="2289" w:type="pct"/>
          </w:tcPr>
          <w:p w14:paraId="4230A77D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2-11. Year of transplantation</w:t>
            </w:r>
          </w:p>
        </w:tc>
      </w:tr>
      <w:tr w:rsidR="00806462" w:rsidRPr="005B274C" w14:paraId="0862648F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62411B90" w14:textId="0FA24C2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6</w:t>
            </w:r>
          </w:p>
        </w:tc>
        <w:tc>
          <w:tcPr>
            <w:tcW w:w="1236" w:type="pct"/>
          </w:tcPr>
          <w:p w14:paraId="2298E402" w14:textId="2057C584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86</w:t>
            </w:r>
          </w:p>
        </w:tc>
        <w:tc>
          <w:tcPr>
            <w:tcW w:w="2289" w:type="pct"/>
          </w:tcPr>
          <w:p w14:paraId="5E6FF6F8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2-12. History of transplantation</w:t>
            </w:r>
          </w:p>
        </w:tc>
      </w:tr>
      <w:tr w:rsidR="00806462" w:rsidRPr="005B274C" w14:paraId="3C07D45E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0B61327" w14:textId="003B5D8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41B87AF8" w14:textId="76CB4F82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5D525EB3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2-13. Kidney weight</w:t>
            </w:r>
          </w:p>
        </w:tc>
      </w:tr>
      <w:tr w:rsidR="00806462" w:rsidRPr="005B274C" w14:paraId="16020DFF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31C86FC" w14:textId="3F8AB129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136ADDBD" w14:textId="1409B2C9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05C948FF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2-14. Cause of ESRD</w:t>
            </w:r>
          </w:p>
        </w:tc>
      </w:tr>
      <w:tr w:rsidR="00806462" w:rsidRPr="005B274C" w14:paraId="76E00303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4B5EF848" w14:textId="1B79F14D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67DF9B51" w14:textId="087353B5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08566EA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2-15. Diseases such as cancer and so on</w:t>
            </w:r>
          </w:p>
        </w:tc>
      </w:tr>
      <w:tr w:rsidR="00806462" w:rsidRPr="005B274C" w14:paraId="145A1496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4802D30A" w14:textId="77125383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0AE07E15" w14:textId="1567BE79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6151A5FF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2-16. Transplant from donor (alive or brain death)</w:t>
            </w:r>
          </w:p>
        </w:tc>
      </w:tr>
      <w:tr w:rsidR="00806462" w:rsidRPr="005B274C" w14:paraId="45A876B0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0167646" w14:textId="3E59B3B8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5</w:t>
            </w:r>
          </w:p>
        </w:tc>
        <w:tc>
          <w:tcPr>
            <w:tcW w:w="1236" w:type="pct"/>
          </w:tcPr>
          <w:p w14:paraId="5ED47603" w14:textId="2F67117B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72</w:t>
            </w:r>
          </w:p>
        </w:tc>
        <w:tc>
          <w:tcPr>
            <w:tcW w:w="2289" w:type="pct"/>
          </w:tcPr>
          <w:p w14:paraId="17C041C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2-17. Cause of donor death</w:t>
            </w:r>
          </w:p>
        </w:tc>
      </w:tr>
      <w:tr w:rsidR="00806462" w:rsidRPr="005B274C" w14:paraId="5FDDB49F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7F4E3FE" w14:textId="335EB32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6ADE2064" w14:textId="18C42610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668D9017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2-18. Nephrectomy (left or right)</w:t>
            </w:r>
          </w:p>
        </w:tc>
      </w:tr>
      <w:tr w:rsidR="00806462" w:rsidRPr="005B274C" w14:paraId="1FEC7AAE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1FB94CA" w14:textId="0247049A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576711AD" w14:textId="48DB593F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281DF27D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2-19. Relationship with the donor (Related or Unrelated)</w:t>
            </w:r>
          </w:p>
        </w:tc>
      </w:tr>
      <w:tr w:rsidR="00806462" w:rsidRPr="005B274C" w14:paraId="51C69B7B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2EEE3E1" w14:textId="7BF1BDAC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4E2B33CF" w14:textId="4B87C720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6A6F7ACB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2-20. Results of dental consultation</w:t>
            </w:r>
          </w:p>
        </w:tc>
      </w:tr>
      <w:tr w:rsidR="00806462" w:rsidRPr="005B274C" w14:paraId="399DAC13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188AB7AE" w14:textId="02C169AD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4B47A070" w14:textId="11A8ECA2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15E2D1F7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2-21. Family history of renal failure</w:t>
            </w:r>
          </w:p>
        </w:tc>
      </w:tr>
      <w:tr w:rsidR="00806462" w:rsidRPr="005B274C" w14:paraId="4C86BE13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0F92ADB" w14:textId="7EA3B9F0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6" w:type="pct"/>
          </w:tcPr>
          <w:p w14:paraId="70DF2958" w14:textId="1CB543DD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14</w:t>
            </w:r>
          </w:p>
        </w:tc>
        <w:tc>
          <w:tcPr>
            <w:tcW w:w="2289" w:type="pct"/>
          </w:tcPr>
          <w:p w14:paraId="3C420A02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2-22. Ears, Nose and Throat (ENT) consulting Results</w:t>
            </w:r>
          </w:p>
        </w:tc>
      </w:tr>
      <w:tr w:rsidR="00806462" w:rsidRPr="005B274C" w14:paraId="6F47920B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44BE1A11" w14:textId="12CB2B72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6836C673" w14:textId="21EE0EE5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18682B08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2-23. History and physical examinations</w:t>
            </w:r>
          </w:p>
        </w:tc>
      </w:tr>
      <w:tr w:rsidR="00806462" w:rsidRPr="005B274C" w14:paraId="17F138A8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3296D02" w14:textId="354ACF22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6" w:type="pct"/>
          </w:tcPr>
          <w:p w14:paraId="27BA9C6B" w14:textId="4BFAE4D4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14</w:t>
            </w:r>
          </w:p>
        </w:tc>
        <w:tc>
          <w:tcPr>
            <w:tcW w:w="2289" w:type="pct"/>
          </w:tcPr>
          <w:p w14:paraId="3D0F886B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2-24. Abdominal ultrasonography</w:t>
            </w:r>
          </w:p>
        </w:tc>
      </w:tr>
      <w:tr w:rsidR="00806462" w:rsidRPr="005B274C" w14:paraId="516C604A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A1C265A" w14:textId="1A34E718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1C1738F6" w14:textId="1747D752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41F0E41F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2-25. Kidney, Ureter, and Bladder (K.U.B) X-ray</w:t>
            </w:r>
          </w:p>
        </w:tc>
      </w:tr>
      <w:tr w:rsidR="00806462" w:rsidRPr="005B274C" w14:paraId="091C4ECC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1E3F91B6" w14:textId="56A4279A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6" w:type="pct"/>
          </w:tcPr>
          <w:p w14:paraId="45B6C75B" w14:textId="64F8220F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14</w:t>
            </w:r>
          </w:p>
        </w:tc>
        <w:tc>
          <w:tcPr>
            <w:tcW w:w="2289" w:type="pct"/>
          </w:tcPr>
          <w:p w14:paraId="100ACB0C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2-26. A voiding cystourethrogram (VCUG)</w:t>
            </w:r>
          </w:p>
        </w:tc>
      </w:tr>
      <w:tr w:rsidR="00806462" w:rsidRPr="005B274C" w14:paraId="25B260F9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47A5A396" w14:textId="1ED41485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36" w:type="pct"/>
          </w:tcPr>
          <w:p w14:paraId="1E07ADDF" w14:textId="07C5BB0D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14</w:t>
            </w:r>
          </w:p>
        </w:tc>
        <w:tc>
          <w:tcPr>
            <w:tcW w:w="2289" w:type="pct"/>
          </w:tcPr>
          <w:p w14:paraId="27A5FB9C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2-27. Mammography</w:t>
            </w:r>
          </w:p>
        </w:tc>
      </w:tr>
      <w:tr w:rsidR="00806462" w:rsidRPr="005B274C" w14:paraId="1814EC0C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AD9C3EC" w14:textId="028C5EE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473EE701" w14:textId="38817E5F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5330F431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2-28. Cardiac counseling results</w:t>
            </w:r>
          </w:p>
        </w:tc>
      </w:tr>
      <w:tr w:rsidR="00806462" w:rsidRPr="005B274C" w14:paraId="35CB346E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3E0C292F" w14:textId="457DE8E6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36" w:type="pct"/>
          </w:tcPr>
          <w:p w14:paraId="75B03F94" w14:textId="6F3E2486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28</w:t>
            </w:r>
          </w:p>
        </w:tc>
        <w:tc>
          <w:tcPr>
            <w:tcW w:w="2289" w:type="pct"/>
          </w:tcPr>
          <w:p w14:paraId="05840BF4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2-29. Glycemic Index</w:t>
            </w: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(GI)</w:t>
            </w:r>
          </w:p>
        </w:tc>
      </w:tr>
      <w:tr w:rsidR="00806462" w:rsidRPr="005B274C" w14:paraId="62E19371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B4A07C1" w14:textId="7A28E914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4FA740EB" w14:textId="7394B754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5E7252DB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2-30. Transplant patient status (Alive or dead)</w:t>
            </w:r>
          </w:p>
        </w:tc>
      </w:tr>
      <w:tr w:rsidR="00806462" w:rsidRPr="005B274C" w14:paraId="1DE7D7E8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7CA0AA1" w14:textId="41B92646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02E247DF" w14:textId="521842DD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3DEBE61E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2-31. Survival time of transplanted kidney</w:t>
            </w:r>
          </w:p>
        </w:tc>
      </w:tr>
      <w:tr w:rsidR="00806462" w:rsidRPr="005B274C" w14:paraId="532A5994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2CF68A3F" w14:textId="4E20D3F8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  <w:t>-</w:t>
            </w:r>
          </w:p>
        </w:tc>
        <w:tc>
          <w:tcPr>
            <w:tcW w:w="1236" w:type="pct"/>
          </w:tcPr>
          <w:p w14:paraId="6252A2F1" w14:textId="6D067D01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2289" w:type="pct"/>
          </w:tcPr>
          <w:p w14:paraId="1741D238" w14:textId="77777777" w:rsidR="00806462" w:rsidRPr="005B274C" w:rsidRDefault="00806462" w:rsidP="00D572D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b/>
                <w:bCs/>
                <w:color w:val="000000"/>
                <w:sz w:val="16"/>
                <w:szCs w:val="16"/>
                <w:lang w:bidi="fa-IR"/>
              </w:rPr>
              <w:t>Application capabilities</w:t>
            </w:r>
          </w:p>
        </w:tc>
      </w:tr>
      <w:tr w:rsidR="00806462" w:rsidRPr="005B274C" w14:paraId="1FB8BE66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810F47D" w14:textId="0EB7BBF1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36" w:type="pct"/>
          </w:tcPr>
          <w:p w14:paraId="1ABB5530" w14:textId="09226889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sz w:val="16"/>
                <w:szCs w:val="16"/>
                <w:lang w:bidi="fa-IR"/>
              </w:rPr>
              <w:t>43</w:t>
            </w:r>
          </w:p>
        </w:tc>
        <w:tc>
          <w:tcPr>
            <w:tcW w:w="2289" w:type="pct"/>
          </w:tcPr>
          <w:p w14:paraId="1FBFE4C9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0000"/>
                <w:sz w:val="16"/>
                <w:szCs w:val="16"/>
                <w:lang w:bidi="fa-IR"/>
              </w:rPr>
              <w:t>3-1. Ability to display time and date</w:t>
            </w:r>
          </w:p>
        </w:tc>
      </w:tr>
      <w:tr w:rsidR="00806462" w:rsidRPr="005B274C" w14:paraId="01A0A4C4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05671FE2" w14:textId="72126A5E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7</w:t>
            </w:r>
          </w:p>
        </w:tc>
        <w:tc>
          <w:tcPr>
            <w:tcW w:w="1236" w:type="pct"/>
          </w:tcPr>
          <w:p w14:paraId="0D6D1E8F" w14:textId="0D80130A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2E39FCB6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3-2. Show survival rate by year</w:t>
            </w:r>
          </w:p>
        </w:tc>
      </w:tr>
      <w:tr w:rsidR="00806462" w:rsidRPr="005B274C" w14:paraId="5EF8F76B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64209270" w14:textId="386B00C1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5</w:t>
            </w:r>
          </w:p>
        </w:tc>
        <w:tc>
          <w:tcPr>
            <w:tcW w:w="1236" w:type="pct"/>
          </w:tcPr>
          <w:p w14:paraId="0ADDB418" w14:textId="603ECBE2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72</w:t>
            </w:r>
          </w:p>
        </w:tc>
        <w:tc>
          <w:tcPr>
            <w:tcW w:w="2289" w:type="pct"/>
          </w:tcPr>
          <w:p w14:paraId="7652BBBB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3-3. Use a warning to renew a prescription</w:t>
            </w:r>
          </w:p>
        </w:tc>
      </w:tr>
      <w:tr w:rsidR="00806462" w:rsidRPr="005B274C" w14:paraId="3C21206A" w14:textId="77777777" w:rsidTr="00D572D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74E2AAF8" w14:textId="746BB82B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5</w:t>
            </w:r>
          </w:p>
        </w:tc>
        <w:tc>
          <w:tcPr>
            <w:tcW w:w="1236" w:type="pct"/>
          </w:tcPr>
          <w:p w14:paraId="1038BD7C" w14:textId="509EBDC2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72</w:t>
            </w:r>
          </w:p>
        </w:tc>
        <w:tc>
          <w:tcPr>
            <w:tcW w:w="2289" w:type="pct"/>
          </w:tcPr>
          <w:p w14:paraId="6BC9E9F4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3-4. Use reminders to take the patient medication</w:t>
            </w:r>
          </w:p>
        </w:tc>
      </w:tr>
      <w:tr w:rsidR="00806462" w:rsidRPr="005B274C" w14:paraId="34F0D8B8" w14:textId="77777777" w:rsidTr="00D572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5" w:type="pct"/>
          </w:tcPr>
          <w:p w14:paraId="5DE520F2" w14:textId="09294F87" w:rsidR="00806462" w:rsidRPr="005B274C" w:rsidRDefault="006542B2" w:rsidP="00D572DE">
            <w:pPr>
              <w:autoSpaceDE w:val="0"/>
              <w:autoSpaceDN w:val="0"/>
              <w:adjustRightInd w:val="0"/>
              <w:ind w:right="60"/>
              <w:jc w:val="center"/>
              <w:rPr>
                <w:rFonts w:asciiTheme="minorBidi" w:eastAsia="Times New Roman" w:hAnsiTheme="minorBidi"/>
                <w:b w:val="0"/>
                <w:bCs w:val="0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hAnsiTheme="minorBidi"/>
                <w:b w:val="0"/>
                <w:bCs w:val="0"/>
                <w:color w:val="00B0F0"/>
                <w:sz w:val="16"/>
                <w:szCs w:val="16"/>
              </w:rPr>
              <w:t>6</w:t>
            </w:r>
          </w:p>
        </w:tc>
        <w:tc>
          <w:tcPr>
            <w:tcW w:w="1236" w:type="pct"/>
          </w:tcPr>
          <w:p w14:paraId="5DE55634" w14:textId="36C5D0B9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B0F0"/>
                <w:sz w:val="16"/>
                <w:szCs w:val="16"/>
                <w:rtl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100</w:t>
            </w:r>
          </w:p>
        </w:tc>
        <w:tc>
          <w:tcPr>
            <w:tcW w:w="2289" w:type="pct"/>
          </w:tcPr>
          <w:p w14:paraId="4228DE9C" w14:textId="77777777" w:rsidR="00806462" w:rsidRPr="005B274C" w:rsidRDefault="00806462" w:rsidP="00D572DE">
            <w:pPr>
              <w:autoSpaceDE w:val="0"/>
              <w:autoSpaceDN w:val="0"/>
              <w:adjustRightInd w:val="0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</w:pPr>
            <w:r w:rsidRPr="005B274C">
              <w:rPr>
                <w:rFonts w:asciiTheme="minorBidi" w:eastAsia="Times New Roman" w:hAnsiTheme="minorBidi"/>
                <w:color w:val="00B0F0"/>
                <w:sz w:val="16"/>
                <w:szCs w:val="16"/>
                <w:lang w:bidi="fa-IR"/>
              </w:rPr>
              <w:t>3.5. A guide to post-operative kidney transplant training</w:t>
            </w:r>
          </w:p>
        </w:tc>
      </w:tr>
    </w:tbl>
    <w:p w14:paraId="143A09A3" w14:textId="49C90C06" w:rsidR="004F57D4" w:rsidRDefault="004F57D4" w:rsidP="005B5C76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p w14:paraId="40DF1247" w14:textId="77777777" w:rsidR="005B274C" w:rsidRPr="00D572DE" w:rsidRDefault="005B274C" w:rsidP="005B5C76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5E135B1D" w14:textId="0CBAF8DE" w:rsidR="00ED0031" w:rsidRDefault="00ED0031" w:rsidP="00EF290A">
      <w:pPr>
        <w:spacing w:line="240" w:lineRule="auto"/>
        <w:jc w:val="both"/>
        <w:rPr>
          <w:rFonts w:asciiTheme="minorBidi" w:hAnsiTheme="minorBidi"/>
        </w:rPr>
      </w:pPr>
      <w:r w:rsidRPr="00D9273D">
        <w:rPr>
          <w:rFonts w:asciiTheme="minorBidi" w:hAnsiTheme="minorBidi"/>
          <w:b/>
          <w:bCs/>
        </w:rPr>
        <w:lastRenderedPageBreak/>
        <w:t>Table S</w:t>
      </w:r>
      <w:r>
        <w:rPr>
          <w:rFonts w:asciiTheme="minorBidi" w:hAnsiTheme="minorBidi"/>
          <w:b/>
          <w:bCs/>
        </w:rPr>
        <w:t xml:space="preserve">2. </w:t>
      </w:r>
      <w:r w:rsidRPr="00ED0031">
        <w:rPr>
          <w:rFonts w:asciiTheme="minorBidi" w:hAnsiTheme="minorBidi"/>
        </w:rPr>
        <w:t>Performance metrics of predictive models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073"/>
        <w:gridCol w:w="1223"/>
        <w:gridCol w:w="1847"/>
        <w:gridCol w:w="1217"/>
      </w:tblGrid>
      <w:tr w:rsidR="00ED0031" w:rsidRPr="00AA0C76" w14:paraId="34EF2D8E" w14:textId="77777777" w:rsidTr="00C06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pct"/>
            <w:noWrap/>
            <w:hideMark/>
          </w:tcPr>
          <w:p w14:paraId="6E885B67" w14:textId="774745A4" w:rsidR="00ED0031" w:rsidRPr="00AA0C76" w:rsidRDefault="00ED0031" w:rsidP="00ED0031">
            <w:pPr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Performance of Predictive models (for test dataset)</w:t>
            </w:r>
          </w:p>
        </w:tc>
        <w:tc>
          <w:tcPr>
            <w:tcW w:w="746" w:type="pct"/>
            <w:noWrap/>
            <w:hideMark/>
          </w:tcPr>
          <w:p w14:paraId="00276094" w14:textId="77777777" w:rsidR="00ED0031" w:rsidRPr="00AA0C76" w:rsidRDefault="00ED0031" w:rsidP="0085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1079" w:type="pct"/>
            <w:noWrap/>
            <w:hideMark/>
          </w:tcPr>
          <w:p w14:paraId="01B0BF72" w14:textId="77777777" w:rsidR="00ED0031" w:rsidRPr="00AA0C76" w:rsidRDefault="00ED0031" w:rsidP="0085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659" w:type="pct"/>
            <w:noWrap/>
            <w:hideMark/>
          </w:tcPr>
          <w:p w14:paraId="74AD3C4C" w14:textId="77777777" w:rsidR="00ED0031" w:rsidRPr="00AA0C76" w:rsidRDefault="00ED0031" w:rsidP="008526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Specificity</w:t>
            </w:r>
          </w:p>
        </w:tc>
      </w:tr>
      <w:tr w:rsidR="00ED0031" w:rsidRPr="00AA0C76" w14:paraId="282270B5" w14:textId="77777777" w:rsidTr="00C06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pct"/>
            <w:noWrap/>
            <w:hideMark/>
          </w:tcPr>
          <w:p w14:paraId="56B3613F" w14:textId="77777777" w:rsidR="00ED0031" w:rsidRPr="009F2600" w:rsidRDefault="00ED0031" w:rsidP="00ED0031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9F2600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C5.0 Decision Tree</w:t>
            </w:r>
          </w:p>
        </w:tc>
        <w:tc>
          <w:tcPr>
            <w:tcW w:w="746" w:type="pct"/>
            <w:noWrap/>
            <w:hideMark/>
          </w:tcPr>
          <w:p w14:paraId="3AA6A4B9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87.21%</w:t>
            </w:r>
          </w:p>
        </w:tc>
        <w:tc>
          <w:tcPr>
            <w:tcW w:w="1079" w:type="pct"/>
            <w:noWrap/>
            <w:hideMark/>
          </w:tcPr>
          <w:p w14:paraId="260A2A32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90.85%</w:t>
            </w:r>
          </w:p>
        </w:tc>
        <w:tc>
          <w:tcPr>
            <w:tcW w:w="659" w:type="pct"/>
            <w:noWrap/>
            <w:hideMark/>
          </w:tcPr>
          <w:p w14:paraId="6F018399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52%</w:t>
            </w:r>
          </w:p>
        </w:tc>
      </w:tr>
      <w:tr w:rsidR="00ED0031" w:rsidRPr="00AA0C76" w14:paraId="64054B87" w14:textId="77777777" w:rsidTr="00C067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pct"/>
            <w:noWrap/>
            <w:hideMark/>
          </w:tcPr>
          <w:p w14:paraId="4C4A876D" w14:textId="77777777" w:rsidR="00ED0031" w:rsidRPr="009F2600" w:rsidRDefault="00ED0031" w:rsidP="00ED0031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9F2600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 xml:space="preserve">C&amp;R Tree </w:t>
            </w:r>
          </w:p>
        </w:tc>
        <w:tc>
          <w:tcPr>
            <w:tcW w:w="746" w:type="pct"/>
            <w:noWrap/>
            <w:hideMark/>
          </w:tcPr>
          <w:p w14:paraId="623A38DD" w14:textId="77777777" w:rsidR="00ED0031" w:rsidRPr="00AA0C76" w:rsidRDefault="00ED0031" w:rsidP="0085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83.28%</w:t>
            </w:r>
          </w:p>
        </w:tc>
        <w:tc>
          <w:tcPr>
            <w:tcW w:w="1079" w:type="pct"/>
            <w:noWrap/>
            <w:hideMark/>
          </w:tcPr>
          <w:p w14:paraId="6EA44F13" w14:textId="77777777" w:rsidR="00ED0031" w:rsidRPr="00AA0C76" w:rsidRDefault="00ED0031" w:rsidP="0085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86.85%</w:t>
            </w:r>
          </w:p>
        </w:tc>
        <w:tc>
          <w:tcPr>
            <w:tcW w:w="659" w:type="pct"/>
            <w:noWrap/>
            <w:hideMark/>
          </w:tcPr>
          <w:p w14:paraId="307A6F1C" w14:textId="77777777" w:rsidR="00ED0031" w:rsidRPr="00AA0C76" w:rsidRDefault="00ED0031" w:rsidP="008526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57.28%</w:t>
            </w:r>
          </w:p>
        </w:tc>
      </w:tr>
      <w:tr w:rsidR="00ED0031" w:rsidRPr="00AA0C76" w14:paraId="37492B1C" w14:textId="77777777" w:rsidTr="00C06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6" w:type="pct"/>
            <w:noWrap/>
            <w:hideMark/>
          </w:tcPr>
          <w:p w14:paraId="3A2F6963" w14:textId="77777777" w:rsidR="00ED0031" w:rsidRPr="009F2600" w:rsidRDefault="00ED0031" w:rsidP="00ED0031">
            <w:pPr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</w:pPr>
            <w:r w:rsidRPr="009F2600">
              <w:rPr>
                <w:rFonts w:asciiTheme="minorBidi" w:eastAsia="Times New Roman" w:hAnsiTheme="minorBidi"/>
                <w:b w:val="0"/>
                <w:bCs w:val="0"/>
                <w:color w:val="000000"/>
                <w:sz w:val="20"/>
                <w:szCs w:val="20"/>
              </w:rPr>
              <w:t>Neural network</w:t>
            </w:r>
          </w:p>
        </w:tc>
        <w:tc>
          <w:tcPr>
            <w:tcW w:w="746" w:type="pct"/>
            <w:noWrap/>
            <w:hideMark/>
          </w:tcPr>
          <w:p w14:paraId="47EAD1A8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83.71%</w:t>
            </w:r>
          </w:p>
        </w:tc>
        <w:tc>
          <w:tcPr>
            <w:tcW w:w="1079" w:type="pct"/>
            <w:noWrap/>
            <w:hideMark/>
          </w:tcPr>
          <w:p w14:paraId="1679F9F1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87.14%</w:t>
            </w:r>
          </w:p>
        </w:tc>
        <w:tc>
          <w:tcPr>
            <w:tcW w:w="659" w:type="pct"/>
            <w:noWrap/>
            <w:hideMark/>
          </w:tcPr>
          <w:p w14:paraId="60765935" w14:textId="77777777" w:rsidR="00ED0031" w:rsidRPr="00AA0C76" w:rsidRDefault="00ED0031" w:rsidP="008526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AA0C7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65%</w:t>
            </w:r>
          </w:p>
        </w:tc>
      </w:tr>
    </w:tbl>
    <w:p w14:paraId="7BEA1969" w14:textId="77777777" w:rsidR="00ED0031" w:rsidRDefault="00ED0031" w:rsidP="00EF290A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6F5C55A9" w14:textId="73E2C7AE" w:rsidR="00966D37" w:rsidRPr="00D572DE" w:rsidRDefault="00966D37" w:rsidP="00EF290A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572DE">
        <w:rPr>
          <w:rFonts w:asciiTheme="minorBidi" w:hAnsiTheme="minorBidi"/>
          <w:b/>
          <w:bCs/>
          <w:sz w:val="24"/>
          <w:szCs w:val="24"/>
        </w:rPr>
        <w:t xml:space="preserve">Main Page of </w:t>
      </w:r>
      <w:r w:rsidR="00777A0C">
        <w:rPr>
          <w:rFonts w:asciiTheme="minorBidi" w:hAnsiTheme="minorBidi"/>
          <w:b/>
          <w:bCs/>
          <w:sz w:val="24"/>
          <w:szCs w:val="24"/>
        </w:rPr>
        <w:t xml:space="preserve">the </w:t>
      </w:r>
      <w:r w:rsidRPr="00D572DE">
        <w:rPr>
          <w:rFonts w:asciiTheme="minorBidi" w:hAnsiTheme="minorBidi"/>
          <w:b/>
          <w:bCs/>
          <w:sz w:val="24"/>
          <w:szCs w:val="24"/>
        </w:rPr>
        <w:t>application</w:t>
      </w:r>
      <w:bookmarkStart w:id="0" w:name="_GoBack"/>
      <w:bookmarkEnd w:id="0"/>
    </w:p>
    <w:p w14:paraId="33858CA1" w14:textId="1DA60044" w:rsidR="00966D37" w:rsidRDefault="00966D37" w:rsidP="00EF290A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D572DE">
        <w:rPr>
          <w:rFonts w:asciiTheme="minorBidi" w:hAnsiTheme="minorBidi"/>
          <w:sz w:val="24"/>
          <w:szCs w:val="24"/>
        </w:rPr>
        <w:t xml:space="preserve">The main page contains six buttons that are visible in the middle of the page (Supplement Figure </w:t>
      </w:r>
      <w:r w:rsidR="00B24C37">
        <w:rPr>
          <w:rFonts w:asciiTheme="minorBidi" w:hAnsiTheme="minorBidi"/>
          <w:sz w:val="24"/>
          <w:szCs w:val="24"/>
        </w:rPr>
        <w:t xml:space="preserve">1 </w:t>
      </w:r>
      <w:r w:rsidRPr="00D572DE">
        <w:rPr>
          <w:rFonts w:asciiTheme="minorBidi" w:hAnsiTheme="minorBidi"/>
          <w:sz w:val="24"/>
          <w:szCs w:val="24"/>
        </w:rPr>
        <w:t xml:space="preserve">(a)). Also, Supplement Figure </w:t>
      </w:r>
      <w:r w:rsidR="00B24C37">
        <w:rPr>
          <w:rFonts w:asciiTheme="minorBidi" w:hAnsiTheme="minorBidi"/>
          <w:sz w:val="24"/>
          <w:szCs w:val="24"/>
        </w:rPr>
        <w:t>1</w:t>
      </w:r>
      <w:r w:rsidRPr="00D572DE">
        <w:rPr>
          <w:rFonts w:asciiTheme="minorBidi" w:hAnsiTheme="minorBidi"/>
          <w:sz w:val="24"/>
          <w:szCs w:val="24"/>
        </w:rPr>
        <w:t xml:space="preserve"> (b) shows some shortcuts for access, settings, and about us options.</w:t>
      </w:r>
      <w:r w:rsidR="00D260F5" w:rsidRPr="00D572DE">
        <w:rPr>
          <w:rFonts w:asciiTheme="minorBidi" w:hAnsiTheme="minorBidi"/>
          <w:sz w:val="24"/>
          <w:szCs w:val="24"/>
        </w:rPr>
        <w:t xml:space="preserve"> </w:t>
      </w:r>
    </w:p>
    <w:p w14:paraId="0464FCAF" w14:textId="433F2B59" w:rsidR="00B24C37" w:rsidRPr="00CD32B3" w:rsidRDefault="00CD32B3" w:rsidP="00CD32B3">
      <w:pPr>
        <w:tabs>
          <w:tab w:val="left" w:pos="6233"/>
        </w:tabs>
        <w:spacing w:line="240" w:lineRule="auto"/>
        <w:jc w:val="center"/>
        <w:rPr>
          <w:rFonts w:asciiTheme="minorBidi" w:hAnsiTheme="minorBidi"/>
          <w:b/>
          <w:bCs/>
          <w:sz w:val="20"/>
          <w:szCs w:val="20"/>
        </w:rPr>
      </w:pPr>
      <w:r w:rsidRPr="00D572DE">
        <w:rPr>
          <w:rFonts w:asciiTheme="minorBidi" w:hAnsiTheme="minorBidi"/>
          <w:b/>
          <w:bCs/>
          <w:sz w:val="24"/>
          <w:szCs w:val="24"/>
        </w:rPr>
        <w:t xml:space="preserve">    </w:t>
      </w:r>
      <w:r w:rsidRPr="00CD32B3">
        <w:rPr>
          <w:rFonts w:asciiTheme="minorBidi" w:hAnsiTheme="minorBidi"/>
          <w:b/>
          <w:bCs/>
          <w:sz w:val="20"/>
          <w:szCs w:val="20"/>
        </w:rPr>
        <w:t>Figure 1 (</w:t>
      </w:r>
      <w:proofErr w:type="gramStart"/>
      <w:r w:rsidRPr="00CD32B3">
        <w:rPr>
          <w:rFonts w:asciiTheme="minorBidi" w:hAnsiTheme="minorBidi"/>
          <w:b/>
          <w:bCs/>
          <w:sz w:val="20"/>
          <w:szCs w:val="20"/>
        </w:rPr>
        <w:t xml:space="preserve">b)   </w:t>
      </w:r>
      <w:proofErr w:type="gramEnd"/>
      <w:r w:rsidRPr="00CD32B3">
        <w:rPr>
          <w:rFonts w:asciiTheme="minorBidi" w:hAnsiTheme="minorBidi"/>
          <w:b/>
          <w:bCs/>
          <w:sz w:val="20"/>
          <w:szCs w:val="20"/>
        </w:rPr>
        <w:t xml:space="preserve">                                                   Figure 1 (a) </w:t>
      </w:r>
    </w:p>
    <w:p w14:paraId="5FEBAD58" w14:textId="77777777" w:rsidR="00966D37" w:rsidRPr="00D572DE" w:rsidRDefault="00966D37" w:rsidP="00966D37">
      <w:pPr>
        <w:spacing w:line="276" w:lineRule="auto"/>
        <w:jc w:val="both"/>
        <w:rPr>
          <w:rFonts w:asciiTheme="minorBidi" w:hAnsiTheme="minorBidi"/>
          <w:sz w:val="24"/>
          <w:szCs w:val="24"/>
        </w:rPr>
      </w:pPr>
      <w:r w:rsidRPr="00D572DE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33506A26" wp14:editId="2F04F6DE">
            <wp:extent cx="5622290" cy="40661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316" cy="408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15CA" w14:textId="48CD0E4D" w:rsidR="00B24C37" w:rsidRPr="005B274C" w:rsidRDefault="00B24C37" w:rsidP="005B274C">
      <w:pPr>
        <w:spacing w:line="276" w:lineRule="auto"/>
        <w:jc w:val="center"/>
        <w:rPr>
          <w:rFonts w:asciiTheme="minorBidi" w:hAnsiTheme="minorBidi"/>
        </w:rPr>
      </w:pPr>
      <w:r w:rsidRPr="00513480">
        <w:rPr>
          <w:rFonts w:asciiTheme="minorBidi" w:hAnsiTheme="minorBidi"/>
          <w:b/>
          <w:bCs/>
        </w:rPr>
        <w:t xml:space="preserve">Supplement Figure 1: (a): </w:t>
      </w:r>
      <w:r w:rsidR="00292A8A" w:rsidRPr="00513480">
        <w:rPr>
          <w:rFonts w:asciiTheme="minorBidi" w:hAnsiTheme="minorBidi"/>
        </w:rPr>
        <w:t xml:space="preserve">Application homepage </w:t>
      </w:r>
      <w:r w:rsidRPr="00513480">
        <w:rPr>
          <w:rFonts w:asciiTheme="minorBidi" w:hAnsiTheme="minorBidi"/>
          <w:b/>
          <w:bCs/>
        </w:rPr>
        <w:t xml:space="preserve">and (b): </w:t>
      </w:r>
      <w:r w:rsidR="00292A8A" w:rsidRPr="00513480">
        <w:rPr>
          <w:rFonts w:asciiTheme="minorBidi" w:hAnsiTheme="minorBidi"/>
        </w:rPr>
        <w:t>Shortcuts to settings and about us</w:t>
      </w:r>
    </w:p>
    <w:p w14:paraId="034A9816" w14:textId="0E0A12F2" w:rsidR="00C8370F" w:rsidRPr="00D572DE" w:rsidRDefault="00C8370F" w:rsidP="00EF290A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572DE">
        <w:rPr>
          <w:rFonts w:asciiTheme="minorBidi" w:hAnsiTheme="minorBidi"/>
          <w:b/>
          <w:bCs/>
          <w:sz w:val="24"/>
          <w:szCs w:val="24"/>
        </w:rPr>
        <w:t>Post-transplant care</w:t>
      </w:r>
    </w:p>
    <w:p w14:paraId="716EFF2E" w14:textId="685C19E3" w:rsidR="00D260F5" w:rsidRPr="00D572DE" w:rsidRDefault="00A90F5F" w:rsidP="00777A0C">
      <w:pPr>
        <w:spacing w:line="240" w:lineRule="auto"/>
        <w:jc w:val="both"/>
        <w:rPr>
          <w:rFonts w:asciiTheme="minorBidi" w:hAnsiTheme="minorBidi"/>
          <w:sz w:val="24"/>
          <w:szCs w:val="24"/>
        </w:rPr>
      </w:pPr>
      <w:r w:rsidRPr="00D572DE">
        <w:rPr>
          <w:rFonts w:asciiTheme="minorBidi" w:hAnsiTheme="minorBidi"/>
          <w:sz w:val="24"/>
          <w:szCs w:val="24"/>
        </w:rPr>
        <w:t xml:space="preserve">The first button in the </w:t>
      </w:r>
      <w:r w:rsidR="004A2707" w:rsidRPr="00D572DE">
        <w:rPr>
          <w:rFonts w:asciiTheme="minorBidi" w:hAnsiTheme="minorBidi"/>
          <w:sz w:val="24"/>
          <w:szCs w:val="24"/>
        </w:rPr>
        <w:t>application</w:t>
      </w:r>
      <w:r w:rsidRPr="00D572DE">
        <w:rPr>
          <w:rFonts w:asciiTheme="minorBidi" w:hAnsiTheme="minorBidi"/>
          <w:sz w:val="24"/>
          <w:szCs w:val="24"/>
        </w:rPr>
        <w:t xml:space="preserve">'s main menu is called; "post-transplant care." Clicking on this button will take us to a page with 14 titles, which each one provides brief instructions on post-transplant care to the transplant patient. Supplement Figure </w:t>
      </w:r>
      <w:r w:rsidR="00777A0C">
        <w:rPr>
          <w:rFonts w:asciiTheme="minorBidi" w:hAnsiTheme="minorBidi"/>
          <w:sz w:val="24"/>
          <w:szCs w:val="24"/>
        </w:rPr>
        <w:t>2</w:t>
      </w:r>
      <w:r w:rsidRPr="00D572DE">
        <w:rPr>
          <w:rFonts w:asciiTheme="minorBidi" w:hAnsiTheme="minorBidi"/>
          <w:sz w:val="24"/>
          <w:szCs w:val="24"/>
        </w:rPr>
        <w:t xml:space="preserve"> (a) shows the main topics of post-transplant care, and Supplement Figure </w:t>
      </w:r>
      <w:r w:rsidR="00777A0C">
        <w:rPr>
          <w:rFonts w:asciiTheme="minorBidi" w:hAnsiTheme="minorBidi"/>
          <w:sz w:val="24"/>
          <w:szCs w:val="24"/>
        </w:rPr>
        <w:t>2</w:t>
      </w:r>
      <w:r w:rsidRPr="00D572DE">
        <w:rPr>
          <w:rFonts w:asciiTheme="minorBidi" w:hAnsiTheme="minorBidi"/>
          <w:sz w:val="24"/>
          <w:szCs w:val="24"/>
        </w:rPr>
        <w:t xml:space="preserve"> (b) shows the training contents of the </w:t>
      </w:r>
      <w:r w:rsidR="004A2707" w:rsidRPr="00D572DE">
        <w:rPr>
          <w:rFonts w:asciiTheme="minorBidi" w:hAnsiTheme="minorBidi"/>
          <w:sz w:val="24"/>
          <w:szCs w:val="24"/>
        </w:rPr>
        <w:t>application</w:t>
      </w:r>
      <w:r w:rsidRPr="00D572DE">
        <w:rPr>
          <w:rFonts w:asciiTheme="minorBidi" w:hAnsiTheme="minorBidi"/>
          <w:sz w:val="24"/>
          <w:szCs w:val="24"/>
        </w:rPr>
        <w:t xml:space="preserve"> after clicking on the topic, "transplantation and </w:t>
      </w:r>
      <w:r w:rsidRPr="00D572DE">
        <w:rPr>
          <w:rFonts w:asciiTheme="minorBidi" w:hAnsiTheme="minorBidi"/>
          <w:sz w:val="24"/>
          <w:szCs w:val="24"/>
        </w:rPr>
        <w:lastRenderedPageBreak/>
        <w:t>rejection." As it can be seen, in the last section of these topics, the definitions and terms that you will come across in post-transplant care are listed.</w:t>
      </w:r>
      <w:r w:rsidR="00D260F5" w:rsidRPr="00D572DE">
        <w:rPr>
          <w:rFonts w:asciiTheme="minorBidi" w:hAnsiTheme="minorBidi"/>
          <w:sz w:val="24"/>
          <w:szCs w:val="24"/>
        </w:rPr>
        <w:t xml:space="preserve"> </w:t>
      </w:r>
    </w:p>
    <w:p w14:paraId="46EDD68D" w14:textId="0E836FF7" w:rsidR="00C8370F" w:rsidRPr="00777A0C" w:rsidRDefault="00C8370F" w:rsidP="00EF290A">
      <w:pPr>
        <w:tabs>
          <w:tab w:val="left" w:pos="6233"/>
        </w:tabs>
        <w:spacing w:line="240" w:lineRule="auto"/>
        <w:jc w:val="center"/>
        <w:rPr>
          <w:rFonts w:asciiTheme="minorBidi" w:hAnsiTheme="minorBidi"/>
          <w:b/>
          <w:bCs/>
        </w:rPr>
      </w:pPr>
      <w:r w:rsidRPr="00D572DE"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E82406" w:rsidRPr="00777A0C">
        <w:rPr>
          <w:rFonts w:asciiTheme="minorBidi" w:hAnsiTheme="minorBidi"/>
          <w:b/>
          <w:bCs/>
        </w:rPr>
        <w:t xml:space="preserve">Figure </w:t>
      </w:r>
      <w:r w:rsidR="00E25F64">
        <w:rPr>
          <w:rFonts w:asciiTheme="minorBidi" w:hAnsiTheme="minorBidi"/>
          <w:b/>
          <w:bCs/>
        </w:rPr>
        <w:t>2</w:t>
      </w:r>
      <w:r w:rsidR="00E82406" w:rsidRPr="00777A0C">
        <w:rPr>
          <w:rFonts w:asciiTheme="minorBidi" w:hAnsiTheme="minorBidi"/>
          <w:b/>
          <w:bCs/>
        </w:rPr>
        <w:t xml:space="preserve"> (</w:t>
      </w:r>
      <w:proofErr w:type="gramStart"/>
      <w:r w:rsidR="00E25F64" w:rsidRPr="00777A0C">
        <w:rPr>
          <w:rFonts w:asciiTheme="minorBidi" w:hAnsiTheme="minorBidi"/>
          <w:b/>
          <w:bCs/>
        </w:rPr>
        <w:t xml:space="preserve">b)  </w:t>
      </w:r>
      <w:r w:rsidRPr="00777A0C">
        <w:rPr>
          <w:rFonts w:asciiTheme="minorBidi" w:hAnsiTheme="minorBidi"/>
          <w:b/>
          <w:bCs/>
        </w:rPr>
        <w:t xml:space="preserve"> </w:t>
      </w:r>
      <w:proofErr w:type="gramEnd"/>
      <w:r w:rsidR="00E82406" w:rsidRPr="00777A0C">
        <w:rPr>
          <w:rFonts w:asciiTheme="minorBidi" w:hAnsiTheme="minorBidi"/>
          <w:b/>
          <w:bCs/>
        </w:rPr>
        <w:t xml:space="preserve">                                                  Figure </w:t>
      </w:r>
      <w:r w:rsidR="00E25F64">
        <w:rPr>
          <w:rFonts w:asciiTheme="minorBidi" w:hAnsiTheme="minorBidi"/>
          <w:b/>
          <w:bCs/>
        </w:rPr>
        <w:t>2</w:t>
      </w:r>
      <w:r w:rsidR="00E82406" w:rsidRPr="00777A0C">
        <w:rPr>
          <w:rFonts w:asciiTheme="minorBidi" w:hAnsiTheme="minorBidi"/>
          <w:b/>
          <w:bCs/>
        </w:rPr>
        <w:t xml:space="preserve"> (a) </w:t>
      </w:r>
    </w:p>
    <w:p w14:paraId="2D4CBD2F" w14:textId="77777777" w:rsidR="00C8370F" w:rsidRPr="00D572DE" w:rsidRDefault="00C8370F" w:rsidP="00EF290A">
      <w:pPr>
        <w:spacing w:line="240" w:lineRule="auto"/>
        <w:jc w:val="center"/>
        <w:rPr>
          <w:rFonts w:asciiTheme="minorBidi" w:hAnsiTheme="minorBidi"/>
          <w:sz w:val="24"/>
          <w:szCs w:val="24"/>
          <w:rtl/>
        </w:rPr>
      </w:pPr>
      <w:r w:rsidRPr="00D572DE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26D69411" wp14:editId="50FA0BEC">
            <wp:extent cx="5295900" cy="3667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11" cy="3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5FB1" w14:textId="147B271F" w:rsidR="00886236" w:rsidRPr="00777A0C" w:rsidRDefault="00220021" w:rsidP="00EF290A">
      <w:pPr>
        <w:spacing w:line="240" w:lineRule="auto"/>
        <w:jc w:val="center"/>
        <w:rPr>
          <w:rFonts w:asciiTheme="minorBidi" w:hAnsiTheme="minorBidi"/>
        </w:rPr>
      </w:pPr>
      <w:r w:rsidRPr="00777A0C">
        <w:rPr>
          <w:rFonts w:asciiTheme="minorBidi" w:hAnsiTheme="minorBidi"/>
          <w:b/>
          <w:bCs/>
        </w:rPr>
        <w:t xml:space="preserve">Supplement Figure </w:t>
      </w:r>
      <w:r w:rsidR="00B24C37" w:rsidRPr="00777A0C">
        <w:rPr>
          <w:rFonts w:asciiTheme="minorBidi" w:hAnsiTheme="minorBidi"/>
          <w:b/>
          <w:bCs/>
        </w:rPr>
        <w:t>2</w:t>
      </w:r>
      <w:r w:rsidRPr="00777A0C">
        <w:rPr>
          <w:rFonts w:asciiTheme="minorBidi" w:hAnsiTheme="minorBidi"/>
          <w:b/>
          <w:bCs/>
        </w:rPr>
        <w:t xml:space="preserve">: </w:t>
      </w:r>
      <w:r w:rsidR="00C8370F" w:rsidRPr="00777A0C">
        <w:rPr>
          <w:rFonts w:asciiTheme="minorBidi" w:hAnsiTheme="minorBidi"/>
          <w:b/>
          <w:bCs/>
        </w:rPr>
        <w:t xml:space="preserve">(a): </w:t>
      </w:r>
      <w:r w:rsidR="00C8370F" w:rsidRPr="00777A0C">
        <w:rPr>
          <w:rFonts w:asciiTheme="minorBidi" w:hAnsiTheme="minorBidi"/>
        </w:rPr>
        <w:t>Main topics of post-transplant care</w:t>
      </w:r>
      <w:r w:rsidR="00C8370F" w:rsidRPr="00777A0C">
        <w:rPr>
          <w:rFonts w:asciiTheme="minorBidi" w:hAnsiTheme="minorBidi"/>
          <w:b/>
          <w:bCs/>
        </w:rPr>
        <w:t xml:space="preserve">, and (b): </w:t>
      </w:r>
      <w:r w:rsidR="00C8370F" w:rsidRPr="00777A0C">
        <w:rPr>
          <w:rFonts w:asciiTheme="minorBidi" w:hAnsiTheme="minorBidi"/>
        </w:rPr>
        <w:t xml:space="preserve">Educational contents of the </w:t>
      </w:r>
      <w:r w:rsidR="00D260F5" w:rsidRPr="00777A0C">
        <w:rPr>
          <w:rFonts w:asciiTheme="minorBidi" w:hAnsiTheme="minorBidi"/>
        </w:rPr>
        <w:t>application</w:t>
      </w:r>
      <w:r w:rsidR="00C8370F" w:rsidRPr="00777A0C">
        <w:rPr>
          <w:rFonts w:asciiTheme="minorBidi" w:hAnsiTheme="minorBidi"/>
        </w:rPr>
        <w:t xml:space="preserve"> after clicking on the topic; "transplantation and </w:t>
      </w:r>
      <w:r w:rsidR="00E82406" w:rsidRPr="00777A0C">
        <w:rPr>
          <w:rFonts w:asciiTheme="minorBidi" w:hAnsiTheme="minorBidi"/>
        </w:rPr>
        <w:t>rejection</w:t>
      </w:r>
      <w:bookmarkStart w:id="1" w:name="_Hlk95641989"/>
      <w:r w:rsidR="00AE54A1" w:rsidRPr="00777A0C">
        <w:rPr>
          <w:rFonts w:asciiTheme="minorBidi" w:hAnsiTheme="minorBidi"/>
        </w:rPr>
        <w:t>”.</w:t>
      </w:r>
    </w:p>
    <w:bookmarkEnd w:id="1"/>
    <w:p w14:paraId="16BC1DBB" w14:textId="77777777" w:rsidR="005B5C76" w:rsidRPr="00D572DE" w:rsidRDefault="005B5C76" w:rsidP="00EF290A">
      <w:pPr>
        <w:spacing w:line="240" w:lineRule="auto"/>
        <w:rPr>
          <w:rFonts w:asciiTheme="minorBidi" w:hAnsiTheme="minorBidi"/>
          <w:b/>
          <w:bCs/>
          <w:sz w:val="24"/>
          <w:szCs w:val="24"/>
        </w:rPr>
      </w:pPr>
    </w:p>
    <w:sectPr w:rsidR="005B5C76" w:rsidRPr="00D572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37BDE"/>
    <w:multiLevelType w:val="hybridMultilevel"/>
    <w:tmpl w:val="3A10EB76"/>
    <w:lvl w:ilvl="0" w:tplc="C054EEF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68468E"/>
    <w:multiLevelType w:val="multilevel"/>
    <w:tmpl w:val="E57C503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8E"/>
    <w:rsid w:val="0000002F"/>
    <w:rsid w:val="00117706"/>
    <w:rsid w:val="001B0852"/>
    <w:rsid w:val="001C78C2"/>
    <w:rsid w:val="001D4092"/>
    <w:rsid w:val="00220021"/>
    <w:rsid w:val="00276D99"/>
    <w:rsid w:val="00292A8A"/>
    <w:rsid w:val="00302A21"/>
    <w:rsid w:val="003150F9"/>
    <w:rsid w:val="0038728E"/>
    <w:rsid w:val="003C1962"/>
    <w:rsid w:val="00422BE1"/>
    <w:rsid w:val="004845CA"/>
    <w:rsid w:val="0049060B"/>
    <w:rsid w:val="004A2707"/>
    <w:rsid w:val="004C44AA"/>
    <w:rsid w:val="004F57D4"/>
    <w:rsid w:val="00513480"/>
    <w:rsid w:val="00565BC1"/>
    <w:rsid w:val="005B274C"/>
    <w:rsid w:val="005B5C76"/>
    <w:rsid w:val="005C5772"/>
    <w:rsid w:val="00620C55"/>
    <w:rsid w:val="006542B2"/>
    <w:rsid w:val="00684EE0"/>
    <w:rsid w:val="006B79CE"/>
    <w:rsid w:val="0071457F"/>
    <w:rsid w:val="00777A0C"/>
    <w:rsid w:val="007A0E44"/>
    <w:rsid w:val="007D11F3"/>
    <w:rsid w:val="007D6784"/>
    <w:rsid w:val="00806462"/>
    <w:rsid w:val="00836EAF"/>
    <w:rsid w:val="008526EB"/>
    <w:rsid w:val="00886236"/>
    <w:rsid w:val="0092101A"/>
    <w:rsid w:val="00965401"/>
    <w:rsid w:val="00966D37"/>
    <w:rsid w:val="009F1131"/>
    <w:rsid w:val="009F2600"/>
    <w:rsid w:val="00A1797D"/>
    <w:rsid w:val="00A3087E"/>
    <w:rsid w:val="00A466FC"/>
    <w:rsid w:val="00A90F5F"/>
    <w:rsid w:val="00AA0C76"/>
    <w:rsid w:val="00AD7A51"/>
    <w:rsid w:val="00AE54A1"/>
    <w:rsid w:val="00B24C37"/>
    <w:rsid w:val="00B53D6F"/>
    <w:rsid w:val="00C0674E"/>
    <w:rsid w:val="00C8370F"/>
    <w:rsid w:val="00C854A6"/>
    <w:rsid w:val="00CD32B3"/>
    <w:rsid w:val="00D260F5"/>
    <w:rsid w:val="00D5431F"/>
    <w:rsid w:val="00D572DE"/>
    <w:rsid w:val="00D9273D"/>
    <w:rsid w:val="00DC70A5"/>
    <w:rsid w:val="00DE51CC"/>
    <w:rsid w:val="00DF3CF7"/>
    <w:rsid w:val="00E25F64"/>
    <w:rsid w:val="00E40790"/>
    <w:rsid w:val="00E82406"/>
    <w:rsid w:val="00ED0031"/>
    <w:rsid w:val="00EF290A"/>
    <w:rsid w:val="00F37D29"/>
    <w:rsid w:val="00F500FC"/>
    <w:rsid w:val="00F5182A"/>
    <w:rsid w:val="00F6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16120"/>
  <w15:chartTrackingRefBased/>
  <w15:docId w15:val="{D6EB2545-B688-41F8-A57D-57CFF186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C76"/>
    <w:pPr>
      <w:spacing w:after="200" w:line="276" w:lineRule="auto"/>
      <w:ind w:left="720"/>
      <w:contextualSpacing/>
    </w:pPr>
  </w:style>
  <w:style w:type="table" w:styleId="GridTable4-Accent3">
    <w:name w:val="Grid Table 4 Accent 3"/>
    <w:basedOn w:val="TableNormal"/>
    <w:uiPriority w:val="49"/>
    <w:rsid w:val="005B5C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C067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2022-02-13T06:29:00Z</dcterms:created>
  <dcterms:modified xsi:type="dcterms:W3CDTF">2022-03-19T18:12:00Z</dcterms:modified>
</cp:coreProperties>
</file>