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autoSpaceDE w:val="0"/>
        <w:autoSpaceDN w:val="0"/>
        <w:adjustRightInd w:val="0"/>
        <w:spacing w:line="240" w:lineRule="auto"/>
        <w:rPr>
          <w:rFonts w:hint="default" w:ascii="Times New Roman" w:hAnsi="Times New Roman" w:eastAsia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kern w:val="0"/>
          <w:sz w:val="24"/>
          <w:szCs w:val="24"/>
          <w:lang w:val="en-US" w:eastAsia="zh-CN"/>
        </w:rPr>
        <w:t xml:space="preserve">Supple </w:t>
      </w:r>
      <w:r>
        <w:rPr>
          <w:rFonts w:ascii="Times New Roman" w:hAnsi="Times New Roman"/>
          <w:b/>
          <w:bCs/>
          <w:kern w:val="0"/>
          <w:sz w:val="24"/>
          <w:szCs w:val="24"/>
        </w:rPr>
        <w:t>Table 4</w:t>
      </w:r>
      <w:r>
        <w:rPr>
          <w:rFonts w:hint="eastAsia" w:ascii="Times New Roman" w:hAnsi="Times New Roman"/>
          <w:b/>
          <w:bCs/>
          <w:kern w:val="0"/>
          <w:sz w:val="24"/>
          <w:szCs w:val="24"/>
          <w:lang w:val="en-US" w:eastAsia="zh-CN"/>
        </w:rPr>
        <w:t>-1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. The relationship between serum uric acid levels and diabetic kidney disease in </w:t>
      </w:r>
      <w:r>
        <w:rPr>
          <w:rFonts w:hint="eastAsia" w:ascii="Times New Roman" w:hAnsi="Times New Roman"/>
          <w:b/>
          <w:bCs/>
          <w:kern w:val="0"/>
          <w:sz w:val="24"/>
          <w:szCs w:val="24"/>
          <w:lang w:val="en-US" w:eastAsia="zh-CN"/>
        </w:rPr>
        <w:t xml:space="preserve">Female </w:t>
      </w:r>
      <w:r>
        <w:rPr>
          <w:rFonts w:ascii="Times New Roman" w:hAnsi="Times New Roman"/>
          <w:b/>
          <w:bCs/>
          <w:kern w:val="0"/>
          <w:sz w:val="24"/>
          <w:szCs w:val="24"/>
        </w:rPr>
        <w:t>type 1 diabetes</w:t>
      </w:r>
      <w:r>
        <w:rPr>
          <w:rFonts w:hint="eastAsia" w:ascii="Times New Roman" w:hAnsi="Times New Roman"/>
          <w:b/>
          <w:bCs/>
          <w:kern w:val="0"/>
          <w:sz w:val="24"/>
          <w:szCs w:val="24"/>
          <w:lang w:val="en-US" w:eastAsia="zh-CN"/>
        </w:rPr>
        <w:t xml:space="preserve"> patients</w:t>
      </w:r>
    </w:p>
    <w:tbl>
      <w:tblPr>
        <w:tblStyle w:val="2"/>
        <w:tblW w:w="78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1704"/>
        <w:gridCol w:w="1680"/>
        <w:gridCol w:w="2082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1" w:type="dxa"/>
            <w:vMerge w:val="restart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1"/>
                <w:szCs w:val="21"/>
              </w:rPr>
              <w:t>Model</w:t>
            </w:r>
          </w:p>
        </w:tc>
        <w:tc>
          <w:tcPr>
            <w:tcW w:w="1704" w:type="dxa"/>
            <w:vMerge w:val="restart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680" w:type="dxa"/>
            <w:vMerge w:val="restart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UA (</w:t>
            </w:r>
            <w:r>
              <w:rPr>
                <w:rFonts w:ascii="Times New Roman" w:hAnsi="Times New Roman" w:eastAsia="AdvOT8608a8d1+03"/>
                <w:b/>
                <w:bCs/>
                <w:kern w:val="0"/>
                <w:sz w:val="21"/>
                <w:szCs w:val="21"/>
              </w:rPr>
              <w:t>μ</w:t>
            </w:r>
            <w:r>
              <w:rPr>
                <w:rFonts w:ascii="Times New Roman" w:hAnsi="Times New Roman"/>
                <w:b/>
                <w:bCs/>
                <w:kern w:val="0"/>
                <w:sz w:val="21"/>
                <w:szCs w:val="21"/>
              </w:rPr>
              <w:t>mol/L)</w:t>
            </w:r>
          </w:p>
        </w:tc>
        <w:tc>
          <w:tcPr>
            <w:tcW w:w="3102" w:type="dxa"/>
            <w:gridSpan w:val="2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1"/>
                <w:szCs w:val="21"/>
              </w:rPr>
              <w:t>Unadjusted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1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704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1"/>
                <w:szCs w:val="21"/>
              </w:rPr>
              <w:t>OR (95% CI)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0"/>
                <w:sz w:val="21"/>
                <w:szCs w:val="21"/>
              </w:rPr>
              <w:t>P</w:t>
            </w:r>
            <w:r>
              <w:rPr>
                <w:rFonts w:ascii="Times New Roman" w:hAnsi="Times New Roman"/>
                <w:b/>
                <w:bCs/>
                <w:kern w:val="0"/>
                <w:sz w:val="21"/>
                <w:szCs w:val="21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1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Model 1</w:t>
            </w:r>
          </w:p>
        </w:tc>
        <w:tc>
          <w:tcPr>
            <w:tcW w:w="1704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UA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continuous)</w:t>
            </w:r>
          </w:p>
        </w:tc>
        <w:tc>
          <w:tcPr>
            <w:tcW w:w="1680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—</w:t>
            </w:r>
          </w:p>
        </w:tc>
        <w:tc>
          <w:tcPr>
            <w:tcW w:w="2082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1.</w:t>
            </w:r>
            <w:r>
              <w:rPr>
                <w:rFonts w:ascii="Times New Roman" w:hAnsi="Times New Roman"/>
                <w:sz w:val="21"/>
                <w:szCs w:val="21"/>
              </w:rPr>
              <w:t>00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/>
                <w:sz w:val="21"/>
                <w:szCs w:val="21"/>
              </w:rPr>
              <w:t>(</w:t>
            </w:r>
            <w:r>
              <w:rPr>
                <w:rFonts w:ascii="Times New Roman" w:hAnsi="Times New Roman"/>
                <w:sz w:val="21"/>
                <w:szCs w:val="21"/>
              </w:rPr>
              <w:t>1.00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sz w:val="21"/>
                <w:szCs w:val="21"/>
              </w:rPr>
              <w:t>-1.0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13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&lt;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Model 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UA(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categorical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&lt;360 </w:t>
            </w:r>
            <w:r>
              <w:rPr>
                <w:rFonts w:ascii="Times New Roman" w:hAnsi="Times New Roman" w:eastAsia="AdvOT8608a8d1+03"/>
                <w:kern w:val="0"/>
                <w:sz w:val="21"/>
                <w:szCs w:val="21"/>
              </w:rPr>
              <w:t>μ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mol/L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1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≥360 </w:t>
            </w:r>
            <w:r>
              <w:rPr>
                <w:rFonts w:ascii="Times New Roman" w:hAnsi="Times New Roman" w:eastAsia="AdvOT8608a8d1+03"/>
                <w:kern w:val="0"/>
                <w:sz w:val="21"/>
                <w:szCs w:val="21"/>
              </w:rPr>
              <w:t>μ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mol/L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9.821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2.129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316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  <w:r>
              <w:rPr>
                <w:rFonts w:hint="eastAsia"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00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Model 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UA(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categorical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&lt;420 </w:t>
            </w:r>
            <w:r>
              <w:rPr>
                <w:rFonts w:ascii="Times New Roman" w:hAnsi="Times New Roman" w:eastAsia="AdvOT8608a8d1+03"/>
                <w:kern w:val="0"/>
                <w:sz w:val="21"/>
                <w:szCs w:val="21"/>
              </w:rPr>
              <w:t>μ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mol/L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1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≥420 </w:t>
            </w:r>
            <w:r>
              <w:rPr>
                <w:rFonts w:ascii="Times New Roman" w:hAnsi="Times New Roman" w:eastAsia="AdvOT8608a8d1+03"/>
                <w:kern w:val="0"/>
                <w:sz w:val="21"/>
                <w:szCs w:val="21"/>
              </w:rPr>
              <w:t>μ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mol/L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—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—</w:t>
            </w:r>
          </w:p>
        </w:tc>
      </w:tr>
    </w:tbl>
    <w:p>
      <w:pPr>
        <w:autoSpaceDE w:val="0"/>
        <w:autoSpaceDN w:val="0"/>
        <w:adjustRightInd w:val="0"/>
        <w:spacing w:line="240" w:lineRule="auto"/>
        <w:rPr>
          <w:rFonts w:hint="default" w:ascii="Times New Roman" w:hAnsi="Times New Roman" w:eastAsia="宋体"/>
          <w:kern w:val="0"/>
          <w:szCs w:val="21"/>
          <w:lang w:val="en-US" w:eastAsia="zh-CN"/>
        </w:rPr>
      </w:pPr>
      <w:r>
        <w:rPr>
          <w:rFonts w:hint="eastAsia" w:ascii="Times New Roman" w:hAnsi="Times New Roman"/>
          <w:kern w:val="0"/>
          <w:szCs w:val="21"/>
          <w:lang w:val="en-US" w:eastAsia="zh-CN"/>
        </w:rPr>
        <w:t xml:space="preserve">Note: </w:t>
      </w:r>
      <w:r>
        <w:rPr>
          <w:rFonts w:ascii="Times New Roman" w:hAnsi="Times New Roman"/>
          <w:kern w:val="0"/>
          <w:szCs w:val="21"/>
        </w:rPr>
        <w:t>UA, uric acid; CI, con</w:t>
      </w:r>
      <w:r>
        <w:rPr>
          <w:rFonts w:ascii="Times New Roman" w:hAnsi="Times New Roman" w:eastAsia="AdvOTfba95258+fb"/>
          <w:kern w:val="0"/>
          <w:szCs w:val="21"/>
        </w:rPr>
        <w:t>fi</w:t>
      </w:r>
      <w:r>
        <w:rPr>
          <w:rFonts w:ascii="Times New Roman" w:hAnsi="Times New Roman"/>
          <w:kern w:val="0"/>
          <w:szCs w:val="21"/>
        </w:rPr>
        <w:t>dence interval; OR, odds ratio.</w:t>
      </w:r>
      <w:r>
        <w:rPr>
          <w:rFonts w:hint="eastAsia" w:ascii="Times New Roman" w:hAnsi="Times New Roman"/>
          <w:kern w:val="0"/>
          <w:szCs w:val="21"/>
          <w:lang w:val="en-US" w:eastAsia="zh-CN"/>
        </w:rPr>
        <w:t xml:space="preserve"> When UA </w:t>
      </w:r>
      <w:r>
        <w:rPr>
          <w:rFonts w:ascii="Times New Roman" w:hAnsi="Times New Roman"/>
          <w:sz w:val="18"/>
          <w:szCs w:val="18"/>
        </w:rPr>
        <w:t xml:space="preserve">≥420 </w:t>
      </w:r>
      <w:r>
        <w:rPr>
          <w:rFonts w:ascii="Times New Roman" w:hAnsi="Times New Roman" w:eastAsia="AdvOT8608a8d1+03"/>
          <w:kern w:val="0"/>
          <w:sz w:val="18"/>
          <w:szCs w:val="18"/>
        </w:rPr>
        <w:t>μ</w:t>
      </w:r>
      <w:r>
        <w:rPr>
          <w:rFonts w:ascii="Times New Roman" w:hAnsi="Times New Roman"/>
          <w:kern w:val="0"/>
          <w:sz w:val="18"/>
          <w:szCs w:val="18"/>
        </w:rPr>
        <w:t>mol/L</w:t>
      </w:r>
      <w:r>
        <w:rPr>
          <w:rFonts w:hint="eastAsia" w:ascii="Times New Roman" w:hAnsi="Times New Roman"/>
          <w:kern w:val="0"/>
          <w:sz w:val="18"/>
          <w:szCs w:val="18"/>
          <w:lang w:val="en-US" w:eastAsia="zh-CN"/>
        </w:rPr>
        <w:t xml:space="preserve"> in female T1DM patients, all patietns were DKD, and none were non-DKD.</w:t>
      </w:r>
    </w:p>
    <w:p>
      <w:pPr>
        <w:autoSpaceDE w:val="0"/>
        <w:autoSpaceDN w:val="0"/>
        <w:adjustRightInd w:val="0"/>
        <w:spacing w:line="240" w:lineRule="auto"/>
        <w:rPr>
          <w:rFonts w:ascii="Times New Roman" w:hAnsi="Times New Roman"/>
          <w:kern w:val="0"/>
          <w:szCs w:val="21"/>
        </w:rPr>
      </w:pPr>
      <w:bookmarkStart w:id="0" w:name="_GoBack"/>
      <w:bookmarkEnd w:id="0"/>
    </w:p>
    <w:p>
      <w:pPr>
        <w:autoSpaceDE w:val="0"/>
        <w:autoSpaceDN w:val="0"/>
        <w:adjustRightInd w:val="0"/>
        <w:spacing w:line="240" w:lineRule="auto"/>
        <w:rPr>
          <w:rFonts w:ascii="Times New Roman" w:hAnsi="Times New Roman"/>
          <w:kern w:val="0"/>
          <w:szCs w:val="21"/>
        </w:rPr>
      </w:pPr>
    </w:p>
    <w:p>
      <w:pPr>
        <w:autoSpaceDE w:val="0"/>
        <w:autoSpaceDN w:val="0"/>
        <w:adjustRightInd w:val="0"/>
        <w:spacing w:line="360" w:lineRule="auto"/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240" w:lineRule="auto"/>
        <w:rPr>
          <w:rFonts w:hint="default" w:ascii="Times New Roman" w:hAnsi="Times New Roman" w:eastAsia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kern w:val="0"/>
          <w:sz w:val="24"/>
          <w:szCs w:val="24"/>
          <w:lang w:val="en-US" w:eastAsia="zh-CN"/>
        </w:rPr>
        <w:t xml:space="preserve">Supple </w:t>
      </w:r>
      <w:r>
        <w:rPr>
          <w:rFonts w:ascii="Times New Roman" w:hAnsi="Times New Roman"/>
          <w:b/>
          <w:bCs/>
          <w:kern w:val="0"/>
          <w:sz w:val="24"/>
          <w:szCs w:val="24"/>
        </w:rPr>
        <w:t>Table 4</w:t>
      </w:r>
      <w:r>
        <w:rPr>
          <w:rFonts w:hint="eastAsia" w:ascii="Times New Roman" w:hAnsi="Times New Roman"/>
          <w:b/>
          <w:bCs/>
          <w:kern w:val="0"/>
          <w:sz w:val="24"/>
          <w:szCs w:val="24"/>
          <w:lang w:val="en-US" w:eastAsia="zh-CN"/>
        </w:rPr>
        <w:t>-2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. The relationship between serum uric acid levels and </w:t>
      </w:r>
      <w:r>
        <w:rPr>
          <w:rFonts w:hint="default" w:ascii="Times New Roman" w:hAnsi="Times New Roman"/>
          <w:b/>
          <w:bCs/>
          <w:kern w:val="0"/>
          <w:sz w:val="24"/>
          <w:szCs w:val="24"/>
          <w:lang w:val="en-US"/>
        </w:rPr>
        <w:t xml:space="preserve">diabetic 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kidney disease in </w:t>
      </w:r>
      <w:r>
        <w:rPr>
          <w:rFonts w:hint="eastAsia" w:ascii="Times New Roman" w:hAnsi="Times New Roman"/>
          <w:b/>
          <w:bCs/>
          <w:kern w:val="0"/>
          <w:sz w:val="24"/>
          <w:szCs w:val="24"/>
          <w:lang w:val="en-US" w:eastAsia="zh-CN"/>
        </w:rPr>
        <w:t xml:space="preserve">Male </w:t>
      </w:r>
      <w:r>
        <w:rPr>
          <w:rFonts w:ascii="Times New Roman" w:hAnsi="Times New Roman"/>
          <w:b/>
          <w:bCs/>
          <w:kern w:val="0"/>
          <w:sz w:val="24"/>
          <w:szCs w:val="24"/>
        </w:rPr>
        <w:t>type 1 diabetes</w:t>
      </w:r>
      <w:r>
        <w:rPr>
          <w:rFonts w:hint="eastAsia" w:ascii="Times New Roman" w:hAnsi="Times New Roman"/>
          <w:b/>
          <w:bCs/>
          <w:kern w:val="0"/>
          <w:sz w:val="24"/>
          <w:szCs w:val="24"/>
          <w:lang w:val="en-US" w:eastAsia="zh-CN"/>
        </w:rPr>
        <w:t xml:space="preserve"> patients</w:t>
      </w:r>
    </w:p>
    <w:tbl>
      <w:tblPr>
        <w:tblStyle w:val="2"/>
        <w:tblW w:w="7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694"/>
        <w:gridCol w:w="1570"/>
        <w:gridCol w:w="2219"/>
        <w:gridCol w:w="1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0" w:type="dxa"/>
            <w:vMerge w:val="restart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Model</w:t>
            </w:r>
          </w:p>
        </w:tc>
        <w:tc>
          <w:tcPr>
            <w:tcW w:w="1694" w:type="dxa"/>
            <w:vMerge w:val="restart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70" w:type="dxa"/>
            <w:vMerge w:val="restart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UA (</w:t>
            </w:r>
            <w:r>
              <w:rPr>
                <w:rFonts w:ascii="Times New Roman" w:hAnsi="Times New Roman" w:eastAsia="AdvOT8608a8d1+03" w:cs="Times New Roman"/>
                <w:b/>
                <w:bCs/>
                <w:kern w:val="0"/>
                <w:sz w:val="21"/>
                <w:szCs w:val="21"/>
              </w:rPr>
              <w:t>μ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mol/L)</w:t>
            </w:r>
          </w:p>
        </w:tc>
        <w:tc>
          <w:tcPr>
            <w:tcW w:w="3440" w:type="dxa"/>
            <w:gridSpan w:val="2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Unadjusted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57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OR (95% CI)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0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Model 1</w:t>
            </w:r>
          </w:p>
        </w:tc>
        <w:tc>
          <w:tcPr>
            <w:tcW w:w="1694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UA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continuous)</w:t>
            </w:r>
          </w:p>
        </w:tc>
        <w:tc>
          <w:tcPr>
            <w:tcW w:w="1570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—</w:t>
            </w:r>
          </w:p>
        </w:tc>
        <w:tc>
          <w:tcPr>
            <w:tcW w:w="2219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-1.0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21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Model 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UA(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categorical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&lt;360 </w:t>
            </w:r>
            <w:r>
              <w:rPr>
                <w:rFonts w:ascii="Times New Roman" w:hAnsi="Times New Roman" w:eastAsia="AdvOT8608a8d1+03" w:cs="Times New Roman"/>
                <w:kern w:val="0"/>
                <w:sz w:val="21"/>
                <w:szCs w:val="21"/>
              </w:rPr>
              <w:t>μ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mol/L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 (Reference)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≥360 </w:t>
            </w:r>
            <w:r>
              <w:rPr>
                <w:rFonts w:ascii="Times New Roman" w:hAnsi="Times New Roman" w:eastAsia="AdvOT8608a8d1+03" w:cs="Times New Roman"/>
                <w:kern w:val="0"/>
                <w:sz w:val="21"/>
                <w:szCs w:val="21"/>
              </w:rPr>
              <w:t>μ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mol/L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2.800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1.169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6.708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Model 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UA(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categorical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&lt;420 </w:t>
            </w:r>
            <w:r>
              <w:rPr>
                <w:rFonts w:ascii="Times New Roman" w:hAnsi="Times New Roman" w:eastAsia="AdvOT8608a8d1+03" w:cs="Times New Roman"/>
                <w:kern w:val="0"/>
                <w:sz w:val="21"/>
                <w:szCs w:val="21"/>
              </w:rPr>
              <w:t>μ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mol/L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 (Reference)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≥420 </w:t>
            </w:r>
            <w:r>
              <w:rPr>
                <w:rFonts w:ascii="Times New Roman" w:hAnsi="Times New Roman" w:eastAsia="AdvOT8608a8d1+03" w:cs="Times New Roman"/>
                <w:kern w:val="0"/>
                <w:sz w:val="21"/>
                <w:szCs w:val="21"/>
              </w:rPr>
              <w:t>μ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mol/L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4.651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1.627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13.299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0.004</w:t>
            </w:r>
          </w:p>
        </w:tc>
      </w:tr>
    </w:tbl>
    <w:p>
      <w:pPr>
        <w:autoSpaceDE w:val="0"/>
        <w:autoSpaceDN w:val="0"/>
        <w:adjustRightInd w:val="0"/>
        <w:spacing w:line="240" w:lineRule="auto"/>
        <w:rPr>
          <w:rFonts w:hint="default" w:ascii="Times New Roman" w:hAnsi="Times New Roman" w:eastAsia="宋体"/>
          <w:kern w:val="0"/>
          <w:szCs w:val="21"/>
          <w:lang w:val="en-US" w:eastAsia="zh-CN"/>
        </w:rPr>
      </w:pPr>
      <w:r>
        <w:rPr>
          <w:rFonts w:hint="eastAsia" w:ascii="Times New Roman" w:hAnsi="Times New Roman"/>
          <w:kern w:val="0"/>
          <w:szCs w:val="21"/>
          <w:lang w:val="en-US" w:eastAsia="zh-CN"/>
        </w:rPr>
        <w:t xml:space="preserve">Note: </w:t>
      </w:r>
      <w:r>
        <w:rPr>
          <w:rFonts w:ascii="Times New Roman" w:hAnsi="Times New Roman"/>
          <w:kern w:val="0"/>
          <w:szCs w:val="21"/>
        </w:rPr>
        <w:t>UA, uric acid; CI, con</w:t>
      </w:r>
      <w:r>
        <w:rPr>
          <w:rFonts w:ascii="Times New Roman" w:hAnsi="Times New Roman" w:eastAsia="AdvOTfba95258+fb"/>
          <w:kern w:val="0"/>
          <w:szCs w:val="21"/>
        </w:rPr>
        <w:t>fi</w:t>
      </w:r>
      <w:r>
        <w:rPr>
          <w:rFonts w:ascii="Times New Roman" w:hAnsi="Times New Roman"/>
          <w:kern w:val="0"/>
          <w:szCs w:val="21"/>
        </w:rPr>
        <w:t>dence interval; OR, odds ratio.</w:t>
      </w:r>
      <w:r>
        <w:rPr>
          <w:rFonts w:hint="eastAsia" w:ascii="Times New Roman" w:hAnsi="Times New Roman"/>
          <w:kern w:val="0"/>
          <w:szCs w:val="21"/>
          <w:lang w:val="en-US" w:eastAsia="zh-CN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OT8608a8d1+03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OTfba95258+fb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B763603"/>
    <w:rsid w:val="24AC35F9"/>
    <w:rsid w:val="28B6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2022-11-18T09:53:00Z</dcterms:created>
  <dc:creator>admin</dc:creator>
  <cp:lastModifiedBy>姜俊</cp:lastModifiedBy>
  <dcterms:modified xsi:type="dcterms:W3CDTF">2023-07-27T15:24:50Z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5153D03CE99D457CB8363D2EBB04C785</vt:lpwstr>
  </property>
</Properties>
</file>