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宋体" w:cs="Times New Roman"/>
          <w:b/>
          <w:bCs/>
          <w:sz w:val="15"/>
          <w:szCs w:val="15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i w:val="0"/>
          <w:iCs w:val="0"/>
          <w:color w:val="auto"/>
          <w:sz w:val="16"/>
          <w:szCs w:val="16"/>
          <w:highlight w:val="none"/>
          <w:lang w:val="en-US" w:eastAsia="zh-CN"/>
        </w:rPr>
        <w:t xml:space="preserve">Supplementary Table S4 | </w:t>
      </w:r>
      <w:r>
        <w:rPr>
          <w:rFonts w:hint="default" w:ascii="Times New Roman" w:hAnsi="Times New Roman" w:eastAsia="宋体" w:cs="Times New Roman"/>
          <w:sz w:val="15"/>
          <w:szCs w:val="15"/>
        </w:rPr>
        <w:t>Association between WWI and eG</w:t>
      </w:r>
      <w:bookmarkStart w:id="0" w:name="_GoBack"/>
      <w:bookmarkEnd w:id="0"/>
      <w:r>
        <w:rPr>
          <w:rFonts w:hint="default" w:ascii="Times New Roman" w:hAnsi="Times New Roman" w:eastAsia="宋体" w:cs="Times New Roman"/>
          <w:sz w:val="15"/>
          <w:szCs w:val="15"/>
        </w:rPr>
        <w:t>FR.</w:t>
      </w:r>
    </w:p>
    <w:tbl>
      <w:tblPr>
        <w:tblStyle w:val="2"/>
        <w:tblpPr w:leftFromText="180" w:rightFromText="180" w:vertAnchor="text" w:horzAnchor="page" w:tblpX="1906" w:tblpY="546"/>
        <w:tblOverlap w:val="never"/>
        <w:tblW w:w="9019" w:type="dxa"/>
        <w:tblInd w:w="0" w:type="dxa"/>
        <w:tblBorders>
          <w:top w:val="single" w:color="000000" w:themeColor="text1" w:sz="8" w:space="0"/>
          <w:left w:val="single" w:color="FFFFFF" w:themeColor="background1" w:sz="4" w:space="0"/>
          <w:bottom w:val="single" w:color="000000" w:themeColor="text1" w:sz="8" w:space="0"/>
          <w:right w:val="single" w:color="FFFFFF" w:themeColor="background1" w:sz="4" w:space="0"/>
          <w:insideH w:val="single" w:color="FFFFFF" w:themeColor="background1" w:sz="4" w:space="0"/>
          <w:insideV w:val="single" w:color="FFFFFF" w:themeColor="background1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7"/>
        <w:gridCol w:w="908"/>
        <w:gridCol w:w="1619"/>
        <w:gridCol w:w="1252"/>
        <w:gridCol w:w="751"/>
        <w:gridCol w:w="1164"/>
        <w:gridCol w:w="709"/>
        <w:gridCol w:w="1299"/>
        <w:gridCol w:w="700"/>
      </w:tblGrid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17" w:type="dxa"/>
            <w:tcBorders>
              <w:bottom w:val="single" w:color="FFFFFF" w:themeColor="background1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1"/>
                <w:szCs w:val="1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1"/>
                <w:szCs w:val="11"/>
                <w:u w:val="none"/>
                <w:lang w:val="en-US" w:eastAsia="zh-CN"/>
              </w:rPr>
              <w:t>Index</w:t>
            </w:r>
          </w:p>
        </w:tc>
        <w:tc>
          <w:tcPr>
            <w:tcW w:w="908" w:type="dxa"/>
            <w:tcBorders>
              <w:bottom w:val="single" w:color="FFFFFF" w:themeColor="background1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1"/>
                <w:szCs w:val="1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1"/>
                <w:szCs w:val="11"/>
                <w:u w:val="none"/>
                <w:lang w:val="en-US" w:eastAsia="zh-CN"/>
              </w:rPr>
              <w:t>Outcome</w:t>
            </w:r>
          </w:p>
        </w:tc>
        <w:tc>
          <w:tcPr>
            <w:tcW w:w="1619" w:type="dxa"/>
            <w:tcBorders>
              <w:bottom w:val="single" w:color="FFFFFF" w:themeColor="background1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1"/>
                <w:szCs w:val="1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1"/>
                <w:szCs w:val="11"/>
                <w:u w:val="none"/>
                <w:lang w:val="en-US" w:eastAsia="zh-CN"/>
              </w:rPr>
              <w:t>Continuous or categories</w:t>
            </w:r>
          </w:p>
        </w:tc>
        <w:tc>
          <w:tcPr>
            <w:tcW w:w="2003" w:type="dxa"/>
            <w:gridSpan w:val="2"/>
            <w:tcBorders>
              <w:bottom w:val="single" w:color="000000" w:themeColor="text1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  <w:t>Model 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1"/>
                <w:szCs w:val="11"/>
                <w:u w:val="none"/>
                <w:vertAlign w:val="superscript"/>
                <w:lang w:val="en-US" w:eastAsia="zh-CN" w:bidi="ar"/>
              </w:rPr>
              <w:t>3</w:t>
            </w:r>
          </w:p>
        </w:tc>
        <w:tc>
          <w:tcPr>
            <w:tcW w:w="1873" w:type="dxa"/>
            <w:gridSpan w:val="2"/>
            <w:tcBorders>
              <w:bottom w:val="single" w:color="000000" w:themeColor="text1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  <w:t>Model 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1"/>
                <w:szCs w:val="11"/>
                <w:u w:val="none"/>
                <w:vertAlign w:val="superscript"/>
                <w:lang w:val="en-US" w:eastAsia="zh-CN" w:bidi="ar"/>
              </w:rPr>
              <w:t>4</w:t>
            </w:r>
            <w:r>
              <w:rPr>
                <w:rStyle w:val="5"/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1"/>
                <w:szCs w:val="11"/>
                <w:u w:val="none"/>
              </w:rPr>
              <w:t xml:space="preserve"> </w:t>
            </w:r>
          </w:p>
        </w:tc>
        <w:tc>
          <w:tcPr>
            <w:tcW w:w="1999" w:type="dxa"/>
            <w:gridSpan w:val="2"/>
            <w:tcBorders>
              <w:bottom w:val="single" w:color="000000" w:themeColor="text1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  <w:instrText xml:space="preserve"> HYPERLINK "https://www.ncbi.nlm.nih.gov/pmc/articles/PMC8987107/table/T2/?report=objectonly" \l "t2fna" 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  <w:t>Model 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1"/>
                <w:szCs w:val="11"/>
                <w:u w:val="none"/>
                <w:vertAlign w:val="superscript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17" w:type="dxa"/>
            <w:tcBorders>
              <w:top w:val="single" w:color="FFFFFF" w:themeColor="background1" w:sz="4" w:space="0"/>
              <w:bottom w:val="single" w:color="000000" w:themeColor="text1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908" w:type="dxa"/>
            <w:tcBorders>
              <w:top w:val="single" w:color="FFFFFF" w:themeColor="background1" w:sz="4" w:space="0"/>
              <w:bottom w:val="single" w:color="000000" w:themeColor="text1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619" w:type="dxa"/>
            <w:tcBorders>
              <w:top w:val="single" w:color="FFFFFF" w:themeColor="background1" w:sz="4" w:space="0"/>
              <w:bottom w:val="single" w:color="000000" w:themeColor="text1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52" w:type="dxa"/>
            <w:tcBorders>
              <w:top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β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vertAlign w:val="superscript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 xml:space="preserve"> (95%CI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)</w:t>
            </w:r>
          </w:p>
        </w:tc>
        <w:tc>
          <w:tcPr>
            <w:tcW w:w="751" w:type="dxa"/>
            <w:tcBorders>
              <w:top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 xml:space="preserve">P- </w:t>
            </w:r>
            <w:r>
              <w:rPr>
                <w:rStyle w:val="6"/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"/>
              </w:rPr>
              <w:t>value</w:t>
            </w:r>
          </w:p>
        </w:tc>
        <w:tc>
          <w:tcPr>
            <w:tcW w:w="1164" w:type="dxa"/>
            <w:tcBorders>
              <w:top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β</w:t>
            </w:r>
            <w:r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  <w:t xml:space="preserve"> (95%CI)</w:t>
            </w:r>
          </w:p>
        </w:tc>
        <w:tc>
          <w:tcPr>
            <w:tcW w:w="709" w:type="dxa"/>
            <w:tcBorders>
              <w:top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 xml:space="preserve">P- </w:t>
            </w:r>
            <w:r>
              <w:rPr>
                <w:rStyle w:val="6"/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"/>
              </w:rPr>
              <w:t>value</w:t>
            </w:r>
          </w:p>
        </w:tc>
        <w:tc>
          <w:tcPr>
            <w:tcW w:w="1299" w:type="dxa"/>
            <w:tcBorders>
              <w:top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β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 xml:space="preserve"> (95%CI)</w:t>
            </w:r>
          </w:p>
        </w:tc>
        <w:tc>
          <w:tcPr>
            <w:tcW w:w="700" w:type="dxa"/>
            <w:tcBorders>
              <w:top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 xml:space="preserve">P- </w:t>
            </w:r>
            <w:r>
              <w:rPr>
                <w:rStyle w:val="6"/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"/>
              </w:rPr>
              <w:t>value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17" w:type="dxa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right="0"/>
              <w:jc w:val="left"/>
              <w:textAlignment w:val="center"/>
              <w:rPr>
                <w:rStyle w:val="4"/>
                <w:rFonts w:hint="default" w:ascii="Times New Roman" w:hAnsi="Times New Roman" w:eastAsia="Cambria" w:cs="Times New Roman"/>
                <w:b w:val="0"/>
                <w:bCs w:val="0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1"/>
                <w:szCs w:val="11"/>
                <w:u w:val="none"/>
                <w:lang w:val="en-US" w:eastAsia="zh-CN"/>
              </w:rPr>
              <w:t>WWI</w:t>
            </w:r>
          </w:p>
        </w:tc>
        <w:tc>
          <w:tcPr>
            <w:tcW w:w="908" w:type="dxa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>CKD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12121"/>
                <w:kern w:val="0"/>
                <w:sz w:val="11"/>
                <w:szCs w:val="11"/>
                <w:u w:val="none"/>
                <w:vertAlign w:val="superscript"/>
                <w:lang w:val="en-US" w:eastAsia="zh-CN" w:bidi="ar"/>
              </w:rPr>
              <w:t>6</w:t>
            </w:r>
          </w:p>
        </w:tc>
        <w:tc>
          <w:tcPr>
            <w:tcW w:w="1619" w:type="dxa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>WWI as continuous variable</w:t>
            </w:r>
          </w:p>
        </w:tc>
        <w:tc>
          <w:tcPr>
            <w:tcW w:w="1252" w:type="dxa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0.37 (0.07, 0.67)</w:t>
            </w:r>
          </w:p>
        </w:tc>
        <w:tc>
          <w:tcPr>
            <w:tcW w:w="751" w:type="dxa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0.0158</w:t>
            </w:r>
          </w:p>
        </w:tc>
        <w:tc>
          <w:tcPr>
            <w:tcW w:w="1164" w:type="dxa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0.03 (-0.23, 0.29)</w:t>
            </w:r>
          </w:p>
        </w:tc>
        <w:tc>
          <w:tcPr>
            <w:tcW w:w="709" w:type="dxa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0.8414</w:t>
            </w:r>
          </w:p>
        </w:tc>
        <w:tc>
          <w:tcPr>
            <w:tcW w:w="1299" w:type="dxa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4.61 (3.04, 6.19)</w:t>
            </w:r>
          </w:p>
        </w:tc>
        <w:tc>
          <w:tcPr>
            <w:tcW w:w="700" w:type="dxa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textAlignment w:val="center"/>
              <w:rPr>
                <w:rStyle w:val="4"/>
                <w:rFonts w:hint="default" w:ascii="Times New Roman" w:hAnsi="Times New Roman" w:eastAsia="Cambri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1"/>
                <w:szCs w:val="11"/>
                <w:shd w:val="cle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8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</w:pPr>
          </w:p>
        </w:tc>
        <w:tc>
          <w:tcPr>
            <w:tcW w:w="1619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  <w:t>Tertile 1</w:t>
            </w:r>
          </w:p>
        </w:tc>
        <w:tc>
          <w:tcPr>
            <w:tcW w:w="1252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  <w:t>Reference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</w:pP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  <w:t>Reference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</w:pP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  <w:t>Reference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 w:firstLine="11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908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</w:pPr>
          </w:p>
        </w:tc>
        <w:tc>
          <w:tcPr>
            <w:tcW w:w="1619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  <w:t xml:space="preserve">Tertile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zh-CN"/>
              </w:rPr>
              <w:t>2</w:t>
            </w:r>
          </w:p>
        </w:tc>
        <w:tc>
          <w:tcPr>
            <w:tcW w:w="1252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1.77 (1.09, 2.46)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0.72 (0.13, 1.31)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0.0173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7.08 (3.40, 10.76)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0.0002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 w:firstLine="11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908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</w:pPr>
          </w:p>
        </w:tc>
        <w:tc>
          <w:tcPr>
            <w:tcW w:w="1619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  <w:t xml:space="preserve">Tertile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zh-CN"/>
              </w:rPr>
              <w:t>3</w:t>
            </w:r>
          </w:p>
        </w:tc>
        <w:tc>
          <w:tcPr>
            <w:tcW w:w="1252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-0.34 (-1.02, 0.35)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0.3372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-1.21 (-1.80, -0.62)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10.24 (6.59, 13.88)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 w:firstLine="11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908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619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 xml:space="preserve"> for trend</w:t>
            </w:r>
          </w:p>
        </w:tc>
        <w:tc>
          <w:tcPr>
            <w:tcW w:w="1252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0.3491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</w:tr>
    </w:tbl>
    <w:p>
      <w:pPr>
        <w:rPr>
          <w:rFonts w:hint="default" w:ascii="Times New Roman" w:hAnsi="Times New Roman" w:eastAsia="宋体" w:cs="Times New Roman"/>
          <w:b/>
          <w:bCs/>
          <w:sz w:val="15"/>
          <w:szCs w:val="15"/>
          <w:lang w:val="en-US" w:eastAsia="zh-CN"/>
        </w:rPr>
      </w:pPr>
    </w:p>
    <w:p>
      <w:pPr>
        <w:rPr>
          <w:rFonts w:hint="default" w:ascii="Times New Roman" w:hAnsi="Times New Roman" w:eastAsia="宋体" w:cs="Times New Roman"/>
          <w:b/>
          <w:bCs/>
          <w:sz w:val="15"/>
          <w:szCs w:val="15"/>
          <w:lang w:val="en-US" w:eastAsia="zh-CN"/>
        </w:rPr>
      </w:pPr>
    </w:p>
    <w:p>
      <w:pP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vertAlign w:val="superscript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  <w:t>In sensitivity analysis, WWI w</w:t>
      </w:r>
      <w:r>
        <w:rPr>
          <w:rFonts w:hint="eastAsia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  <w:t>as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  <w:t xml:space="preserve"> converted from </w:t>
      </w:r>
      <w:r>
        <w:rPr>
          <w:rFonts w:hint="eastAsia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  <w:t xml:space="preserve">a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  <w:t xml:space="preserve">continuous variable to </w:t>
      </w:r>
      <w:r>
        <w:rPr>
          <w:rFonts w:hint="eastAsia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  <w:t xml:space="preserve">a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  <w:t>categorical variable (tertiles).</w:t>
      </w:r>
    </w:p>
    <w:p>
      <w:pP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vertAlign w:val="superscript"/>
          <w:lang w:val="en-US" w:eastAsia="zh-CN"/>
        </w:rPr>
        <w:t>1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  <w:t>β: effect size.</w:t>
      </w:r>
    </w:p>
    <w:p>
      <w:pP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vertAlign w:val="superscript"/>
          <w:lang w:val="en-US" w:eastAsia="zh-CN"/>
        </w:rPr>
        <w:t>2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  <w:t>95% CI: 95% confidence interval.</w:t>
      </w:r>
    </w:p>
    <w:p>
      <w:pP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15"/>
          <w:szCs w:val="15"/>
          <w:u w:val="none"/>
          <w:vertAlign w:val="superscript"/>
          <w:lang w:val="en-US" w:eastAsia="zh-CN" w:bidi="ar"/>
        </w:rPr>
        <w:t>3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  <w:t>M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  <w:t xml:space="preserve">odel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  <w:t>1: N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  <w:t>o covariates were adjusted.</w:t>
      </w:r>
    </w:p>
    <w:p>
      <w:pP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15"/>
          <w:szCs w:val="15"/>
          <w:u w:val="none"/>
          <w:vertAlign w:val="superscript"/>
          <w:lang w:val="en-US" w:eastAsia="zh-CN" w:bidi="ar"/>
        </w:rPr>
        <w:t>4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15"/>
          <w:szCs w:val="15"/>
          <w:u w:val="none"/>
          <w:lang w:val="en-US" w:eastAsia="zh-CN" w:bidi="ar"/>
        </w:rPr>
        <w:t>M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15"/>
          <w:szCs w:val="15"/>
          <w:u w:val="none"/>
          <w:lang w:val="en-US" w:eastAsia="zh-CN" w:bidi="ar"/>
        </w:rPr>
        <w:t xml:space="preserve">odel 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15"/>
          <w:szCs w:val="15"/>
          <w:u w:val="none"/>
          <w:lang w:val="en-US" w:eastAsia="zh-CN" w:bidi="ar"/>
        </w:rPr>
        <w:t xml:space="preserve">2: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  <w:t xml:space="preserve">Adjusted for age, </w:t>
      </w:r>
      <w:r>
        <w:rPr>
          <w:rFonts w:hint="eastAsia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  <w:t>sex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  <w:t>, and race. </w:t>
      </w:r>
    </w:p>
    <w:p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15"/>
          <w:szCs w:val="15"/>
          <w:u w:val="none"/>
          <w:vertAlign w:val="superscript"/>
          <w:lang w:val="en-US" w:eastAsia="zh-CN" w:bidi="ar"/>
        </w:rPr>
        <w:t>5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15"/>
          <w:szCs w:val="15"/>
          <w:u w:val="none"/>
          <w:lang w:val="en-US" w:eastAsia="zh-CN" w:bidi="ar"/>
        </w:rPr>
        <w:t>M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15"/>
          <w:szCs w:val="15"/>
          <w:u w:val="none"/>
          <w:lang w:val="en-US" w:eastAsia="zh-CN" w:bidi="ar"/>
        </w:rPr>
        <w:t xml:space="preserve">odel </w:t>
      </w:r>
      <w:r>
        <w:rPr>
          <w:rFonts w:hint="eastAsia" w:eastAsia="宋体" w:cs="Times New Roman"/>
          <w:i w:val="0"/>
          <w:iCs w:val="0"/>
          <w:color w:val="auto"/>
          <w:kern w:val="0"/>
          <w:sz w:val="15"/>
          <w:szCs w:val="15"/>
          <w:u w:val="none"/>
          <w:lang w:val="en-US" w:eastAsia="zh-CN" w:bidi="ar"/>
        </w:rPr>
        <w:t>4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15"/>
          <w:szCs w:val="15"/>
          <w:u w:val="none"/>
          <w:lang w:val="en-US" w:eastAsia="zh-CN" w:bidi="ar"/>
        </w:rPr>
        <w:t xml:space="preserve">: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sz w:val="15"/>
          <w:szCs w:val="15"/>
          <w:u w:val="none"/>
          <w:lang w:val="en-US" w:eastAsia="zh-CN" w:bidi="ar"/>
        </w:rPr>
        <w:t xml:space="preserve">Adjusted for </w:t>
      </w:r>
      <w:r>
        <w:rPr>
          <w:rFonts w:hint="eastAsia" w:eastAsia="宋体" w:cs="Times New Roman"/>
          <w:color w:val="auto"/>
          <w:sz w:val="15"/>
          <w:szCs w:val="15"/>
          <w:u w:val="none"/>
          <w:shd w:val="clear"/>
          <w:lang w:val="en-US" w:eastAsia="zh-CN" w:bidi="ar"/>
        </w:rPr>
        <w:t>albuminuria, sex</w:t>
      </w:r>
      <w:r>
        <w:rPr>
          <w:rFonts w:hint="eastAsia" w:ascii="Times New Roman" w:hAnsi="Times New Roman" w:eastAsia="宋体" w:cs="Times New Roman"/>
          <w:color w:val="auto"/>
          <w:sz w:val="15"/>
          <w:szCs w:val="15"/>
          <w:u w:val="none"/>
          <w:shd w:val="clear"/>
          <w:lang w:val="en-US" w:eastAsia="zh-CN" w:bidi="ar"/>
        </w:rPr>
        <w:t>, age, race, education level, smoking</w:t>
      </w:r>
      <w:r>
        <w:rPr>
          <w:rFonts w:hint="eastAsia" w:eastAsia="宋体" w:cs="Times New Roman"/>
          <w:color w:val="auto"/>
          <w:sz w:val="15"/>
          <w:szCs w:val="15"/>
          <w:u w:val="none"/>
          <w:shd w:val="clear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15"/>
          <w:szCs w:val="15"/>
          <w:u w:val="none"/>
          <w:lang w:val="en-US" w:eastAsia="zh-CN" w:bidi="ar"/>
        </w:rPr>
        <w:t>status</w:t>
      </w:r>
      <w:r>
        <w:rPr>
          <w:rFonts w:hint="eastAsia" w:ascii="Times New Roman" w:hAnsi="Times New Roman" w:eastAsia="宋体" w:cs="Times New Roman"/>
          <w:color w:val="auto"/>
          <w:sz w:val="15"/>
          <w:szCs w:val="15"/>
          <w:u w:val="none"/>
          <w:shd w:val="clear"/>
          <w:lang w:val="en-US" w:eastAsia="zh-CN" w:bidi="ar"/>
        </w:rPr>
        <w:t>, serum uric acid, TC, LDL-C, HDL-C, triglycerides, serum total calcium, hypertension, and diabetes status</w:t>
      </w:r>
      <w:r>
        <w:rPr>
          <w:rFonts w:hint="eastAsia" w:eastAsia="宋体" w:cs="Times New Roman"/>
          <w:b w:val="0"/>
          <w:bCs w:val="0"/>
          <w:i w:val="0"/>
          <w:iCs w:val="0"/>
          <w:color w:val="auto"/>
          <w:sz w:val="15"/>
          <w:szCs w:val="15"/>
          <w:u w:val="none"/>
          <w:lang w:val="en-US" w:eastAsia="zh-CN" w:bidi="ar"/>
        </w:rPr>
        <w:t>.</w:t>
      </w:r>
    </w:p>
    <w:p/>
    <w:p/>
    <w:p/>
    <w:p/>
    <w:p/>
    <w:p/>
    <w:p/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2ZGE5NmMyOTBiZWViODUzNTQ2NGIyNjhmNDA5N2EifQ=="/>
  </w:docVars>
  <w:rsids>
    <w:rsidRoot w:val="2B7867B6"/>
    <w:rsid w:val="0204742C"/>
    <w:rsid w:val="04180F6C"/>
    <w:rsid w:val="09D1275A"/>
    <w:rsid w:val="155838BF"/>
    <w:rsid w:val="1B0F0CBE"/>
    <w:rsid w:val="1CF30371"/>
    <w:rsid w:val="22B3326F"/>
    <w:rsid w:val="2B62209A"/>
    <w:rsid w:val="2B7867B6"/>
    <w:rsid w:val="2C1C3440"/>
    <w:rsid w:val="316136A3"/>
    <w:rsid w:val="33DB341C"/>
    <w:rsid w:val="403A1C8F"/>
    <w:rsid w:val="412C4FC7"/>
    <w:rsid w:val="467F21AA"/>
    <w:rsid w:val="49F266E1"/>
    <w:rsid w:val="4CFD02CC"/>
    <w:rsid w:val="4D0D1DF7"/>
    <w:rsid w:val="4E8D3293"/>
    <w:rsid w:val="53DE3845"/>
    <w:rsid w:val="581D1822"/>
    <w:rsid w:val="59845264"/>
    <w:rsid w:val="67114C48"/>
    <w:rsid w:val="69236EB5"/>
    <w:rsid w:val="6B7610DD"/>
    <w:rsid w:val="6DF5784D"/>
    <w:rsid w:val="6EF8445B"/>
    <w:rsid w:val="73B02BDC"/>
    <w:rsid w:val="779D56F9"/>
    <w:rsid w:val="7A815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22"/>
    <w:rPr>
      <w:rFonts w:ascii="Times New Roman" w:hAnsi="Times New Roman"/>
      <w:b/>
      <w:bCs/>
    </w:rPr>
  </w:style>
  <w:style w:type="character" w:styleId="5">
    <w:name w:val="Hyperlink"/>
    <w:basedOn w:val="3"/>
    <w:unhideWhenUsed/>
    <w:qFormat/>
    <w:uiPriority w:val="99"/>
    <w:rPr>
      <w:color w:val="0000FF"/>
      <w:u w:val="single"/>
    </w:rPr>
  </w:style>
  <w:style w:type="character" w:customStyle="1" w:styleId="6">
    <w:name w:val="font01"/>
    <w:basedOn w:val="3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7">
    <w:name w:val="font41"/>
    <w:basedOn w:val="3"/>
    <w:qFormat/>
    <w:uiPriority w:val="0"/>
    <w:rPr>
      <w:rFonts w:hint="default" w:ascii="Times New Roman" w:hAnsi="Times New Roman" w:cs="Times New Roman"/>
      <w:i/>
      <w:iCs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2023-07-29T09:58:00Z</dcterms:created>
  <dc:creator>wanpily</dc:creator>
  <cp:lastModifiedBy>wanpily</cp:lastModifiedBy>
  <dcterms:modified xsi:type="dcterms:W3CDTF">2023-08-20T13:51:56Z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E63F5B0342A84BADAC6F98D652534AF0_13</vt:lpwstr>
  </property>
</Properties>
</file>