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>Supplementary Table S</w:t>
      </w:r>
      <w:r>
        <w:rPr>
          <w:rFonts w:hint="eastAsia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| </w:t>
      </w:r>
      <w:r>
        <w:rPr>
          <w:rFonts w:hint="default" w:ascii="Times New Roman" w:hAnsi="Times New Roman" w:eastAsia="宋体" w:cs="Times New Roman"/>
          <w:sz w:val="15"/>
          <w:szCs w:val="15"/>
        </w:rPr>
        <w:t>Threshold effect analysis of WWI on eGFR using a two-piecewise linear regression model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5"/>
          <w:szCs w:val="15"/>
        </w:rPr>
        <w:t xml:space="preserve">in Model 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1 and </w:t>
      </w:r>
      <w:r>
        <w:rPr>
          <w:rFonts w:hint="default" w:ascii="Times New Roman" w:hAnsi="Times New Roman" w:eastAsia="宋体" w:cs="Times New Roman"/>
          <w:sz w:val="15"/>
          <w:szCs w:val="15"/>
        </w:rPr>
        <w:t>Model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4</w:t>
      </w:r>
      <w:r>
        <w:rPr>
          <w:rFonts w:hint="default" w:ascii="Times New Roman" w:hAnsi="Times New Roman" w:eastAsia="宋体" w:cs="Times New Roman"/>
          <w:sz w:val="15"/>
          <w:szCs w:val="15"/>
        </w:rPr>
        <w:t>.</w:t>
      </w:r>
    </w:p>
    <w:tbl>
      <w:tblPr>
        <w:tblStyle w:val="2"/>
        <w:tblpPr w:leftFromText="180" w:rightFromText="180" w:vertAnchor="text" w:horzAnchor="page" w:tblpX="2009" w:tblpY="279"/>
        <w:tblOverlap w:val="never"/>
        <w:tblW w:w="0" w:type="auto"/>
        <w:tblInd w:w="0" w:type="dxa"/>
        <w:tblBorders>
          <w:top w:val="single" w:color="000000" w:themeColor="text1" w:sz="8" w:space="0"/>
          <w:left w:val="single" w:color="FFFFFF" w:themeColor="background1" w:sz="4" w:space="0"/>
          <w:bottom w:val="single" w:color="000000" w:themeColor="text1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6"/>
        <w:gridCol w:w="1521"/>
        <w:gridCol w:w="645"/>
        <w:gridCol w:w="1221"/>
        <w:gridCol w:w="646"/>
      </w:tblGrid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2166" w:type="dxa"/>
            <w:gridSpan w:val="2"/>
            <w:tcBorders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1867" w:type="dxa"/>
            <w:gridSpan w:val="2"/>
            <w:tcBorders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WWI</w:t>
            </w:r>
          </w:p>
        </w:tc>
        <w:tc>
          <w:tcPr>
            <w:tcW w:w="1521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)</w:t>
            </w:r>
          </w:p>
        </w:tc>
        <w:tc>
          <w:tcPr>
            <w:tcW w:w="645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221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646" w:type="dxa"/>
            <w:tcBorders>
              <w:top w:val="single" w:color="000000" w:themeColor="text1" w:sz="4" w:space="0"/>
              <w:left w:val="single" w:color="FFFFFF" w:themeColor="background1" w:sz="4" w:space="0"/>
              <w:bottom w:val="single" w:color="000000" w:themeColor="text1" w:sz="4" w:space="0"/>
              <w:right w:val="single" w:color="FFFFFF" w:themeColor="background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  <w:t>Fitting by standard linear model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0.37 (0.07, 0.67)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0.0158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4.61 (3.04, 6.19)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  <w:t>Fitting by two-piecewise linear model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Breakpoint (K)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9.9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10.62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OR1(&lt; K 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12.24 (10.79, 13.70)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10.40 (6.29, 14.52)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OR2(&gt; K )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-1.55 (-1.93, -1.17)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2.12 (-0.14, 4.39)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0.0663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OR2 / OR1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-13.79 (-15.45, -12.14)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-8.28 (-13.71, -2.85)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0.0029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</w:trPr>
        <w:tc>
          <w:tcPr>
            <w:tcW w:w="251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Logarithmic likelihood ratio test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-value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2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0.003</w:t>
            </w:r>
          </w:p>
        </w:tc>
        <w:tc>
          <w:tcPr>
            <w:tcW w:w="64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auto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</w:rPr>
      </w:pPr>
    </w:p>
    <w:p>
      <w:pP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  <w:t>β: effect size.</w:t>
      </w:r>
    </w:p>
    <w:p>
      <w:pP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Cambria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15"/>
          <w:szCs w:val="15"/>
          <w:highlight w:val="none"/>
          <w:shd w:val="clear" w:fill="FFFFFF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Cambria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15"/>
          <w:szCs w:val="15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95% CI: 95% confidence interval.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vertAlign w:val="superscript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odel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  <w:t>1: 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  <w:t>o covariates were adjusted.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15"/>
          <w:szCs w:val="15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vertAlign w:val="superscript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odel </w:t>
      </w:r>
      <w:r>
        <w:rPr>
          <w:rFonts w:hint="eastAsia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000000" w:themeColor="text1"/>
          <w:kern w:val="0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Adjusted for </w:t>
      </w:r>
      <w:r>
        <w:rPr>
          <w:rFonts w:hint="eastAsia" w:eastAsia="宋体" w:cs="Times New Roman"/>
          <w:color w:val="000000" w:themeColor="text1"/>
          <w:sz w:val="15"/>
          <w:szCs w:val="15"/>
          <w:u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albuminuria, sex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u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, age, race, education level, smoking</w:t>
      </w:r>
      <w:r>
        <w:rPr>
          <w:rFonts w:hint="eastAsia" w:eastAsia="宋体" w:cs="Times New Roman"/>
          <w:color w:val="000000" w:themeColor="text1"/>
          <w:sz w:val="15"/>
          <w:szCs w:val="15"/>
          <w:u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status</w:t>
      </w:r>
      <w:r>
        <w:rPr>
          <w:rFonts w:hint="eastAsia" w:ascii="Times New Roman" w:hAnsi="Times New Roman" w:eastAsia="宋体" w:cs="Times New Roman"/>
          <w:color w:val="000000" w:themeColor="text1"/>
          <w:sz w:val="15"/>
          <w:szCs w:val="15"/>
          <w:u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, serum uric acid, TC, LDL-C, HDL-C, triglycerides, serum total calcium, hypertension, and diabetes status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sz w:val="15"/>
          <w:szCs w:val="15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13AB3997"/>
    <w:rsid w:val="07B2389F"/>
    <w:rsid w:val="09E27CC3"/>
    <w:rsid w:val="0B626F71"/>
    <w:rsid w:val="0E8B5F1A"/>
    <w:rsid w:val="1279575E"/>
    <w:rsid w:val="13AB3997"/>
    <w:rsid w:val="15B929DC"/>
    <w:rsid w:val="18F75300"/>
    <w:rsid w:val="19CD414F"/>
    <w:rsid w:val="1E4A3FC0"/>
    <w:rsid w:val="28F60FCD"/>
    <w:rsid w:val="30BA3228"/>
    <w:rsid w:val="3AF13B40"/>
    <w:rsid w:val="549E769E"/>
    <w:rsid w:val="553539DB"/>
    <w:rsid w:val="56F444EE"/>
    <w:rsid w:val="5FD17AC2"/>
    <w:rsid w:val="63110684"/>
    <w:rsid w:val="65E8428D"/>
    <w:rsid w:val="69F66D05"/>
    <w:rsid w:val="6D3F509F"/>
    <w:rsid w:val="71D376CA"/>
    <w:rsid w:val="73BB6668"/>
    <w:rsid w:val="7AC7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Times New Roman" w:hAnsi="Times New Roman"/>
      <w:b/>
      <w:bCs/>
    </w:rPr>
  </w:style>
  <w:style w:type="character" w:customStyle="1" w:styleId="5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6">
    <w:name w:val="font4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6"/>
      <w:szCs w:val="16"/>
      <w:u w:val="none"/>
    </w:rPr>
  </w:style>
  <w:style w:type="character" w:customStyle="1" w:styleId="7">
    <w:name w:val="font11"/>
    <w:basedOn w:val="3"/>
    <w:qFormat/>
    <w:uiPriority w:val="0"/>
    <w:rPr>
      <w:rFonts w:hint="default" w:ascii="Times New Roman" w:hAnsi="Times New Roman" w:cs="Times New Roman"/>
      <w:color w:val="000000"/>
      <w:sz w:val="10"/>
      <w:szCs w:val="10"/>
      <w:u w:val="none"/>
    </w:rPr>
  </w:style>
  <w:style w:type="character" w:customStyle="1" w:styleId="8">
    <w:name w:val="font31"/>
    <w:basedOn w:val="3"/>
    <w:qFormat/>
    <w:uiPriority w:val="0"/>
    <w:rPr>
      <w:rFonts w:hint="default" w:ascii="Times New Roman" w:hAnsi="Times New Roman" w:cs="Times New Roman"/>
      <w:color w:val="212121"/>
      <w:sz w:val="10"/>
      <w:szCs w:val="10"/>
      <w:u w:val="none"/>
    </w:rPr>
  </w:style>
  <w:style w:type="character" w:customStyle="1" w:styleId="9">
    <w:name w:val="font61"/>
    <w:basedOn w:val="3"/>
    <w:qFormat/>
    <w:uiPriority w:val="0"/>
    <w:rPr>
      <w:rFonts w:hint="default" w:ascii="Times New Roman" w:hAnsi="Times New Roman" w:cs="Times New Roman"/>
      <w:color w:val="000000"/>
      <w:sz w:val="10"/>
      <w:szCs w:val="10"/>
      <w:u w:val="none"/>
      <w:vertAlign w:val="superscript"/>
    </w:rPr>
  </w:style>
  <w:style w:type="character" w:customStyle="1" w:styleId="10">
    <w:name w:val="font5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10"/>
      <w:szCs w:val="10"/>
      <w:u w:val="none"/>
    </w:rPr>
  </w:style>
  <w:style w:type="character" w:customStyle="1" w:styleId="11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10"/>
      <w:szCs w:val="1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2023-07-29T09:02:00Z</dcterms:created>
  <dc:creator>wanpily</dc:creator>
  <cp:lastModifiedBy>wanpily</cp:lastModifiedBy>
  <dcterms:modified xsi:type="dcterms:W3CDTF">2023-08-20T13:52:09Z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03DCA7348764425BB3B690A536F4555D_13</vt:lpwstr>
  </property>
</Properties>
</file>