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宋体" w:cs="Times New Roman"/>
          <w:sz w:val="15"/>
          <w:szCs w:val="15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  <w:t xml:space="preserve">Supplementary Table </w:t>
      </w:r>
      <w:r>
        <w:rPr>
          <w:rFonts w:hint="eastAsia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  <w:t>S7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 | </w:t>
      </w:r>
      <w:r>
        <w:rPr>
          <w:rFonts w:hint="default" w:ascii="Times New Roman" w:hAnsi="Times New Roman" w:eastAsia="宋体" w:cs="Times New Roman"/>
          <w:sz w:val="15"/>
          <w:szCs w:val="15"/>
        </w:rPr>
        <w:t>Threshold effect analysis of WWI on eGFR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15"/>
          <w:szCs w:val="15"/>
          <w:lang w:val="en-US" w:eastAsia="zh-CN"/>
        </w:rPr>
        <w:t>(EKFC)</w:t>
      </w:r>
      <w:r>
        <w:rPr>
          <w:rFonts w:hint="default" w:ascii="Times New Roman" w:hAnsi="Times New Roman" w:eastAsia="宋体" w:cs="Times New Roman"/>
          <w:sz w:val="15"/>
          <w:szCs w:val="15"/>
        </w:rPr>
        <w:t xml:space="preserve"> using a two-piecewise linear regression model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15"/>
          <w:szCs w:val="15"/>
        </w:rPr>
        <w:t xml:space="preserve">in Model 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1 and </w:t>
      </w:r>
      <w:r>
        <w:rPr>
          <w:rFonts w:hint="default" w:ascii="Times New Roman" w:hAnsi="Times New Roman" w:eastAsia="宋体" w:cs="Times New Roman"/>
          <w:sz w:val="15"/>
          <w:szCs w:val="15"/>
        </w:rPr>
        <w:t>Model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 4</w:t>
      </w:r>
      <w:r>
        <w:rPr>
          <w:rFonts w:hint="default" w:ascii="Times New Roman" w:hAnsi="Times New Roman" w:eastAsia="宋体" w:cs="Times New Roman"/>
          <w:sz w:val="15"/>
          <w:szCs w:val="15"/>
        </w:rPr>
        <w:t>.</w:t>
      </w:r>
      <w:bookmarkStart w:id="0" w:name="_GoBack"/>
      <w:bookmarkEnd w:id="0"/>
    </w:p>
    <w:tbl>
      <w:tblPr>
        <w:tblStyle w:val="2"/>
        <w:tblpPr w:leftFromText="180" w:rightFromText="180" w:vertAnchor="page" w:horzAnchor="page" w:tblpX="2032" w:tblpY="2970"/>
        <w:tblOverlap w:val="never"/>
        <w:tblW w:w="0" w:type="auto"/>
        <w:tblInd w:w="0" w:type="dxa"/>
        <w:tblBorders>
          <w:top w:val="single" w:color="000000" w:themeColor="text1" w:sz="8" w:space="0"/>
          <w:left w:val="single" w:color="FFFFFF" w:themeColor="background1" w:sz="4" w:space="0"/>
          <w:bottom w:val="single" w:color="000000" w:themeColor="text1" w:sz="8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1521"/>
        <w:gridCol w:w="645"/>
        <w:gridCol w:w="1221"/>
        <w:gridCol w:w="646"/>
      </w:tblGrid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2166" w:type="dxa"/>
            <w:gridSpan w:val="2"/>
            <w:tcBorders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1867" w:type="dxa"/>
            <w:gridSpan w:val="2"/>
            <w:tcBorders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WWI</w:t>
            </w:r>
          </w:p>
        </w:tc>
        <w:tc>
          <w:tcPr>
            <w:tcW w:w="1521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(95%CI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)</w:t>
            </w:r>
          </w:p>
        </w:tc>
        <w:tc>
          <w:tcPr>
            <w:tcW w:w="645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5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  <w:tc>
          <w:tcPr>
            <w:tcW w:w="1221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(95%CI)</w:t>
            </w:r>
          </w:p>
        </w:tc>
        <w:tc>
          <w:tcPr>
            <w:tcW w:w="646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5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/>
              </w:rPr>
              <w:t>Fitting by standard linear model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0.04 (-0.19, 0.26)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0.7629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2.42 (1.36, 3.48)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1"/>
                <w:szCs w:val="11"/>
                <w:shd w:val="clear"/>
                <w14:textFill>
                  <w14:solidFill>
                    <w14:schemeClr w14:val="tx1"/>
                  </w14:solidFill>
                </w14:textFill>
              </w:rPr>
              <w:t>Fitting by two-piecewise linear model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Breakpoint (K)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10.02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10.62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OR1(&lt; K )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8.08 (7.13, 9.03)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&lt;0.001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6.24 (3.48, 9.00)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OR2(&gt; K )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-1.67 (-1.97, -1.37)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0.78 (-0.74, 2.30)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0.3156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OR2 / OR1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-9.75 (-10.87, -8.63)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&lt;0.001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-5.47 (-9.11, -1.82)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0.0033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Logarithmic likelihood ratio test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P</w:t>
            </w:r>
            <w:r>
              <w:rPr>
                <w:rStyle w:val="5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-value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&lt;0.001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0.003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eastAsia="宋体" w:cs="Times New Roman"/>
          <w:sz w:val="15"/>
          <w:szCs w:val="15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bidi w:val="0"/>
        <w:rPr>
          <w:rFonts w:ascii="Times New Roman" w:hAnsi="Times New Roman" w:eastAsiaTheme="minorHAnsi" w:cstheme="minorBidi"/>
          <w:sz w:val="24"/>
          <w:szCs w:val="22"/>
          <w:lang w:val="en-US" w:eastAsia="en-US" w:bidi="ar-SA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bidi w:val="0"/>
        <w:rPr>
          <w:lang w:val="en-US" w:eastAsia="en-US"/>
        </w:rPr>
      </w:pPr>
    </w:p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</w:pPr>
      <w: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β: effect size.</w:t>
      </w:r>
    </w:p>
    <w:p>
      <w:pPr>
        <w:rPr>
          <w:rFonts w:hint="default" w:ascii="Times New Roman" w:hAnsi="Times New Roman" w:eastAsia="宋体" w:cs="Times New Roman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val="en-US" w:eastAsia="zh-CN"/>
        </w:rPr>
        <w:t>95% CI: 95% confidence interval.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3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odel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1: N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o covariates were adjusted.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odel </w:t>
      </w:r>
      <w:r>
        <w:rPr>
          <w:rFonts w:hint="eastAsia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: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15"/>
          <w:szCs w:val="15"/>
          <w:u w:val="none"/>
          <w:lang w:val="en-US" w:eastAsia="zh-CN" w:bidi="ar"/>
        </w:rPr>
        <w:t xml:space="preserve">Adjusted for </w:t>
      </w:r>
      <w:r>
        <w:rPr>
          <w:rFonts w:hint="eastAsia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albuminuria, sex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, age, race, education level, smoking</w:t>
      </w:r>
      <w:r>
        <w:rPr>
          <w:rFonts w:hint="eastAsia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lang w:val="en-US" w:eastAsia="zh-CN" w:bidi="ar"/>
        </w:rPr>
        <w:t>status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, serum uric acid, TC, LDL-C, HDL-C, triglycerides, serum total calcium, hypertension, and diabetes status</w:t>
      </w:r>
      <w:r>
        <w:rPr>
          <w:rFonts w:hint="eastAsia" w:eastAsia="宋体" w:cs="Times New Roman"/>
          <w:b w:val="0"/>
          <w:bCs w:val="0"/>
          <w:i w:val="0"/>
          <w:iCs w:val="0"/>
          <w:color w:val="auto"/>
          <w:sz w:val="15"/>
          <w:szCs w:val="15"/>
          <w:u w:val="none"/>
          <w:lang w:val="en-US" w:eastAsia="zh-CN" w:bidi="ar"/>
        </w:rPr>
        <w:t>.</w:t>
      </w:r>
    </w:p>
    <w:p>
      <w:pPr>
        <w:bidi w:val="0"/>
        <w:jc w:val="left"/>
        <w:rPr>
          <w:lang w:val="en-US" w:eastAsia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ZGE5NmMyOTBiZWViODUzNTQ2NGIyNjhmNDA5N2EifQ=="/>
  </w:docVars>
  <w:rsids>
    <w:rsidRoot w:val="406E5F56"/>
    <w:rsid w:val="0D0C116E"/>
    <w:rsid w:val="2B4324C3"/>
    <w:rsid w:val="2E1B5FAC"/>
    <w:rsid w:val="3BD553B9"/>
    <w:rsid w:val="3DE12DDB"/>
    <w:rsid w:val="3ED41958"/>
    <w:rsid w:val="406E5F56"/>
    <w:rsid w:val="43963680"/>
    <w:rsid w:val="48252160"/>
    <w:rsid w:val="52554419"/>
    <w:rsid w:val="57221F02"/>
    <w:rsid w:val="6CCC616E"/>
    <w:rsid w:val="6EC84D35"/>
    <w:rsid w:val="702F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rFonts w:ascii="Times New Roman" w:hAnsi="Times New Roman"/>
      <w:b/>
      <w:bCs/>
    </w:rPr>
  </w:style>
  <w:style w:type="character" w:customStyle="1" w:styleId="5">
    <w:name w:val="font0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6">
    <w:name w:val="font41"/>
    <w:basedOn w:val="3"/>
    <w:qFormat/>
    <w:uiPriority w:val="0"/>
    <w:rPr>
      <w:rFonts w:hint="default" w:ascii="Times New Roman" w:hAnsi="Times New Roman" w:cs="Times New Roman"/>
      <w:i/>
      <w:i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2023-07-29T15:52:00Z</dcterms:created>
  <dc:creator>wanpily</dc:creator>
  <cp:lastModifiedBy>wanpily</cp:lastModifiedBy>
  <dcterms:modified xsi:type="dcterms:W3CDTF">2023-08-20T13:52:31Z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B14BA15EA3FD4E17BD14ED9F95DF3A7A_13</vt:lpwstr>
  </property>
</Properties>
</file>