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1BB389" w14:textId="77777777" w:rsidR="00BF4D05" w:rsidRDefault="00BF4D05" w:rsidP="00BF4D05">
      <w:pPr>
        <w:spacing w:line="480" w:lineRule="auto"/>
        <w:jc w:val="both"/>
        <w:rPr>
          <w:rFonts w:ascii="Arial" w:hAnsi="Arial" w:cs="Arial"/>
          <w:b/>
          <w:sz w:val="24"/>
          <w:szCs w:val="24"/>
        </w:rPr>
      </w:pPr>
      <w:r>
        <w:rPr>
          <w:rFonts w:ascii="Arial" w:hAnsi="Arial" w:cs="Arial"/>
          <w:b/>
          <w:sz w:val="24"/>
          <w:szCs w:val="24"/>
        </w:rPr>
        <w:t>SUPPLEMENTAL MATERIAL</w:t>
      </w:r>
    </w:p>
    <w:p w14:paraId="5FC3683B" w14:textId="77777777" w:rsidR="00BF4D05" w:rsidRDefault="00BF4D05" w:rsidP="00BF4D05">
      <w:pPr>
        <w:spacing w:line="480" w:lineRule="auto"/>
        <w:jc w:val="both"/>
        <w:rPr>
          <w:rFonts w:ascii="Arial" w:hAnsi="Arial" w:cs="Arial"/>
          <w:sz w:val="24"/>
          <w:szCs w:val="24"/>
        </w:rPr>
      </w:pPr>
    </w:p>
    <w:p w14:paraId="66829AFD" w14:textId="77777777" w:rsidR="00BF4D05" w:rsidRDefault="00BF4D05" w:rsidP="00BF4D05">
      <w:pPr>
        <w:spacing w:line="480" w:lineRule="auto"/>
        <w:jc w:val="both"/>
        <w:rPr>
          <w:rFonts w:ascii="Arial" w:hAnsi="Arial" w:cs="Arial"/>
          <w:sz w:val="24"/>
        </w:rPr>
      </w:pPr>
      <w:r>
        <w:rPr>
          <w:rFonts w:ascii="Arial" w:hAnsi="Arial" w:cs="Arial"/>
          <w:noProof/>
          <w:sz w:val="24"/>
          <w:lang w:val="de-DE" w:eastAsia="de-DE"/>
        </w:rPr>
        <w:drawing>
          <wp:inline distT="0" distB="0" distL="0" distR="0" wp14:anchorId="5939AC2F" wp14:editId="148F60FE">
            <wp:extent cx="5970270" cy="5152390"/>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70270" cy="5152390"/>
                    </a:xfrm>
                    <a:prstGeom prst="rect">
                      <a:avLst/>
                    </a:prstGeom>
                    <a:noFill/>
                    <a:ln>
                      <a:noFill/>
                    </a:ln>
                  </pic:spPr>
                </pic:pic>
              </a:graphicData>
            </a:graphic>
          </wp:inline>
        </w:drawing>
      </w:r>
    </w:p>
    <w:p w14:paraId="3B80C9E8" w14:textId="77777777" w:rsidR="00BF4D05" w:rsidRDefault="00BF4D05" w:rsidP="00BF4D05">
      <w:pPr>
        <w:spacing w:line="480" w:lineRule="auto"/>
        <w:jc w:val="both"/>
        <w:rPr>
          <w:rFonts w:ascii="Arial" w:hAnsi="Arial" w:cs="Arial"/>
          <w:sz w:val="24"/>
        </w:rPr>
      </w:pPr>
      <w:r>
        <w:rPr>
          <w:rFonts w:ascii="Arial" w:hAnsi="Arial" w:cs="Arial"/>
          <w:b/>
          <w:sz w:val="24"/>
        </w:rPr>
        <w:t xml:space="preserve">Supplemental Fig. 1: </w:t>
      </w:r>
      <w:r>
        <w:rPr>
          <w:rFonts w:ascii="Arial" w:hAnsi="Arial" w:cs="Arial"/>
          <w:sz w:val="24"/>
        </w:rPr>
        <w:t xml:space="preserve">Amino acid alignment of human podocin canonical form, human podocin short isoform, murine podocin canonical form, exon 5 of human podocin and exon 5 of murine podocin. Amino acids are color coded for better visualization of alignment. The alignment was done using the T-Coffee webserver </w:t>
      </w:r>
      <w:r>
        <w:rPr>
          <w:rFonts w:ascii="Arial" w:hAnsi="Arial" w:cs="Arial"/>
          <w:sz w:val="24"/>
        </w:rPr>
        <w:fldChar w:fldCharType="begin"/>
      </w:r>
      <w:r>
        <w:rPr>
          <w:rFonts w:ascii="Arial" w:hAnsi="Arial" w:cs="Arial"/>
          <w:sz w:val="24"/>
        </w:rPr>
        <w:instrText xml:space="preserve"> ADDIN ZOTERO_ITEM CSL_CITATION {"citationID":"P46XmHOI","properties":{"formattedCitation":"\\super 23\\nosupersub{}","plainCitation":"23","noteIndex":0},"citationItems":[{"id":"f7TwMozf/v40lgBlR","uris":["http://zotero.org/users/local/uGIaSRkV/items/BVKEKDAH"],"uri":["http://zotero.org/users/local/uGIaSRkV/items/BVKEKDAH"],"itemData":{"id":422,"type":"article-journal","abstract":"This article introduces a new interface for T-Coffee, a consistency-based multiple sequence alignment program. This interface provides an easy and intuitive access to the most popular functionality of the package. These include the default T-Coffee mode for protein and nucleic acid sequences, the M-Coffee mode that allows combining the output of any other aligners, and template-based modes of T-Coffee that deliver high accuracy alignments while using structural or homology derived templates. These three available template modes are Expresso for the alignment of protein with a known 3D-Structure, R-Coffee to align RNA sequences with conserved secondary structures and PSI-Coffee to accurately align distantly related sequences using homology extension. The new server benefits from recent improvements of the T-Coffee algorithm and can align up to 150 sequences as long as 10,000 residues and is available from both http://www.tcoffee.org and its main mirror http://tcoffee.crg.cat.","container-title":"Nucleic Acids Research","DOI":"10.1093/nar/gkr245","ISSN":"1362-4962","issue":"Web Server issue","journalAbbreviation":"Nucleic Acids Res","language":"eng","note":"PMID: 21558174\nPMCID: PMC3125728","page":"W13-17","source":"PubMed","title":"T-Coffee: a web server for the multiple sequence alignment of protein and RNA sequences using structural information and homology extension","title-short":"T-Coffee","volume":"39","author":[{"family":"Di Tommaso","given":"Paolo"},{"family":"Moretti","given":"Sebastien"},{"family":"Xenarios","given":"Ioannis"},{"family":"Orobitg","given":"Miquel"},{"family":"Montanyola","given":"Alberto"},{"family":"Chang","given":"Jia-Ming"},{"family":"Taly","given":"Jean-François"},{"family":"Notredame","given":"Cedric"}],"issued":{"date-parts":[["2011",7]]}}}],"schema":"https://github.com/citation-style-language/schema/raw/master/csl-citation.json"} </w:instrText>
      </w:r>
      <w:r>
        <w:rPr>
          <w:rFonts w:ascii="Arial" w:hAnsi="Arial" w:cs="Arial"/>
          <w:sz w:val="24"/>
        </w:rPr>
        <w:fldChar w:fldCharType="separate"/>
      </w:r>
      <w:r>
        <w:rPr>
          <w:rFonts w:ascii="Arial" w:hAnsi="Arial" w:cs="Arial"/>
          <w:sz w:val="24"/>
          <w:szCs w:val="24"/>
          <w:vertAlign w:val="superscript"/>
        </w:rPr>
        <w:t>23</w:t>
      </w:r>
      <w:r>
        <w:rPr>
          <w:rFonts w:ascii="Arial" w:hAnsi="Arial" w:cs="Arial"/>
          <w:sz w:val="24"/>
        </w:rPr>
        <w:fldChar w:fldCharType="end"/>
      </w:r>
      <w:r>
        <w:rPr>
          <w:rFonts w:ascii="Arial" w:hAnsi="Arial" w:cs="Arial"/>
          <w:sz w:val="24"/>
        </w:rPr>
        <w:t xml:space="preserve"> and formatted using Jalview </w:t>
      </w:r>
      <w:r>
        <w:rPr>
          <w:rFonts w:ascii="Arial" w:hAnsi="Arial" w:cs="Arial"/>
          <w:sz w:val="24"/>
        </w:rPr>
        <w:fldChar w:fldCharType="begin"/>
      </w:r>
      <w:r>
        <w:rPr>
          <w:rFonts w:ascii="Arial" w:hAnsi="Arial" w:cs="Arial"/>
          <w:sz w:val="24"/>
        </w:rPr>
        <w:instrText xml:space="preserve"> ADDIN ZOTERO_ITEM CSL_CITATION {"citationID":"N6qcejGj","properties":{"formattedCitation":"\\super 24\\nosupersub{}","plainCitation":"24","noteIndex":0},"citationItems":[{"id":"f7TwMozf/W9XjgmfA","uris":["http://zotero.org/users/local/uGIaSRkV/items/UL7LPPYL"],"uri":["http://zotero.org/users/local/uGIaSRkV/items/UL7LPPYL"],"itemData":{"id":425,"type":"article-journal","abstract":"Jalview Version 2 is a system for interactive WYSIWYG editing, analysis and annotation of multiple sequence alignments. Core features include keyboard and mouse-based editing, multiple views and alignment overviews, and linked structure display with Jmol. Jalview 2 is available in two forms: a lightweight Java applet for use in web applications, and a powerful desktop application that employs web services for sequence alignment, secondary structure prediction and the retrieval of alignments, sequences, annotation and structures from public databases and any DAS 1.53 compliant sequence or annotation server.\nAVAILABILITY: The Jalview 2 Desktop application and JalviewLite applet are made freely available under the GPL, and can be downloaded from www.jalview.org.","container-title":"Bioinformatics (Oxford, England)","DOI":"10.1093/bioinformatics/btp033","ISSN":"1367-4811","issue":"9","journalAbbreviation":"Bioinformatics","language":"eng","note":"PMID: 19151095\nPMCID: PMC2672624","page":"1189-1191","source":"PubMed","title":"Jalview Version 2--a multiple sequence alignment editor and analysis workbench","volume":"25","author":[{"family":"Waterhouse","given":"Andrew M."},{"family":"Procter","given":"James B."},{"family":"Martin","given":"David M. A."},{"family":"Clamp","given":"Michèle"},{"family":"Barton","given":"Geoffrey J."}],"issued":{"date-parts":[["2009",5,1]]}}}],"schema":"https://github.com/citation-style-language/schema/raw/master/csl-citation.json"} </w:instrText>
      </w:r>
      <w:r>
        <w:rPr>
          <w:rFonts w:ascii="Arial" w:hAnsi="Arial" w:cs="Arial"/>
          <w:sz w:val="24"/>
        </w:rPr>
        <w:fldChar w:fldCharType="separate"/>
      </w:r>
      <w:r>
        <w:rPr>
          <w:rFonts w:ascii="Arial" w:hAnsi="Arial" w:cs="Arial"/>
          <w:sz w:val="24"/>
          <w:szCs w:val="24"/>
          <w:vertAlign w:val="superscript"/>
        </w:rPr>
        <w:t>24</w:t>
      </w:r>
      <w:r>
        <w:rPr>
          <w:rFonts w:ascii="Arial" w:hAnsi="Arial" w:cs="Arial"/>
          <w:sz w:val="24"/>
        </w:rPr>
        <w:fldChar w:fldCharType="end"/>
      </w:r>
      <w:r>
        <w:rPr>
          <w:rFonts w:ascii="Arial" w:hAnsi="Arial" w:cs="Arial"/>
          <w:sz w:val="24"/>
        </w:rPr>
        <w:t>.</w:t>
      </w:r>
    </w:p>
    <w:p w14:paraId="56CE95A2" w14:textId="77777777" w:rsidR="00BF4D05" w:rsidRDefault="00BF4D05" w:rsidP="00BF4D05">
      <w:pPr>
        <w:spacing w:line="480" w:lineRule="auto"/>
        <w:jc w:val="both"/>
        <w:rPr>
          <w:rFonts w:ascii="Arial" w:hAnsi="Arial" w:cs="Arial"/>
          <w:sz w:val="24"/>
          <w:szCs w:val="24"/>
        </w:rPr>
      </w:pPr>
      <w:r>
        <w:rPr>
          <w:noProof/>
          <w:lang w:val="de-DE" w:eastAsia="de-DE"/>
        </w:rPr>
        <w:lastRenderedPageBreak/>
        <w:drawing>
          <wp:inline distT="0" distB="0" distL="0" distR="0" wp14:anchorId="5B88A28D" wp14:editId="23D0D07E">
            <wp:extent cx="5671186" cy="2470785"/>
            <wp:effectExtent l="0" t="0" r="5715" b="571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pic:nvPicPr>
                  <pic:blipFill>
                    <a:blip r:embed="rId5">
                      <a:extLst>
                        <a:ext uri="{28A0092B-C50C-407E-A947-70E740481C1C}">
                          <a14:useLocalDpi xmlns:a14="http://schemas.microsoft.com/office/drawing/2010/main" val="0"/>
                        </a:ext>
                      </a:extLst>
                    </a:blip>
                    <a:srcRect b="69202"/>
                    <a:stretch>
                      <a:fillRect/>
                    </a:stretch>
                  </pic:blipFill>
                  <pic:spPr>
                    <a:xfrm>
                      <a:off x="0" y="0"/>
                      <a:ext cx="5671186" cy="2470785"/>
                    </a:xfrm>
                    <a:prstGeom prst="rect">
                      <a:avLst/>
                    </a:prstGeom>
                  </pic:spPr>
                </pic:pic>
              </a:graphicData>
            </a:graphic>
          </wp:inline>
        </w:drawing>
      </w:r>
    </w:p>
    <w:p w14:paraId="4E4F4536" w14:textId="77777777" w:rsidR="00BF4D05" w:rsidRDefault="00BF4D05" w:rsidP="00BF4D05">
      <w:pPr>
        <w:spacing w:line="480" w:lineRule="auto"/>
        <w:jc w:val="both"/>
        <w:rPr>
          <w:rFonts w:ascii="Arial" w:hAnsi="Arial" w:cs="Arial"/>
          <w:b/>
          <w:sz w:val="24"/>
        </w:rPr>
      </w:pPr>
      <w:r>
        <w:rPr>
          <w:rFonts w:ascii="Arial" w:hAnsi="Arial" w:cs="Arial"/>
          <w:b/>
          <w:sz w:val="24"/>
        </w:rPr>
        <w:t xml:space="preserve">Supplemental Fig. 2: </w:t>
      </w:r>
      <w:r>
        <w:rPr>
          <w:rFonts w:ascii="Arial" w:hAnsi="Arial" w:cs="Arial"/>
          <w:sz w:val="24"/>
        </w:rPr>
        <w:t>The podocin antibody used in this study is able to bind to the denatured and the native podocin</w:t>
      </w:r>
      <w:r>
        <w:rPr>
          <w:rFonts w:ascii="Arial" w:hAnsi="Arial" w:cs="Arial"/>
          <w:sz w:val="24"/>
          <w:vertAlign w:val="superscript"/>
        </w:rPr>
        <w:t>Δexon5</w:t>
      </w:r>
      <w:r>
        <w:rPr>
          <w:rFonts w:ascii="Arial" w:hAnsi="Arial" w:cs="Arial"/>
          <w:sz w:val="24"/>
        </w:rPr>
        <w:t xml:space="preserve"> protein. Lysates of HEK293T cell transiently expressing podocin</w:t>
      </w:r>
      <w:r>
        <w:rPr>
          <w:rFonts w:ascii="Arial" w:hAnsi="Arial" w:cs="Arial"/>
          <w:sz w:val="24"/>
          <w:vertAlign w:val="superscript"/>
        </w:rPr>
        <w:t>wildtype</w:t>
      </w:r>
      <w:r>
        <w:rPr>
          <w:rFonts w:ascii="Arial" w:hAnsi="Arial" w:cs="Arial"/>
          <w:sz w:val="24"/>
        </w:rPr>
        <w:t xml:space="preserve"> or podocin</w:t>
      </w:r>
      <w:r>
        <w:rPr>
          <w:rFonts w:ascii="Arial" w:hAnsi="Arial" w:cs="Arial"/>
          <w:sz w:val="24"/>
          <w:vertAlign w:val="superscript"/>
        </w:rPr>
        <w:t>Δexon5</w:t>
      </w:r>
      <w:r>
        <w:rPr>
          <w:rFonts w:ascii="Arial" w:hAnsi="Arial" w:cs="Arial"/>
          <w:sz w:val="24"/>
        </w:rPr>
        <w:t xml:space="preserve"> were subjected to immunoprecipitation with an anti-podocin antibody and subsequent immunoblotting. </w:t>
      </w:r>
      <w:r>
        <w:rPr>
          <w:rFonts w:ascii="Arial" w:hAnsi="Arial" w:cs="Arial"/>
          <w:sz w:val="24"/>
        </w:rPr>
        <w:t xml:space="preserve">The full-length blot is presented in suppl. fig. 5. </w:t>
      </w:r>
      <w:r>
        <w:rPr>
          <w:rFonts w:ascii="Arial" w:hAnsi="Arial" w:cs="Arial"/>
          <w:b/>
          <w:sz w:val="24"/>
        </w:rPr>
        <w:br w:type="page"/>
      </w:r>
    </w:p>
    <w:p w14:paraId="521F0EE5" w14:textId="3D98EAB1" w:rsidR="004905FA" w:rsidRDefault="00BF4D05" w:rsidP="00BF4D05">
      <w:pPr>
        <w:spacing w:line="480" w:lineRule="auto"/>
        <w:jc w:val="both"/>
        <w:rPr>
          <w:rFonts w:ascii="Arial" w:eastAsia="Times New Roman" w:hAnsi="Arial" w:cs="Arial"/>
          <w:sz w:val="24"/>
          <w:szCs w:val="24"/>
          <w:lang w:eastAsia="sv-SE"/>
        </w:rPr>
      </w:pPr>
      <w:r>
        <w:rPr>
          <w:noProof/>
          <w:lang w:val="de-DE" w:eastAsia="de-DE"/>
        </w:rPr>
        <w:drawing>
          <wp:inline distT="0" distB="0" distL="0" distR="0" wp14:anchorId="1CDB4060" wp14:editId="22416B1C">
            <wp:extent cx="5970268" cy="6488432"/>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pic:nvPicPr>
                  <pic:blipFill>
                    <a:blip r:embed="rId6">
                      <a:extLst>
                        <a:ext uri="{28A0092B-C50C-407E-A947-70E740481C1C}">
                          <a14:useLocalDpi xmlns:a14="http://schemas.microsoft.com/office/drawing/2010/main" val="0"/>
                        </a:ext>
                      </a:extLst>
                    </a:blip>
                    <a:srcRect b="23145"/>
                    <a:stretch>
                      <a:fillRect/>
                    </a:stretch>
                  </pic:blipFill>
                  <pic:spPr>
                    <a:xfrm>
                      <a:off x="0" y="0"/>
                      <a:ext cx="5970268" cy="6488432"/>
                    </a:xfrm>
                    <a:prstGeom prst="rect">
                      <a:avLst/>
                    </a:prstGeom>
                  </pic:spPr>
                </pic:pic>
              </a:graphicData>
            </a:graphic>
          </wp:inline>
        </w:drawing>
      </w:r>
      <w:r w:rsidRPr="3110FD02">
        <w:rPr>
          <w:rFonts w:ascii="Arial" w:hAnsi="Arial" w:cs="Arial"/>
          <w:b/>
          <w:bCs/>
          <w:sz w:val="24"/>
          <w:szCs w:val="24"/>
        </w:rPr>
        <w:t xml:space="preserve"> Supplemental Fig. 3: </w:t>
      </w:r>
      <w:r w:rsidRPr="3110FD02">
        <w:rPr>
          <w:rFonts w:ascii="Arial" w:hAnsi="Arial" w:cs="Arial"/>
          <w:sz w:val="24"/>
          <w:szCs w:val="24"/>
        </w:rPr>
        <w:t xml:space="preserve">Schematic display of the two morphological parameters used. An original image, labelled with an anti-nephrin antibody, is used to quantify the (1) SD length (yellow lines), represented by the length of the nephrin signal, within a region of interest (cyan line) and (2) the FP circularity, which is a dimensionless-less value expressing how circular a geometric body is </w:t>
      </w:r>
      <w:r w:rsidRPr="3110FD02">
        <w:rPr>
          <w:rFonts w:ascii="Arial" w:eastAsia="Times New Roman" w:hAnsi="Arial" w:cs="Arial"/>
          <w:sz w:val="24"/>
          <w:szCs w:val="24"/>
          <w:lang w:eastAsia="sv-SE"/>
        </w:rPr>
        <w:t>(circularity = 4 * π (area/perimeter²)). A perfect circle has a value of 1, an elongated polygon approximates 0.</w:t>
      </w:r>
    </w:p>
    <w:p w14:paraId="2E705C86" w14:textId="77777777" w:rsidR="004905FA" w:rsidRDefault="004905FA">
      <w:pPr>
        <w:spacing w:after="0" w:line="240" w:lineRule="auto"/>
        <w:rPr>
          <w:rFonts w:ascii="Arial" w:eastAsia="Times New Roman" w:hAnsi="Arial" w:cs="Arial"/>
          <w:sz w:val="24"/>
          <w:szCs w:val="24"/>
          <w:lang w:eastAsia="sv-SE"/>
        </w:rPr>
      </w:pPr>
      <w:r>
        <w:rPr>
          <w:rFonts w:ascii="Arial" w:eastAsia="Times New Roman" w:hAnsi="Arial" w:cs="Arial"/>
          <w:sz w:val="24"/>
          <w:szCs w:val="24"/>
          <w:lang w:eastAsia="sv-SE"/>
        </w:rPr>
        <w:br w:type="page"/>
      </w:r>
    </w:p>
    <w:p w14:paraId="23C45260" w14:textId="24F2A4C5" w:rsidR="00BF4D05" w:rsidRDefault="004905FA" w:rsidP="00BF4D05">
      <w:pPr>
        <w:spacing w:line="480" w:lineRule="auto"/>
        <w:jc w:val="both"/>
        <w:rPr>
          <w:rFonts w:ascii="Arial" w:hAnsi="Arial" w:cs="Arial"/>
          <w:sz w:val="24"/>
          <w:szCs w:val="24"/>
        </w:rPr>
      </w:pPr>
      <w:r>
        <w:rPr>
          <w:rFonts w:ascii="Arial" w:hAnsi="Arial" w:cs="Arial"/>
          <w:noProof/>
          <w:sz w:val="24"/>
          <w:szCs w:val="24"/>
          <w:lang w:val="de-DE" w:eastAsia="de-DE"/>
        </w:rPr>
        <w:drawing>
          <wp:inline distT="0" distB="0" distL="0" distR="0" wp14:anchorId="0BA7D8F6" wp14:editId="391BA50E">
            <wp:extent cx="5972810" cy="4345940"/>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nbenannt.png"/>
                    <pic:cNvPicPr/>
                  </pic:nvPicPr>
                  <pic:blipFill>
                    <a:blip r:embed="rId7">
                      <a:extLst>
                        <a:ext uri="{28A0092B-C50C-407E-A947-70E740481C1C}">
                          <a14:useLocalDpi xmlns:a14="http://schemas.microsoft.com/office/drawing/2010/main" val="0"/>
                        </a:ext>
                      </a:extLst>
                    </a:blip>
                    <a:stretch>
                      <a:fillRect/>
                    </a:stretch>
                  </pic:blipFill>
                  <pic:spPr>
                    <a:xfrm>
                      <a:off x="0" y="0"/>
                      <a:ext cx="5972810" cy="4345940"/>
                    </a:xfrm>
                    <a:prstGeom prst="rect">
                      <a:avLst/>
                    </a:prstGeom>
                  </pic:spPr>
                </pic:pic>
              </a:graphicData>
            </a:graphic>
          </wp:inline>
        </w:drawing>
      </w:r>
    </w:p>
    <w:p w14:paraId="0C8B3EB6" w14:textId="3609F183" w:rsidR="00BF4D05" w:rsidRDefault="004905FA" w:rsidP="004905FA">
      <w:pPr>
        <w:spacing w:line="480" w:lineRule="auto"/>
      </w:pPr>
      <w:r>
        <w:rPr>
          <w:rFonts w:ascii="Arial" w:hAnsi="Arial" w:cs="Arial"/>
          <w:b/>
          <w:bCs/>
          <w:sz w:val="24"/>
          <w:szCs w:val="24"/>
        </w:rPr>
        <w:t>Supplemental Fig. 4</w:t>
      </w:r>
      <w:r w:rsidRPr="3110FD02">
        <w:rPr>
          <w:rFonts w:ascii="Arial" w:hAnsi="Arial" w:cs="Arial"/>
          <w:b/>
          <w:bCs/>
          <w:sz w:val="24"/>
          <w:szCs w:val="24"/>
        </w:rPr>
        <w:t xml:space="preserve">: </w:t>
      </w:r>
      <w:r>
        <w:rPr>
          <w:rFonts w:ascii="Arial" w:hAnsi="Arial" w:cs="Arial"/>
          <w:sz w:val="24"/>
          <w:szCs w:val="24"/>
        </w:rPr>
        <w:t xml:space="preserve">Full-length gel of panel D of figure 1. Numbers refer to individual mice. Samples 3 and 4 are depicted in fig. 1. </w:t>
      </w:r>
    </w:p>
    <w:p w14:paraId="54F18596" w14:textId="7497E559" w:rsidR="004905FA" w:rsidRDefault="004905FA">
      <w:pPr>
        <w:spacing w:after="0" w:line="240" w:lineRule="auto"/>
        <w:rPr>
          <w:rFonts w:ascii="Arial" w:hAnsi="Arial" w:cs="Arial"/>
          <w:sz w:val="24"/>
        </w:rPr>
      </w:pPr>
      <w:r>
        <w:rPr>
          <w:rFonts w:ascii="Arial" w:hAnsi="Arial" w:cs="Arial"/>
          <w:sz w:val="24"/>
        </w:rPr>
        <w:br w:type="page"/>
      </w:r>
    </w:p>
    <w:p w14:paraId="02466A51" w14:textId="57C7C349" w:rsidR="00BF4D05" w:rsidRPr="000468AD" w:rsidRDefault="004905FA" w:rsidP="00BF4D05">
      <w:pPr>
        <w:spacing w:line="480" w:lineRule="auto"/>
        <w:jc w:val="both"/>
        <w:rPr>
          <w:rFonts w:ascii="Arial" w:hAnsi="Arial" w:cs="Arial"/>
          <w:sz w:val="24"/>
        </w:rPr>
      </w:pPr>
      <w:r>
        <w:rPr>
          <w:rFonts w:ascii="Arial" w:hAnsi="Arial" w:cs="Arial"/>
          <w:noProof/>
          <w:sz w:val="24"/>
          <w:lang w:val="de-DE" w:eastAsia="de-DE"/>
        </w:rPr>
        <w:drawing>
          <wp:inline distT="0" distB="0" distL="0" distR="0" wp14:anchorId="259BB0DF" wp14:editId="21D01C5F">
            <wp:extent cx="5972810" cy="4247515"/>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oomassie.png"/>
                    <pic:cNvPicPr/>
                  </pic:nvPicPr>
                  <pic:blipFill>
                    <a:blip r:embed="rId8">
                      <a:extLst>
                        <a:ext uri="{28A0092B-C50C-407E-A947-70E740481C1C}">
                          <a14:useLocalDpi xmlns:a14="http://schemas.microsoft.com/office/drawing/2010/main" val="0"/>
                        </a:ext>
                      </a:extLst>
                    </a:blip>
                    <a:stretch>
                      <a:fillRect/>
                    </a:stretch>
                  </pic:blipFill>
                  <pic:spPr>
                    <a:xfrm>
                      <a:off x="0" y="0"/>
                      <a:ext cx="5972810" cy="4247515"/>
                    </a:xfrm>
                    <a:prstGeom prst="rect">
                      <a:avLst/>
                    </a:prstGeom>
                  </pic:spPr>
                </pic:pic>
              </a:graphicData>
            </a:graphic>
          </wp:inline>
        </w:drawing>
      </w:r>
    </w:p>
    <w:p w14:paraId="75B3EA33" w14:textId="2356A47B" w:rsidR="00DB2B54" w:rsidRDefault="004905FA" w:rsidP="004905FA">
      <w:pPr>
        <w:spacing w:line="480" w:lineRule="auto"/>
        <w:rPr>
          <w:rFonts w:ascii="Arial" w:hAnsi="Arial" w:cs="Arial"/>
          <w:sz w:val="24"/>
          <w:szCs w:val="24"/>
        </w:rPr>
      </w:pPr>
      <w:r>
        <w:rPr>
          <w:rFonts w:ascii="Arial" w:hAnsi="Arial" w:cs="Arial"/>
          <w:b/>
          <w:bCs/>
          <w:sz w:val="24"/>
          <w:szCs w:val="24"/>
        </w:rPr>
        <w:t xml:space="preserve">Supplemental Fig. </w:t>
      </w:r>
      <w:r>
        <w:rPr>
          <w:rFonts w:ascii="Arial" w:hAnsi="Arial" w:cs="Arial"/>
          <w:b/>
          <w:bCs/>
          <w:sz w:val="24"/>
          <w:szCs w:val="24"/>
        </w:rPr>
        <w:t>5</w:t>
      </w:r>
      <w:r w:rsidRPr="3110FD02">
        <w:rPr>
          <w:rFonts w:ascii="Arial" w:hAnsi="Arial" w:cs="Arial"/>
          <w:b/>
          <w:bCs/>
          <w:sz w:val="24"/>
          <w:szCs w:val="24"/>
        </w:rPr>
        <w:t xml:space="preserve">: </w:t>
      </w:r>
      <w:r>
        <w:rPr>
          <w:rFonts w:ascii="Arial" w:hAnsi="Arial" w:cs="Arial"/>
          <w:sz w:val="24"/>
          <w:szCs w:val="24"/>
        </w:rPr>
        <w:t xml:space="preserve">Full-length gel of panel </w:t>
      </w:r>
      <w:r>
        <w:rPr>
          <w:rFonts w:ascii="Arial" w:hAnsi="Arial" w:cs="Arial"/>
          <w:sz w:val="24"/>
          <w:szCs w:val="24"/>
        </w:rPr>
        <w:t>C of figure 2</w:t>
      </w:r>
      <w:r>
        <w:rPr>
          <w:rFonts w:ascii="Arial" w:hAnsi="Arial" w:cs="Arial"/>
          <w:sz w:val="24"/>
          <w:szCs w:val="24"/>
        </w:rPr>
        <w:t xml:space="preserve">. </w:t>
      </w:r>
    </w:p>
    <w:p w14:paraId="4DF0C944" w14:textId="77777777" w:rsidR="00DB2B54" w:rsidRDefault="00DB2B54">
      <w:pPr>
        <w:spacing w:after="0" w:line="240" w:lineRule="auto"/>
        <w:rPr>
          <w:rFonts w:ascii="Arial" w:hAnsi="Arial" w:cs="Arial"/>
          <w:sz w:val="24"/>
          <w:szCs w:val="24"/>
        </w:rPr>
      </w:pPr>
      <w:r>
        <w:rPr>
          <w:rFonts w:ascii="Arial" w:hAnsi="Arial" w:cs="Arial"/>
          <w:sz w:val="24"/>
          <w:szCs w:val="24"/>
        </w:rPr>
        <w:br w:type="page"/>
      </w:r>
    </w:p>
    <w:p w14:paraId="147338CC" w14:textId="4C0A522F" w:rsidR="004905FA" w:rsidRDefault="00DB2B54" w:rsidP="004905FA">
      <w:pPr>
        <w:spacing w:line="480" w:lineRule="auto"/>
      </w:pPr>
      <w:r>
        <w:rPr>
          <w:noProof/>
          <w:lang w:val="de-DE" w:eastAsia="de-DE"/>
        </w:rPr>
        <w:drawing>
          <wp:inline distT="0" distB="0" distL="0" distR="0" wp14:anchorId="42FFB61B" wp14:editId="54CA54F6">
            <wp:extent cx="5058754" cy="4751462"/>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estern.png"/>
                    <pic:cNvPicPr/>
                  </pic:nvPicPr>
                  <pic:blipFill rotWithShape="1">
                    <a:blip r:embed="rId9">
                      <a:extLst>
                        <a:ext uri="{28A0092B-C50C-407E-A947-70E740481C1C}">
                          <a14:useLocalDpi xmlns:a14="http://schemas.microsoft.com/office/drawing/2010/main" val="0"/>
                        </a:ext>
                      </a:extLst>
                    </a:blip>
                    <a:srcRect l="168" r="1" b="43693"/>
                    <a:stretch/>
                  </pic:blipFill>
                  <pic:spPr bwMode="auto">
                    <a:xfrm>
                      <a:off x="0" y="0"/>
                      <a:ext cx="5058754" cy="4751462"/>
                    </a:xfrm>
                    <a:prstGeom prst="rect">
                      <a:avLst/>
                    </a:prstGeom>
                    <a:ln>
                      <a:noFill/>
                    </a:ln>
                    <a:extLst>
                      <a:ext uri="{53640926-AAD7-44D8-BBD7-CCE9431645EC}">
                        <a14:shadowObscured xmlns:a14="http://schemas.microsoft.com/office/drawing/2010/main"/>
                      </a:ext>
                    </a:extLst>
                  </pic:spPr>
                </pic:pic>
              </a:graphicData>
            </a:graphic>
          </wp:inline>
        </w:drawing>
      </w:r>
    </w:p>
    <w:p w14:paraId="7B6ABAB7" w14:textId="113144DE" w:rsidR="00DB2B54" w:rsidRDefault="00DB2B54" w:rsidP="00DB2B54">
      <w:pPr>
        <w:spacing w:line="480" w:lineRule="auto"/>
        <w:rPr>
          <w:rFonts w:ascii="Arial" w:hAnsi="Arial" w:cs="Arial"/>
          <w:sz w:val="24"/>
          <w:szCs w:val="24"/>
        </w:rPr>
      </w:pPr>
      <w:r>
        <w:rPr>
          <w:rFonts w:ascii="Arial" w:hAnsi="Arial" w:cs="Arial"/>
          <w:b/>
          <w:bCs/>
          <w:sz w:val="24"/>
          <w:szCs w:val="24"/>
        </w:rPr>
        <w:t>Supplemental Fig. 5</w:t>
      </w:r>
      <w:r w:rsidRPr="3110FD02">
        <w:rPr>
          <w:rFonts w:ascii="Arial" w:hAnsi="Arial" w:cs="Arial"/>
          <w:b/>
          <w:bCs/>
          <w:sz w:val="24"/>
          <w:szCs w:val="24"/>
        </w:rPr>
        <w:t xml:space="preserve">: </w:t>
      </w:r>
      <w:r>
        <w:rPr>
          <w:rFonts w:ascii="Arial" w:hAnsi="Arial" w:cs="Arial"/>
          <w:sz w:val="24"/>
          <w:szCs w:val="24"/>
        </w:rPr>
        <w:t xml:space="preserve">Full-length </w:t>
      </w:r>
      <w:r>
        <w:rPr>
          <w:rFonts w:ascii="Arial" w:hAnsi="Arial" w:cs="Arial"/>
          <w:sz w:val="24"/>
          <w:szCs w:val="24"/>
        </w:rPr>
        <w:t>blot of suppl. fig. 2</w:t>
      </w:r>
      <w:bookmarkStart w:id="0" w:name="_GoBack"/>
      <w:bookmarkEnd w:id="0"/>
      <w:r>
        <w:rPr>
          <w:rFonts w:ascii="Arial" w:hAnsi="Arial" w:cs="Arial"/>
          <w:sz w:val="24"/>
          <w:szCs w:val="24"/>
        </w:rPr>
        <w:t xml:space="preserve"> </w:t>
      </w:r>
    </w:p>
    <w:p w14:paraId="509EB18B" w14:textId="77777777" w:rsidR="00101021" w:rsidRDefault="00101021"/>
    <w:sectPr w:rsidR="00101021">
      <w:footerReference w:type="default" r:id="rId10"/>
      <w:pgSz w:w="12240" w:h="15840"/>
      <w:pgMar w:top="1417"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6889729"/>
      <w:docPartObj>
        <w:docPartGallery w:val="Page Numbers (Bottom of Page)"/>
        <w:docPartUnique/>
      </w:docPartObj>
    </w:sdtPr>
    <w:sdtEndPr>
      <w:rPr>
        <w:noProof/>
      </w:rPr>
    </w:sdtEndPr>
    <w:sdtContent>
      <w:p w14:paraId="42B6C88B" w14:textId="77777777" w:rsidR="003B4337" w:rsidRDefault="00DB2B54">
        <w:pPr>
          <w:pStyle w:val="Fuzeile"/>
          <w:jc w:val="center"/>
        </w:pPr>
        <w:r>
          <w:fldChar w:fldCharType="begin"/>
        </w:r>
        <w:r>
          <w:instrText xml:space="preserve"> PAGE   \* MERGEFORMAT </w:instrText>
        </w:r>
        <w:r>
          <w:fldChar w:fldCharType="separate"/>
        </w:r>
        <w:r>
          <w:rPr>
            <w:noProof/>
          </w:rPr>
          <w:t>1</w:t>
        </w:r>
        <w:r>
          <w:rPr>
            <w:noProof/>
          </w:rPr>
          <w:fldChar w:fldCharType="end"/>
        </w:r>
      </w:p>
    </w:sdtContent>
  </w:sdt>
  <w:p w14:paraId="79385F40" w14:textId="77777777" w:rsidR="00C34405" w:rsidRDefault="00DB2B54">
    <w:pPr>
      <w:pStyle w:val="Fuzeile"/>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4D05"/>
    <w:rsid w:val="00101021"/>
    <w:rsid w:val="003A32C6"/>
    <w:rsid w:val="00472F13"/>
    <w:rsid w:val="004905FA"/>
    <w:rsid w:val="004C1362"/>
    <w:rsid w:val="00607B21"/>
    <w:rsid w:val="006306CF"/>
    <w:rsid w:val="00711B0B"/>
    <w:rsid w:val="00B478CF"/>
    <w:rsid w:val="00BF4D05"/>
    <w:rsid w:val="00C64389"/>
    <w:rsid w:val="00DA04B5"/>
    <w:rsid w:val="00DB2B54"/>
  </w:rsids>
  <m:mathPr>
    <m:mathFont m:val="Cambria Math"/>
    <m:brkBin m:val="before"/>
    <m:brkBinSub m:val="--"/>
    <m:smallFrac m:val="0"/>
    <m:dispDef/>
    <m:lMargin m:val="0"/>
    <m:rMargin m:val="0"/>
    <m:defJc m:val="centerGroup"/>
    <m:wrapIndent m:val="1440"/>
    <m:intLim m:val="subSup"/>
    <m:naryLim m:val="undOvr"/>
  </m:mathPr>
  <w:themeFontLang w:val="de-DE"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4ADA02CA"/>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BF4D05"/>
    <w:pPr>
      <w:spacing w:after="160" w:line="259" w:lineRule="auto"/>
    </w:pPr>
    <w:rPr>
      <w:sz w:val="22"/>
      <w:szCs w:val="22"/>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unhideWhenUsed/>
    <w:rsid w:val="00BF4D0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F4D05"/>
    <w:rPr>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image" Target="media/image1.png"/><Relationship Id="rId5" Type="http://schemas.openxmlformats.org/officeDocument/2006/relationships/image" Target="media/image2.jpg"/><Relationship Id="rId6" Type="http://schemas.openxmlformats.org/officeDocument/2006/relationships/image" Target="media/image3.png"/><Relationship Id="rId7" Type="http://schemas.openxmlformats.org/officeDocument/2006/relationships/image" Target="media/image4.png"/><Relationship Id="rId8" Type="http://schemas.openxmlformats.org/officeDocument/2006/relationships/image" Target="media/image5.png"/><Relationship Id="rId9" Type="http://schemas.openxmlformats.org/officeDocument/2006/relationships/image" Target="media/image6.png"/><Relationship Id="rId10" Type="http://schemas.openxmlformats.org/officeDocument/2006/relationships/footer" Target="footer1.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775</Words>
  <Characters>4884</Characters>
  <Application>Microsoft Macintosh Word</Application>
  <DocSecurity>0</DocSecurity>
  <Lines>40</Lines>
  <Paragraphs>11</Paragraphs>
  <ScaleCrop>false</ScaleCrop>
  <LinksUpToDate>false</LinksUpToDate>
  <CharactersWithSpaces>5648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Linus Butt</dc:creator>
  <cp:keywords/>
  <dc:description/>
  <cp:lastModifiedBy>Linus Butt</cp:lastModifiedBy>
  <cp:revision>3</cp:revision>
  <dcterms:created xsi:type="dcterms:W3CDTF">2023-05-25T15:58:00Z</dcterms:created>
  <dcterms:modified xsi:type="dcterms:W3CDTF">2023-05-25T16:07:00Z</dcterms:modified>
</cp:coreProperties>
</file>