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1819" w:rsidRPr="008209E2" w:rsidRDefault="00161819" w:rsidP="00161819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</w:pPr>
      <w:bookmarkStart w:id="0" w:name="OLE_LINK2"/>
      <w:bookmarkStart w:id="1" w:name="OLE_LINK82"/>
      <w:bookmarkStart w:id="2" w:name="OLE_LINK83"/>
      <w:r w:rsidRPr="008209E2">
        <w:rPr>
          <w:rFonts w:ascii="Times New Roman" w:hAnsi="Times New Roman" w:cs="Times New Roman"/>
          <w:b/>
          <w:bCs/>
          <w:snapToGrid w:val="0"/>
          <w:color w:val="000000" w:themeColor="text1"/>
          <w:sz w:val="28"/>
          <w:szCs w:val="28"/>
        </w:rPr>
        <w:t>Relationship between serum phosphorus and mortality in non-dialysis chronic kidney disease patients: evidence from NHANES 2001-2018</w:t>
      </w:r>
    </w:p>
    <w:p w:rsidR="00161819" w:rsidRPr="002973CE" w:rsidRDefault="00161819" w:rsidP="00161819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b/>
          <w:bCs/>
          <w:snapToGrid w:val="0"/>
          <w:color w:val="000000" w:themeColor="text1"/>
        </w:rPr>
      </w:pPr>
    </w:p>
    <w:p w:rsidR="00161819" w:rsidRDefault="00161819" w:rsidP="00161819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 w:rsidRPr="002973CE">
        <w:rPr>
          <w:rFonts w:ascii="Times New Roman" w:hAnsi="Times New Roman" w:cs="Times New Roman"/>
          <w:b/>
          <w:color w:val="000000" w:themeColor="text1"/>
        </w:rPr>
        <w:t>SUPPLEMENTAL MATERIAL</w:t>
      </w:r>
    </w:p>
    <w:p w:rsidR="006D1F2E" w:rsidRPr="002973CE" w:rsidRDefault="006D1F2E" w:rsidP="00161819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:rsidR="00161819" w:rsidRDefault="00161819" w:rsidP="00161819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2973CE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Table of Contents</w:t>
      </w:r>
    </w:p>
    <w:p w:rsidR="006D1F2E" w:rsidRPr="002973CE" w:rsidRDefault="006D1F2E" w:rsidP="00161819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</w:p>
    <w:p w:rsidR="00161819" w:rsidRPr="002973CE" w:rsidRDefault="00161819" w:rsidP="00161819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b/>
          <w:lang w:bidi="ar"/>
        </w:rPr>
      </w:pPr>
      <w:bookmarkStart w:id="3" w:name="OLE_LINK117"/>
      <w:bookmarkStart w:id="4" w:name="OLE_LINK119"/>
      <w:bookmarkStart w:id="5" w:name="OLE_LINK121"/>
      <w:bookmarkStart w:id="6" w:name="OLE_LINK122"/>
      <w:bookmarkStart w:id="7" w:name="OLE_LINK126"/>
      <w:r w:rsidRPr="002973CE">
        <w:rPr>
          <w:rFonts w:ascii="Times New Roman" w:hAnsi="Times New Roman" w:cs="Times New Roman"/>
          <w:b/>
          <w:lang w:bidi="ar"/>
        </w:rPr>
        <w:t>Supplemental Table 1.</w:t>
      </w:r>
      <w:bookmarkEnd w:id="3"/>
      <w:r w:rsidR="002973CE" w:rsidRPr="002973CE">
        <w:rPr>
          <w:rFonts w:ascii="Times New Roman" w:hAnsi="Times New Roman" w:cs="Times New Roman"/>
          <w:b/>
          <w:lang w:bidi="ar"/>
        </w:rPr>
        <w:t xml:space="preserve"> Baseline characteristics of included and excluded </w:t>
      </w:r>
      <w:r w:rsidR="002973CE" w:rsidRPr="002973CE">
        <w:rPr>
          <w:rFonts w:ascii="Times New Roman" w:hAnsi="Times New Roman" w:cs="Times New Roman"/>
          <w:b/>
          <w:bCs/>
          <w:snapToGrid w:val="0"/>
          <w:color w:val="000000" w:themeColor="text1"/>
        </w:rPr>
        <w:t>patients</w:t>
      </w:r>
    </w:p>
    <w:p w:rsidR="00161819" w:rsidRPr="002973CE" w:rsidRDefault="00161819" w:rsidP="00161819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b/>
          <w:lang w:bidi="ar"/>
        </w:rPr>
      </w:pPr>
      <w:bookmarkStart w:id="8" w:name="OLE_LINK120"/>
      <w:bookmarkEnd w:id="4"/>
      <w:r w:rsidRPr="002973CE">
        <w:rPr>
          <w:rFonts w:ascii="Times New Roman" w:hAnsi="Times New Roman" w:cs="Times New Roman"/>
          <w:b/>
          <w:lang w:bidi="ar"/>
        </w:rPr>
        <w:t>Supplemental Table 2</w:t>
      </w:r>
      <w:bookmarkEnd w:id="8"/>
      <w:r w:rsidRPr="002973CE">
        <w:rPr>
          <w:rFonts w:ascii="Times New Roman" w:hAnsi="Times New Roman" w:cs="Times New Roman"/>
          <w:b/>
          <w:lang w:bidi="ar"/>
        </w:rPr>
        <w:t>.</w:t>
      </w:r>
      <w:r w:rsidR="002973CE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</w:t>
      </w:r>
      <w:bookmarkStart w:id="9" w:name="OLE_LINK125"/>
      <w:r w:rsidR="002973CE" w:rsidRPr="002973CE">
        <w:rPr>
          <w:rFonts w:ascii="Times New Roman" w:hAnsi="Times New Roman" w:cs="Times New Roman"/>
          <w:b/>
          <w:snapToGrid w:val="0"/>
          <w:color w:val="000000" w:themeColor="text1"/>
        </w:rPr>
        <w:t>Sensitiv</w:t>
      </w:r>
      <w:r w:rsidR="0032302F">
        <w:rPr>
          <w:rFonts w:ascii="Times New Roman" w:hAnsi="Times New Roman" w:cs="Times New Roman"/>
          <w:b/>
          <w:snapToGrid w:val="0"/>
          <w:color w:val="000000" w:themeColor="text1"/>
        </w:rPr>
        <w:t>ity</w:t>
      </w:r>
      <w:r w:rsidR="002973CE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analyses for the association of </w:t>
      </w:r>
      <w:r w:rsidR="002973CE" w:rsidRPr="002973CE">
        <w:rPr>
          <w:rFonts w:ascii="Times New Roman" w:hAnsi="Times New Roman" w:cs="Times New Roman"/>
          <w:b/>
          <w:snapToGrid w:val="0"/>
          <w:color w:val="000000" w:themeColor="text1"/>
          <w:shd w:val="clear" w:color="auto" w:fill="FFFFFF"/>
        </w:rPr>
        <w:t>serum phosphorus</w:t>
      </w:r>
      <w:r w:rsidR="002973CE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levels with all-cause mortality </w:t>
      </w:r>
      <w:r w:rsidR="00C674D7">
        <w:rPr>
          <w:rFonts w:ascii="Times New Roman" w:hAnsi="Times New Roman" w:cs="Times New Roman" w:hint="eastAsia"/>
          <w:b/>
          <w:snapToGrid w:val="0"/>
          <w:color w:val="000000" w:themeColor="text1"/>
        </w:rPr>
        <w:t>by</w:t>
      </w:r>
      <w:r w:rsidR="00C674D7">
        <w:rPr>
          <w:rFonts w:ascii="Times New Roman" w:hAnsi="Times New Roman" w:cs="Times New Roman"/>
          <w:b/>
          <w:snapToGrid w:val="0"/>
          <w:color w:val="000000" w:themeColor="text1"/>
        </w:rPr>
        <w:t xml:space="preserve"> further adjusting co-medications and survey years</w:t>
      </w:r>
      <w:bookmarkEnd w:id="9"/>
    </w:p>
    <w:p w:rsidR="00161819" w:rsidRPr="002973CE" w:rsidRDefault="00161819" w:rsidP="00161819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b/>
          <w:bCs/>
          <w:snapToGrid w:val="0"/>
          <w:color w:val="000000" w:themeColor="text1"/>
        </w:rPr>
      </w:pPr>
      <w:r w:rsidRPr="002973CE">
        <w:rPr>
          <w:rFonts w:ascii="Times New Roman" w:hAnsi="Times New Roman" w:cs="Times New Roman"/>
          <w:b/>
          <w:lang w:bidi="ar"/>
        </w:rPr>
        <w:t>Supplemental Table 3.</w:t>
      </w:r>
      <w:r w:rsidR="002973CE" w:rsidRPr="002973CE">
        <w:rPr>
          <w:rFonts w:ascii="Times New Roman" w:hAnsi="Times New Roman" w:cs="Times New Roman"/>
        </w:rPr>
        <w:t xml:space="preserve"> </w:t>
      </w:r>
      <w:r w:rsidR="002973CE" w:rsidRPr="002973CE">
        <w:rPr>
          <w:rFonts w:ascii="Times New Roman" w:hAnsi="Times New Roman" w:cs="Times New Roman"/>
          <w:b/>
          <w:lang w:bidi="ar"/>
        </w:rPr>
        <w:t>The association of serum phosphorus levels with all-cause mortality in participants by multiple imputations for missing values (n=8363)</w:t>
      </w:r>
    </w:p>
    <w:bookmarkEnd w:id="0"/>
    <w:bookmarkEnd w:id="5"/>
    <w:bookmarkEnd w:id="6"/>
    <w:bookmarkEnd w:id="7"/>
    <w:p w:rsidR="002973CE" w:rsidRPr="002973CE" w:rsidRDefault="002973CE" w:rsidP="002973CE">
      <w:pPr>
        <w:adjustRightInd w:val="0"/>
        <w:snapToGrid w:val="0"/>
        <w:jc w:val="both"/>
        <w:rPr>
          <w:rFonts w:ascii="Times New Roman" w:hAnsi="Times New Roman" w:cs="Times New Roman"/>
          <w:b/>
          <w:lang w:bidi="ar"/>
        </w:rPr>
        <w:sectPr w:rsidR="002973CE" w:rsidRPr="002973C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419A8" w:rsidRPr="002973CE" w:rsidRDefault="00161819" w:rsidP="002973CE">
      <w:pPr>
        <w:adjustRightInd w:val="0"/>
        <w:snapToGrid w:val="0"/>
        <w:jc w:val="both"/>
        <w:rPr>
          <w:rFonts w:ascii="Times New Roman" w:hAnsi="Times New Roman" w:cs="Times New Roman"/>
          <w:b/>
          <w:lang w:bidi="ar"/>
        </w:rPr>
      </w:pPr>
      <w:r w:rsidRPr="002973CE">
        <w:rPr>
          <w:rFonts w:ascii="Times New Roman" w:hAnsi="Times New Roman" w:cs="Times New Roman"/>
          <w:b/>
          <w:lang w:bidi="ar"/>
        </w:rPr>
        <w:lastRenderedPageBreak/>
        <w:t>Supplemental Table 1.</w:t>
      </w:r>
      <w:r w:rsidRPr="002973CE">
        <w:rPr>
          <w:rFonts w:ascii="Times New Roman" w:hAnsi="Times New Roman" w:cs="Times New Roman"/>
        </w:rPr>
        <w:t xml:space="preserve"> </w:t>
      </w:r>
      <w:r w:rsidRPr="002973CE">
        <w:rPr>
          <w:rFonts w:ascii="Times New Roman" w:hAnsi="Times New Roman" w:cs="Times New Roman"/>
          <w:b/>
          <w:lang w:bidi="ar"/>
        </w:rPr>
        <w:t xml:space="preserve">Baseline characteristics of included and excluded </w:t>
      </w:r>
      <w:r w:rsidR="005419A8" w:rsidRPr="002973CE">
        <w:rPr>
          <w:rFonts w:ascii="Times New Roman" w:hAnsi="Times New Roman" w:cs="Times New Roman"/>
          <w:b/>
          <w:bCs/>
          <w:snapToGrid w:val="0"/>
          <w:color w:val="000000" w:themeColor="text1"/>
        </w:rPr>
        <w:t>patients</w:t>
      </w:r>
      <w:bookmarkStart w:id="10" w:name="OLE_LINK164"/>
      <w:bookmarkStart w:id="11" w:name="OLE_LINK165"/>
    </w:p>
    <w:tbl>
      <w:tblPr>
        <w:tblW w:w="807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502"/>
        <w:gridCol w:w="1759"/>
        <w:gridCol w:w="1407"/>
      </w:tblGrid>
      <w:tr w:rsidR="005419A8" w:rsidRPr="002973CE" w:rsidTr="00D400A3">
        <w:trPr>
          <w:trHeight w:val="321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bookmarkEnd w:id="10"/>
          <w:bookmarkEnd w:id="11"/>
          <w:p w:rsidR="005419A8" w:rsidRPr="002973CE" w:rsidRDefault="005419A8" w:rsidP="00C674D7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  <w:t xml:space="preserve">Variables </w:t>
            </w: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  <w:t>Included</w:t>
            </w:r>
          </w:p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  <w:t>(n=</w:t>
            </w:r>
            <w:r w:rsidRPr="002973C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  <w:t>7694)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  <w:t>Excluded</w:t>
            </w:r>
          </w:p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  <w:t>(n=669)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 xml:space="preserve">Age, </w:t>
            </w:r>
            <w:proofErr w:type="spellStart"/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yr</w:t>
            </w:r>
            <w:proofErr w:type="spellEnd"/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&lt;0.001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   18-65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3297(49.3)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386(59.9)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   ≥65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4397(50.7)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283(40.1)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Male, n (%)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3611(42.4)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292(43.8)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bookmarkStart w:id="12" w:name="OLE_LINK257"/>
            <w:bookmarkStart w:id="13" w:name="OLE_LINK258"/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0.</w:t>
            </w:r>
            <w:bookmarkEnd w:id="12"/>
            <w:bookmarkEnd w:id="13"/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575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Race, n (%)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&lt;0.001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    n</w:t>
            </w:r>
            <w:r w:rsidRPr="002973CE">
              <w:rPr>
                <w:rFonts w:ascii="Times New Roman" w:hAnsi="Times New Roman" w:cs="Times New Roman"/>
                <w:snapToGrid w:val="0"/>
                <w:color w:val="383636"/>
                <w:sz w:val="21"/>
                <w:szCs w:val="21"/>
              </w:rPr>
              <w:t>on-Hispanic White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3846(70.5)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293(63.8)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    </w:t>
            </w:r>
            <w:r w:rsidRPr="002973CE">
              <w:rPr>
                <w:rFonts w:ascii="Times New Roman" w:hAnsi="Times New Roman" w:cs="Times New Roman"/>
                <w:snapToGrid w:val="0"/>
                <w:color w:val="383636"/>
                <w:sz w:val="21"/>
                <w:szCs w:val="21"/>
              </w:rPr>
              <w:t>non-Hispanic Black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1643(11.8)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135(10.6)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    Mexican American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1076( 6.8)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141(10.4)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    Other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1129(10.8)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100(15.2)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CKD stages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bookmarkStart w:id="14" w:name="OLE_LINK71"/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&lt;0.001</w:t>
            </w:r>
            <w:bookmarkEnd w:id="14"/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 xml:space="preserve">    G1-2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  <w:t>3912(50.8)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  <w:t>427(63.8)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 xml:space="preserve">    G3a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2491(33.3)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138(23.7)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 xml:space="preserve">    G3b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961(11.1)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79(11.6)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 xml:space="preserve">    G4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288(2.9)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23(3.7)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 xml:space="preserve">    G5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42(0.4)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2(0.1)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bookmarkStart w:id="15" w:name="OLE_LINK105"/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Hemoglobin</w:t>
            </w:r>
            <w:bookmarkEnd w:id="15"/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, g/dL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13.9(0.0)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13.8(0.1)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0.438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Serum </w:t>
            </w:r>
            <w:bookmarkStart w:id="16" w:name="OLE_LINK143"/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albumin</w:t>
            </w:r>
            <w:bookmarkEnd w:id="16"/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, g/L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41.5(0.1)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41.2(0.3)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0.286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  <w:t xml:space="preserve">Serum </w:t>
            </w:r>
            <w:bookmarkStart w:id="17" w:name="OLE_LINK124"/>
            <w:r w:rsidRPr="002973CE"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  <w:t>calcium</w:t>
            </w:r>
            <w:bookmarkEnd w:id="17"/>
            <w:r w:rsidRPr="002973CE">
              <w:rPr>
                <w:rFonts w:ascii="Times New Roman" w:eastAsia="DengXian" w:hAnsi="Times New Roman" w:cs="Times New Roman"/>
                <w:snapToGrid w:val="0"/>
                <w:color w:val="000000"/>
                <w:sz w:val="21"/>
                <w:szCs w:val="21"/>
              </w:rPr>
              <w:t>, mmol/L</w:t>
            </w: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2.4(0.0)</w:t>
            </w:r>
          </w:p>
        </w:tc>
        <w:tc>
          <w:tcPr>
            <w:tcW w:w="1759" w:type="dxa"/>
            <w:shd w:val="clear" w:color="auto" w:fill="auto"/>
            <w:noWrap/>
            <w:vAlign w:val="center"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2.4(0.0)</w:t>
            </w:r>
          </w:p>
        </w:tc>
        <w:tc>
          <w:tcPr>
            <w:tcW w:w="1407" w:type="dxa"/>
            <w:shd w:val="clear" w:color="auto" w:fill="auto"/>
            <w:noWrap/>
            <w:vAlign w:val="center"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0.871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ind w:left="105" w:right="540" w:hangingChars="50" w:hanging="105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25(OH)</w:t>
            </w:r>
            <w:r w:rsidRPr="002973CE" w:rsidDel="00802B15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</w:t>
            </w: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D, nmol/L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69.8(0.7)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67.2(2.2)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0.239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bookmarkStart w:id="18" w:name="OLE_LINK109"/>
            <w:r w:rsidRPr="002973CE"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>Obesity</w:t>
            </w:r>
            <w:bookmarkEnd w:id="18"/>
            <w:r w:rsidRPr="002973CE">
              <w:rPr>
                <w:rFonts w:ascii="Times New Roman" w:hAnsi="Times New Roman" w:cs="Times New Roman"/>
                <w:snapToGrid w:val="0"/>
                <w:sz w:val="21"/>
                <w:szCs w:val="21"/>
              </w:rPr>
              <w:t xml:space="preserve"> </w:t>
            </w:r>
            <w:r w:rsidRPr="002973CE">
              <w:rPr>
                <w:rFonts w:ascii="Times New Roman" w:hAnsi="Times New Roman" w:cs="Times New Roman"/>
                <w:snapToGrid w:val="0"/>
                <w:sz w:val="21"/>
                <w:szCs w:val="21"/>
                <w:vertAlign w:val="superscript"/>
              </w:rPr>
              <w:t>b</w:t>
            </w: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, n (%)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3290(43.7)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94(26.2)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&lt;0.001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Hypertension, n (%)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5477(66.7)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335(54.7)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&lt;0.001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ind w:left="105" w:right="540" w:hangingChars="50" w:hanging="105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Diabetes, n (%)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2971(33.4)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192(29.4)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0.133</w:t>
            </w:r>
          </w:p>
        </w:tc>
      </w:tr>
      <w:tr w:rsidR="005419A8" w:rsidRPr="002973CE" w:rsidTr="00D400A3">
        <w:trPr>
          <w:trHeight w:val="321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D400A3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CVD, n (%)</w:t>
            </w:r>
          </w:p>
        </w:tc>
        <w:tc>
          <w:tcPr>
            <w:tcW w:w="1502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2127(24.5)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jc w:val="center"/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</w:pPr>
            <w:r w:rsidRPr="002973CE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156(32.3)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5419A8" w:rsidRPr="002973CE" w:rsidRDefault="005419A8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0.005</w:t>
            </w:r>
          </w:p>
        </w:tc>
      </w:tr>
    </w:tbl>
    <w:p w:rsidR="005419A8" w:rsidRPr="002973CE" w:rsidRDefault="005419A8" w:rsidP="005419A8">
      <w:pPr>
        <w:adjustRightInd w:val="0"/>
        <w:snapToGrid w:val="0"/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</w:pP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  <w:vertAlign w:val="superscript"/>
        </w:rPr>
        <w:t xml:space="preserve">a 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All estimates accounted for complex survey designs. Continuous variables were expressed as mean (standard error). Categorical variables were expressed as number (percent). </w:t>
      </w:r>
    </w:p>
    <w:p w:rsidR="005419A8" w:rsidRPr="002973CE" w:rsidRDefault="005419A8" w:rsidP="005419A8">
      <w:pPr>
        <w:adjustRightInd w:val="0"/>
        <w:snapToGrid w:val="0"/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</w:pP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  <w:vertAlign w:val="superscript"/>
        </w:rPr>
        <w:t xml:space="preserve">b </w:t>
      </w:r>
      <w:r w:rsidRPr="002973CE">
        <w:rPr>
          <w:rFonts w:ascii="Times New Roman" w:eastAsia="PingFang SC" w:hAnsi="Times New Roman" w:cs="Times New Roman"/>
          <w:snapToGrid w:val="0"/>
          <w:color w:val="2A2B2E"/>
          <w:sz w:val="21"/>
          <w:szCs w:val="21"/>
          <w:shd w:val="clear" w:color="auto" w:fill="FFFFFF"/>
        </w:rPr>
        <w:t xml:space="preserve">Obesity is defined as 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body mass index</w:t>
      </w:r>
      <w:r w:rsidRPr="002973CE">
        <w:rPr>
          <w:rFonts w:ascii="Times New Roman" w:eastAsia="PingFang SC" w:hAnsi="Times New Roman" w:cs="Times New Roman"/>
          <w:snapToGrid w:val="0"/>
          <w:color w:val="2A2B2E"/>
          <w:sz w:val="21"/>
          <w:szCs w:val="21"/>
          <w:shd w:val="clear" w:color="auto" w:fill="FFFFFF"/>
        </w:rPr>
        <w:t>≥30kg/m</w:t>
      </w:r>
      <w:r w:rsidRPr="002973CE">
        <w:rPr>
          <w:rFonts w:ascii="Times New Roman" w:eastAsia="PingFang SC" w:hAnsi="Times New Roman" w:cs="Times New Roman"/>
          <w:snapToGrid w:val="0"/>
          <w:color w:val="2A2B2E"/>
          <w:sz w:val="21"/>
          <w:szCs w:val="21"/>
          <w:shd w:val="clear" w:color="auto" w:fill="FFFFFF"/>
          <w:vertAlign w:val="superscript"/>
        </w:rPr>
        <w:t>2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.</w:t>
      </w:r>
    </w:p>
    <w:p w:rsidR="005419A8" w:rsidRPr="002973CE" w:rsidRDefault="005419A8" w:rsidP="00BF69E7">
      <w:pPr>
        <w:adjustRightInd w:val="0"/>
        <w:snapToGrid w:val="0"/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</w:pPr>
      <w:r w:rsidRPr="002973CE">
        <w:rPr>
          <w:rFonts w:ascii="Times New Roman" w:eastAsia="DengXian" w:hAnsi="Times New Roman" w:cs="Times New Roman"/>
          <w:b/>
          <w:snapToGrid w:val="0"/>
          <w:color w:val="000000"/>
          <w:sz w:val="21"/>
          <w:szCs w:val="21"/>
        </w:rPr>
        <w:t>Abbreviation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: </w:t>
      </w:r>
      <w:bookmarkStart w:id="19" w:name="OLE_LINK123"/>
      <w:r w:rsidR="00161819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CKD,</w:t>
      </w:r>
      <w:r w:rsidR="002973CE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 </w:t>
      </w:r>
      <w:r w:rsidR="00161819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chronic ki</w:t>
      </w:r>
      <w:r w:rsidR="002973CE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dney disease</w:t>
      </w:r>
      <w:r w:rsidR="00161819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; </w:t>
      </w:r>
      <w:bookmarkEnd w:id="19"/>
      <w:r w:rsidRPr="002973CE">
        <w:rPr>
          <w:rFonts w:ascii="Times New Roman" w:hAnsi="Times New Roman" w:cs="Times New Roman"/>
          <w:snapToGrid w:val="0"/>
          <w:sz w:val="21"/>
          <w:szCs w:val="21"/>
        </w:rPr>
        <w:t>CVD, cardiovascular disease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.</w:t>
      </w:r>
    </w:p>
    <w:p w:rsidR="002973CE" w:rsidRPr="002973CE" w:rsidRDefault="002973CE" w:rsidP="00BF69E7">
      <w:pPr>
        <w:adjustRightInd w:val="0"/>
        <w:snapToGrid w:val="0"/>
        <w:rPr>
          <w:rFonts w:ascii="Times New Roman" w:hAnsi="Times New Roman" w:cs="Times New Roman"/>
          <w:b/>
          <w:lang w:bidi="ar"/>
        </w:rPr>
      </w:pPr>
    </w:p>
    <w:p w:rsidR="002973CE" w:rsidRPr="002973CE" w:rsidRDefault="002973CE" w:rsidP="00BF69E7">
      <w:pPr>
        <w:adjustRightInd w:val="0"/>
        <w:snapToGrid w:val="0"/>
        <w:rPr>
          <w:rFonts w:ascii="Times New Roman" w:hAnsi="Times New Roman" w:cs="Times New Roman"/>
          <w:b/>
          <w:lang w:bidi="ar"/>
        </w:rPr>
      </w:pPr>
    </w:p>
    <w:p w:rsidR="002973CE" w:rsidRPr="002973CE" w:rsidRDefault="002973CE" w:rsidP="00BF69E7">
      <w:pPr>
        <w:adjustRightInd w:val="0"/>
        <w:snapToGrid w:val="0"/>
        <w:rPr>
          <w:rFonts w:ascii="Times New Roman" w:hAnsi="Times New Roman" w:cs="Times New Roman"/>
          <w:b/>
          <w:lang w:bidi="ar"/>
        </w:rPr>
      </w:pPr>
    </w:p>
    <w:p w:rsidR="00BF69E7" w:rsidRPr="002973CE" w:rsidRDefault="00C674D7" w:rsidP="00C674D7">
      <w:pPr>
        <w:adjustRightInd w:val="0"/>
        <w:snapToGrid w:val="0"/>
        <w:jc w:val="both"/>
        <w:rPr>
          <w:rFonts w:ascii="Times New Roman" w:hAnsi="Times New Roman" w:cs="Times New Roman"/>
          <w:b/>
          <w:snapToGrid w:val="0"/>
          <w:color w:val="000000" w:themeColor="text1"/>
        </w:rPr>
      </w:pPr>
      <w:r w:rsidRPr="002973CE">
        <w:rPr>
          <w:rFonts w:ascii="Times New Roman" w:hAnsi="Times New Roman" w:cs="Times New Roman"/>
          <w:b/>
          <w:lang w:bidi="ar"/>
        </w:rPr>
        <w:t xml:space="preserve">Supplemental Table </w:t>
      </w:r>
      <w:r>
        <w:rPr>
          <w:rFonts w:ascii="Times New Roman" w:hAnsi="Times New Roman" w:cs="Times New Roman"/>
          <w:b/>
          <w:lang w:bidi="ar"/>
        </w:rPr>
        <w:t xml:space="preserve">2. </w:t>
      </w:r>
      <w:r w:rsidRPr="002973CE">
        <w:rPr>
          <w:rFonts w:ascii="Times New Roman" w:hAnsi="Times New Roman" w:cs="Times New Roman"/>
          <w:b/>
          <w:snapToGrid w:val="0"/>
          <w:color w:val="000000" w:themeColor="text1"/>
        </w:rPr>
        <w:t>Sensitiv</w:t>
      </w:r>
      <w:r w:rsidR="0032302F">
        <w:rPr>
          <w:rFonts w:ascii="Times New Roman" w:hAnsi="Times New Roman" w:cs="Times New Roman"/>
          <w:b/>
          <w:snapToGrid w:val="0"/>
          <w:color w:val="000000" w:themeColor="text1"/>
        </w:rPr>
        <w:t>ity</w:t>
      </w:r>
      <w:r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analyses for the association of </w:t>
      </w:r>
      <w:r w:rsidRPr="002973CE">
        <w:rPr>
          <w:rFonts w:ascii="Times New Roman" w:hAnsi="Times New Roman" w:cs="Times New Roman"/>
          <w:b/>
          <w:snapToGrid w:val="0"/>
          <w:color w:val="000000" w:themeColor="text1"/>
          <w:shd w:val="clear" w:color="auto" w:fill="FFFFFF"/>
        </w:rPr>
        <w:t>serum phosphorus</w:t>
      </w:r>
      <w:r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levels with all-cause mortality </w:t>
      </w:r>
      <w:r>
        <w:rPr>
          <w:rFonts w:ascii="Times New Roman" w:hAnsi="Times New Roman" w:cs="Times New Roman" w:hint="eastAsia"/>
          <w:b/>
          <w:snapToGrid w:val="0"/>
          <w:color w:val="000000" w:themeColor="text1"/>
        </w:rPr>
        <w:t>by</w:t>
      </w:r>
      <w:r>
        <w:rPr>
          <w:rFonts w:ascii="Times New Roman" w:hAnsi="Times New Roman" w:cs="Times New Roman"/>
          <w:b/>
          <w:snapToGrid w:val="0"/>
          <w:color w:val="000000" w:themeColor="text1"/>
        </w:rPr>
        <w:t xml:space="preserve"> further adjusting co-medications and survey years</w:t>
      </w:r>
    </w:p>
    <w:tbl>
      <w:tblPr>
        <w:tblStyle w:val="a3"/>
        <w:tblW w:w="82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7"/>
        <w:gridCol w:w="2930"/>
        <w:gridCol w:w="1804"/>
      </w:tblGrid>
      <w:tr w:rsidR="00BF69E7" w:rsidRPr="002973CE" w:rsidTr="00C674D7">
        <w:trPr>
          <w:trHeight w:val="258"/>
        </w:trPr>
        <w:tc>
          <w:tcPr>
            <w:tcW w:w="3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9E7" w:rsidRPr="002973CE" w:rsidRDefault="00BF69E7" w:rsidP="00D400A3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Serum </w:t>
            </w:r>
            <w:proofErr w:type="spellStart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  <w:shd w:val="clear" w:color="auto" w:fill="FFFFFF"/>
              </w:rPr>
              <w:t>phosphorus</w:t>
            </w:r>
            <w:proofErr w:type="spellEnd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, mg/</w:t>
            </w:r>
            <w:proofErr w:type="spellStart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dL</w:t>
            </w:r>
            <w:proofErr w:type="spellEnd"/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proofErr w:type="spellStart"/>
            <w:r w:rsidRPr="002973CE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Adjusted</w:t>
            </w:r>
            <w:proofErr w:type="spellEnd"/>
            <w:r w:rsidRPr="002973CE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 xml:space="preserve"> </w:t>
            </w: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HR</w:t>
            </w:r>
            <w:r w:rsidR="00C674D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 xml:space="preserve"> </w:t>
            </w:r>
            <w:r w:rsidR="00C674D7" w:rsidRPr="00C674D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 xml:space="preserve">P </w:t>
            </w:r>
            <w:proofErr w:type="spellStart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value</w:t>
            </w:r>
            <w:proofErr w:type="spellEnd"/>
          </w:p>
        </w:tc>
      </w:tr>
      <w:tr w:rsidR="00BF69E7" w:rsidRPr="002973CE" w:rsidTr="00C674D7">
        <w:trPr>
          <w:trHeight w:val="269"/>
        </w:trPr>
        <w:tc>
          <w:tcPr>
            <w:tcW w:w="3537" w:type="dxa"/>
            <w:vAlign w:val="center"/>
          </w:tcPr>
          <w:p w:rsidR="00BF69E7" w:rsidRPr="002973CE" w:rsidRDefault="00BF69E7" w:rsidP="00D400A3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&lt; 3.5</w:t>
            </w:r>
          </w:p>
        </w:tc>
        <w:tc>
          <w:tcPr>
            <w:tcW w:w="2930" w:type="dxa"/>
            <w:vAlign w:val="center"/>
          </w:tcPr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Reference</w:t>
            </w:r>
          </w:p>
        </w:tc>
        <w:tc>
          <w:tcPr>
            <w:tcW w:w="1804" w:type="dxa"/>
            <w:vAlign w:val="center"/>
          </w:tcPr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-</w:t>
            </w:r>
          </w:p>
        </w:tc>
      </w:tr>
      <w:tr w:rsidR="00BF69E7" w:rsidRPr="002973CE" w:rsidTr="00C674D7">
        <w:trPr>
          <w:trHeight w:val="269"/>
        </w:trPr>
        <w:tc>
          <w:tcPr>
            <w:tcW w:w="3537" w:type="dxa"/>
            <w:vAlign w:val="center"/>
          </w:tcPr>
          <w:p w:rsidR="00BF69E7" w:rsidRPr="002973CE" w:rsidRDefault="00BF69E7" w:rsidP="00D400A3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3.5</w:t>
            </w:r>
            <w:r w:rsidR="00643A96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643A96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to</w:t>
            </w:r>
            <w:proofErr w:type="spellEnd"/>
            <w:r w:rsidR="00643A96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&lt;</w:t>
            </w: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4.5 </w:t>
            </w:r>
          </w:p>
        </w:tc>
        <w:tc>
          <w:tcPr>
            <w:tcW w:w="2930" w:type="dxa"/>
            <w:vAlign w:val="center"/>
          </w:tcPr>
          <w:p w:rsidR="00BF69E7" w:rsidRPr="002973CE" w:rsidRDefault="00835DBF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>1.07(0.96,1.20)</w:t>
            </w:r>
          </w:p>
        </w:tc>
        <w:tc>
          <w:tcPr>
            <w:tcW w:w="1804" w:type="dxa"/>
            <w:vAlign w:val="center"/>
          </w:tcPr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0.</w:t>
            </w:r>
            <w:r w:rsidR="00835DBF"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237</w:t>
            </w:r>
          </w:p>
        </w:tc>
      </w:tr>
      <w:tr w:rsidR="00BF69E7" w:rsidRPr="002973CE" w:rsidTr="00C674D7">
        <w:trPr>
          <w:trHeight w:val="269"/>
        </w:trPr>
        <w:tc>
          <w:tcPr>
            <w:tcW w:w="3537" w:type="dxa"/>
            <w:vAlign w:val="center"/>
          </w:tcPr>
          <w:p w:rsidR="00BF69E7" w:rsidRPr="002973CE" w:rsidRDefault="00BF69E7" w:rsidP="00D400A3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≥ 4.5 </w:t>
            </w:r>
          </w:p>
        </w:tc>
        <w:tc>
          <w:tcPr>
            <w:tcW w:w="2930" w:type="dxa"/>
            <w:vAlign w:val="center"/>
          </w:tcPr>
          <w:p w:rsidR="00BF69E7" w:rsidRPr="002973CE" w:rsidRDefault="00835DBF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>1.30(1.07,1.57)</w:t>
            </w:r>
          </w:p>
        </w:tc>
        <w:tc>
          <w:tcPr>
            <w:tcW w:w="1804" w:type="dxa"/>
            <w:vAlign w:val="center"/>
          </w:tcPr>
          <w:p w:rsidR="00BF69E7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0.0</w:t>
            </w:r>
            <w:r w:rsidR="00A609B7"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</w:t>
            </w:r>
            <w:r w:rsidR="00835DBF"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8</w:t>
            </w:r>
          </w:p>
        </w:tc>
      </w:tr>
    </w:tbl>
    <w:p w:rsidR="00BF69E7" w:rsidRPr="002973CE" w:rsidRDefault="00BF69E7" w:rsidP="00BF69E7">
      <w:pPr>
        <w:pStyle w:val="a4"/>
        <w:shd w:val="clear" w:color="auto" w:fill="FFFFFF"/>
        <w:adjustRightInd w:val="0"/>
        <w:snapToGrid w:val="0"/>
        <w:spacing w:before="0" w:beforeAutospacing="0" w:after="0" w:afterAutospacing="0"/>
        <w:jc w:val="both"/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</w:pPr>
      <w:r w:rsidRPr="002973CE">
        <w:rPr>
          <w:rFonts w:ascii="Times New Roman" w:hAnsi="Times New Roman" w:cs="Times New Roman"/>
          <w:snapToGrid w:val="0"/>
          <w:sz w:val="21"/>
          <w:szCs w:val="21"/>
          <w:vertAlign w:val="superscript"/>
        </w:rPr>
        <w:t xml:space="preserve">a </w:t>
      </w:r>
      <w:r w:rsidRPr="002973CE">
        <w:rPr>
          <w:rFonts w:ascii="Times New Roman" w:hAnsi="Times New Roman" w:cs="Times New Roman"/>
          <w:snapToGrid w:val="0"/>
          <w:sz w:val="21"/>
          <w:szCs w:val="21"/>
        </w:rPr>
        <w:t>Adjusted for age, sex, race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, eGFR, hemoglobin, serum albumin, serum calcium, 25(OH)D, obesity, hypertension, diabetes, CVD, co-medications</w:t>
      </w:r>
      <w:bookmarkStart w:id="20" w:name="OLE_LINK101"/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 (RAS inhibitors, other anti-hypertension drugs, lipid-lowering drugs, and hypoglycemic)</w:t>
      </w:r>
      <w:bookmarkEnd w:id="20"/>
      <w:r w:rsidR="00835DBF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, and survey years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.</w:t>
      </w:r>
    </w:p>
    <w:p w:rsidR="00161819" w:rsidRPr="002973CE" w:rsidRDefault="00161819" w:rsidP="00161819">
      <w:pPr>
        <w:adjustRightInd w:val="0"/>
        <w:snapToGrid w:val="0"/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</w:pPr>
      <w:r w:rsidRPr="002973CE">
        <w:rPr>
          <w:rFonts w:ascii="Times New Roman" w:eastAsia="DengXian" w:hAnsi="Times New Roman" w:cs="Times New Roman"/>
          <w:b/>
          <w:snapToGrid w:val="0"/>
          <w:color w:val="000000"/>
          <w:sz w:val="21"/>
          <w:szCs w:val="21"/>
        </w:rPr>
        <w:t>Abbreviation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: CVD, Cardiovascular disease; HR, hazard ratio; CI,</w:t>
      </w:r>
      <w:r w:rsidRPr="002973CE">
        <w:rPr>
          <w:rFonts w:ascii="Times New Roman" w:hAnsi="Times New Roman" w:cs="Times New Roman"/>
          <w:snapToGrid w:val="0"/>
          <w:sz w:val="21"/>
          <w:szCs w:val="21"/>
        </w:rPr>
        <w:t xml:space="preserve"> 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confidence interval.</w:t>
      </w:r>
    </w:p>
    <w:p w:rsidR="00161819" w:rsidRPr="002973CE" w:rsidRDefault="00161819" w:rsidP="00BF69E7">
      <w:pPr>
        <w:pStyle w:val="a4"/>
        <w:shd w:val="clear" w:color="auto" w:fill="FFFFFF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sz w:val="21"/>
          <w:szCs w:val="21"/>
        </w:rPr>
      </w:pPr>
    </w:p>
    <w:bookmarkEnd w:id="1"/>
    <w:bookmarkEnd w:id="2"/>
    <w:p w:rsidR="00A609B7" w:rsidRPr="002973CE" w:rsidRDefault="00A609B7" w:rsidP="00066A79">
      <w:pPr>
        <w:adjustRightInd w:val="0"/>
        <w:snapToGrid w:val="0"/>
        <w:rPr>
          <w:rFonts w:ascii="Times New Roman" w:hAnsi="Times New Roman" w:cs="Times New Roman"/>
          <w:b/>
          <w:snapToGrid w:val="0"/>
          <w:color w:val="000000" w:themeColor="text1"/>
        </w:rPr>
      </w:pPr>
    </w:p>
    <w:p w:rsidR="00066A79" w:rsidRPr="002973CE" w:rsidRDefault="00066A79" w:rsidP="00C91A2B">
      <w:pPr>
        <w:adjustRightInd w:val="0"/>
        <w:snapToGrid w:val="0"/>
        <w:jc w:val="both"/>
        <w:rPr>
          <w:rFonts w:ascii="Times New Roman" w:hAnsi="Times New Roman" w:cs="Times New Roman"/>
          <w:b/>
          <w:snapToGrid w:val="0"/>
          <w:color w:val="000000" w:themeColor="text1"/>
        </w:rPr>
      </w:pPr>
    </w:p>
    <w:p w:rsidR="000905FA" w:rsidRPr="002973CE" w:rsidRDefault="00161819" w:rsidP="00C91A2B">
      <w:pPr>
        <w:adjustRightInd w:val="0"/>
        <w:snapToGrid w:val="0"/>
        <w:jc w:val="both"/>
        <w:rPr>
          <w:rFonts w:ascii="Times New Roman" w:hAnsi="Times New Roman" w:cs="Times New Roman"/>
          <w:b/>
          <w:snapToGrid w:val="0"/>
          <w:color w:val="000000" w:themeColor="text1"/>
        </w:rPr>
      </w:pPr>
      <w:r w:rsidRPr="002973CE">
        <w:rPr>
          <w:rFonts w:ascii="Times New Roman" w:hAnsi="Times New Roman" w:cs="Times New Roman"/>
          <w:b/>
          <w:lang w:bidi="ar"/>
        </w:rPr>
        <w:lastRenderedPageBreak/>
        <w:t>Supplemental Table 3</w:t>
      </w:r>
      <w:r w:rsidR="003437B7" w:rsidRPr="002973CE">
        <w:rPr>
          <w:rFonts w:ascii="Times New Roman" w:hAnsi="Times New Roman" w:cs="Times New Roman"/>
          <w:b/>
          <w:snapToGrid w:val="0"/>
          <w:color w:val="000000" w:themeColor="text1"/>
        </w:rPr>
        <w:t>.</w:t>
      </w:r>
      <w:bookmarkStart w:id="21" w:name="OLE_LINK154"/>
      <w:bookmarkStart w:id="22" w:name="OLE_LINK155"/>
      <w:bookmarkStart w:id="23" w:name="OLE_LINK78"/>
      <w:bookmarkStart w:id="24" w:name="OLE_LINK79"/>
      <w:r w:rsidR="003437B7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</w:t>
      </w:r>
      <w:bookmarkStart w:id="25" w:name="OLE_LINK170"/>
      <w:bookmarkStart w:id="26" w:name="OLE_LINK171"/>
      <w:bookmarkEnd w:id="21"/>
      <w:bookmarkEnd w:id="22"/>
      <w:r w:rsidR="000905FA" w:rsidRPr="002973CE">
        <w:rPr>
          <w:rFonts w:ascii="Times New Roman" w:hAnsi="Times New Roman" w:cs="Times New Roman"/>
          <w:b/>
          <w:snapToGrid w:val="0"/>
          <w:color w:val="000000" w:themeColor="text1"/>
        </w:rPr>
        <w:t>T</w:t>
      </w:r>
      <w:r w:rsidR="0067049C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he association of </w:t>
      </w:r>
      <w:r w:rsidR="0067049C" w:rsidRPr="002973CE">
        <w:rPr>
          <w:rFonts w:ascii="Times New Roman" w:hAnsi="Times New Roman" w:cs="Times New Roman"/>
          <w:b/>
          <w:snapToGrid w:val="0"/>
          <w:color w:val="000000" w:themeColor="text1"/>
          <w:shd w:val="clear" w:color="auto" w:fill="FFFFFF"/>
        </w:rPr>
        <w:t>serum phosphorus</w:t>
      </w:r>
      <w:r w:rsidR="0067049C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levels with all-cause mortality</w:t>
      </w:r>
      <w:r w:rsidR="000905FA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in participants by </w:t>
      </w:r>
      <w:r w:rsidR="000905FA" w:rsidRPr="002973CE">
        <w:rPr>
          <w:rFonts w:ascii="Times New Roman" w:hAnsi="Times New Roman" w:cs="Times New Roman"/>
          <w:b/>
          <w:color w:val="31353B"/>
        </w:rPr>
        <w:t>multiple imputations for missing values</w:t>
      </w:r>
      <w:r w:rsidR="000905FA" w:rsidRPr="002973CE">
        <w:rPr>
          <w:rFonts w:ascii="Times New Roman" w:hAnsi="Times New Roman" w:cs="Times New Roman"/>
          <w:b/>
          <w:snapToGrid w:val="0"/>
          <w:color w:val="000000" w:themeColor="text1"/>
        </w:rPr>
        <w:t xml:space="preserve"> (n=8363)</w:t>
      </w:r>
    </w:p>
    <w:tbl>
      <w:tblPr>
        <w:tblStyle w:val="a3"/>
        <w:tblW w:w="91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6"/>
        <w:gridCol w:w="2535"/>
        <w:gridCol w:w="2334"/>
        <w:gridCol w:w="1497"/>
      </w:tblGrid>
      <w:tr w:rsidR="0067049C" w:rsidRPr="002973CE" w:rsidTr="000905FA">
        <w:trPr>
          <w:trHeight w:val="283"/>
        </w:trPr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049C" w:rsidRPr="002973CE" w:rsidRDefault="0067049C" w:rsidP="00D400A3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Serum </w:t>
            </w:r>
            <w:proofErr w:type="spellStart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  <w:shd w:val="clear" w:color="auto" w:fill="FFFFFF"/>
              </w:rPr>
              <w:t>phosphorus</w:t>
            </w:r>
            <w:proofErr w:type="spellEnd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, mg/</w:t>
            </w:r>
            <w:proofErr w:type="spellStart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dL</w:t>
            </w:r>
            <w:proofErr w:type="spellEnd"/>
          </w:p>
        </w:tc>
        <w:tc>
          <w:tcPr>
            <w:tcW w:w="2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sz w:val="21"/>
                <w:szCs w:val="21"/>
              </w:rPr>
              <w:t>Event (rate)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proofErr w:type="spellStart"/>
            <w:r w:rsidRPr="002973CE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Adjusted</w:t>
            </w:r>
            <w:proofErr w:type="spellEnd"/>
            <w:r w:rsidRPr="002973CE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 xml:space="preserve"> </w:t>
            </w: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HR</w:t>
            </w:r>
            <w:r w:rsidR="00C674D7" w:rsidRPr="002973CE">
              <w:rPr>
                <w:rFonts w:ascii="Times New Roman" w:hAnsi="Times New Roman" w:cs="Times New Roman"/>
                <w:b/>
                <w:snapToGrid w:val="0"/>
                <w:color w:val="000000" w:themeColor="text1"/>
                <w:vertAlign w:val="superscript"/>
              </w:rPr>
              <w:t xml:space="preserve"> a</w:t>
            </w:r>
          </w:p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(95% CI)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 xml:space="preserve">P </w:t>
            </w:r>
            <w:proofErr w:type="spellStart"/>
            <w:r w:rsidRPr="002973C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21"/>
                <w:szCs w:val="21"/>
              </w:rPr>
              <w:t>value</w:t>
            </w:r>
            <w:proofErr w:type="spellEnd"/>
          </w:p>
        </w:tc>
      </w:tr>
      <w:tr w:rsidR="0067049C" w:rsidRPr="002973CE" w:rsidTr="000905FA">
        <w:trPr>
          <w:trHeight w:val="295"/>
        </w:trPr>
        <w:tc>
          <w:tcPr>
            <w:tcW w:w="2816" w:type="dxa"/>
            <w:vAlign w:val="center"/>
          </w:tcPr>
          <w:p w:rsidR="0067049C" w:rsidRPr="002973CE" w:rsidRDefault="0067049C" w:rsidP="00D400A3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&lt; 3.5</w:t>
            </w:r>
          </w:p>
        </w:tc>
        <w:tc>
          <w:tcPr>
            <w:tcW w:w="2535" w:type="dxa"/>
            <w:vAlign w:val="center"/>
          </w:tcPr>
          <w:p w:rsidR="0067049C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904 (35.2)</w:t>
            </w:r>
          </w:p>
        </w:tc>
        <w:tc>
          <w:tcPr>
            <w:tcW w:w="2334" w:type="dxa"/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Reference</w:t>
            </w:r>
          </w:p>
        </w:tc>
        <w:tc>
          <w:tcPr>
            <w:tcW w:w="1497" w:type="dxa"/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-</w:t>
            </w:r>
          </w:p>
        </w:tc>
      </w:tr>
      <w:tr w:rsidR="0067049C" w:rsidRPr="002973CE" w:rsidTr="000905FA">
        <w:trPr>
          <w:trHeight w:val="295"/>
        </w:trPr>
        <w:tc>
          <w:tcPr>
            <w:tcW w:w="2816" w:type="dxa"/>
            <w:vAlign w:val="center"/>
          </w:tcPr>
          <w:p w:rsidR="0067049C" w:rsidRPr="002973CE" w:rsidRDefault="0067049C" w:rsidP="00D400A3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3.5</w:t>
            </w:r>
            <w:r w:rsidR="00643A96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643A96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>to</w:t>
            </w:r>
            <w:proofErr w:type="spellEnd"/>
            <w:r w:rsidR="00643A96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 &lt;</w:t>
            </w: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4.5 </w:t>
            </w:r>
          </w:p>
        </w:tc>
        <w:tc>
          <w:tcPr>
            <w:tcW w:w="2535" w:type="dxa"/>
            <w:vAlign w:val="center"/>
          </w:tcPr>
          <w:p w:rsidR="0067049C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1766 (35.6)</w:t>
            </w:r>
          </w:p>
        </w:tc>
        <w:tc>
          <w:tcPr>
            <w:tcW w:w="2334" w:type="dxa"/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1.0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4</w:t>
            </w: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(0.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95</w:t>
            </w: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,1.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3</w:t>
            </w: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97" w:type="dxa"/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0.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393</w:t>
            </w:r>
          </w:p>
        </w:tc>
      </w:tr>
      <w:tr w:rsidR="0067049C" w:rsidRPr="002973CE" w:rsidTr="000905FA">
        <w:trPr>
          <w:trHeight w:val="295"/>
        </w:trPr>
        <w:tc>
          <w:tcPr>
            <w:tcW w:w="2816" w:type="dxa"/>
            <w:vAlign w:val="center"/>
          </w:tcPr>
          <w:p w:rsidR="0067049C" w:rsidRPr="002973CE" w:rsidRDefault="0067049C" w:rsidP="00D400A3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 w:themeColor="text1"/>
                <w:sz w:val="21"/>
                <w:szCs w:val="21"/>
              </w:rPr>
              <w:t xml:space="preserve">≥ 4.5 </w:t>
            </w:r>
          </w:p>
        </w:tc>
        <w:tc>
          <w:tcPr>
            <w:tcW w:w="2535" w:type="dxa"/>
            <w:vAlign w:val="center"/>
          </w:tcPr>
          <w:p w:rsidR="0067049C" w:rsidRPr="002973CE" w:rsidRDefault="00BF69E7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312 (37.6)</w:t>
            </w:r>
          </w:p>
        </w:tc>
        <w:tc>
          <w:tcPr>
            <w:tcW w:w="2334" w:type="dxa"/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1.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7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(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1.0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2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,</w:t>
            </w: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1.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3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4</w:t>
            </w:r>
            <w:r w:rsidRPr="002973CE">
              <w:rPr>
                <w:rFonts w:ascii="Times New Roman" w:hAnsi="Times New Roman" w:cs="Times New Roman"/>
                <w:snapToGrid w:val="0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97" w:type="dxa"/>
            <w:vAlign w:val="center"/>
          </w:tcPr>
          <w:p w:rsidR="0067049C" w:rsidRPr="002973CE" w:rsidRDefault="0067049C" w:rsidP="00C674D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</w:pPr>
            <w:r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0.</w:t>
            </w:r>
            <w:r w:rsidR="00BF69E7"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0</w:t>
            </w:r>
            <w:r w:rsidR="006E3677" w:rsidRPr="002973CE">
              <w:rPr>
                <w:rFonts w:ascii="Times New Roman" w:hAnsi="Times New Roman" w:cs="Times New Roman"/>
                <w:snapToGrid w:val="0"/>
                <w:color w:val="000000"/>
                <w:sz w:val="21"/>
                <w:szCs w:val="21"/>
              </w:rPr>
              <w:t>21</w:t>
            </w:r>
          </w:p>
        </w:tc>
      </w:tr>
    </w:tbl>
    <w:p w:rsidR="0067049C" w:rsidRPr="002973CE" w:rsidRDefault="0067049C" w:rsidP="0067049C">
      <w:pPr>
        <w:pStyle w:val="a4"/>
        <w:shd w:val="clear" w:color="auto" w:fill="FFFFFF"/>
        <w:adjustRightInd w:val="0"/>
        <w:snapToGrid w:val="0"/>
        <w:spacing w:before="0" w:beforeAutospacing="0" w:after="0" w:afterAutospacing="0"/>
        <w:jc w:val="both"/>
        <w:rPr>
          <w:rFonts w:ascii="Times New Roman" w:hAnsi="Times New Roman" w:cs="Times New Roman"/>
          <w:snapToGrid w:val="0"/>
          <w:sz w:val="21"/>
          <w:szCs w:val="21"/>
        </w:rPr>
      </w:pPr>
      <w:r w:rsidRPr="002973CE">
        <w:rPr>
          <w:rFonts w:ascii="Times New Roman" w:hAnsi="Times New Roman" w:cs="Times New Roman"/>
          <w:snapToGrid w:val="0"/>
          <w:sz w:val="21"/>
          <w:szCs w:val="21"/>
          <w:vertAlign w:val="superscript"/>
        </w:rPr>
        <w:t xml:space="preserve">a </w:t>
      </w:r>
      <w:bookmarkStart w:id="27" w:name="OLE_LINK118"/>
      <w:r w:rsidRPr="002973CE">
        <w:rPr>
          <w:rFonts w:ascii="Times New Roman" w:hAnsi="Times New Roman" w:cs="Times New Roman"/>
          <w:snapToGrid w:val="0"/>
          <w:sz w:val="21"/>
          <w:szCs w:val="21"/>
        </w:rPr>
        <w:t>Adjusted for age, sex, race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, eGFR, </w:t>
      </w:r>
      <w:bookmarkStart w:id="28" w:name="OLE_LINK47"/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 xml:space="preserve">hemoglobin, serum albumin, serum calcium, 25(OH)D, obesity, </w:t>
      </w:r>
      <w:bookmarkEnd w:id="28"/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hypertension, diabetes, CVD</w:t>
      </w:r>
      <w:r w:rsidR="006E3677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, co-medications (RAS inhibitors, other anti-hypertension drugs, lipid-lowering drugs, and hypoglycemic), and survey years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.</w:t>
      </w:r>
    </w:p>
    <w:bookmarkEnd w:id="23"/>
    <w:bookmarkEnd w:id="24"/>
    <w:bookmarkEnd w:id="27"/>
    <w:p w:rsidR="003437B7" w:rsidRPr="002973CE" w:rsidRDefault="0067049C" w:rsidP="0067049C">
      <w:pPr>
        <w:adjustRightInd w:val="0"/>
        <w:snapToGrid w:val="0"/>
        <w:rPr>
          <w:rFonts w:ascii="Times New Roman" w:eastAsia="DengXian" w:hAnsi="Times New Roman" w:cs="Times New Roman"/>
          <w:snapToGrid w:val="0"/>
          <w:color w:val="000000" w:themeColor="text1"/>
          <w:sz w:val="21"/>
          <w:szCs w:val="21"/>
        </w:rPr>
      </w:pPr>
      <w:r w:rsidRPr="002973CE">
        <w:rPr>
          <w:rFonts w:ascii="Times New Roman" w:eastAsia="DengXian" w:hAnsi="Times New Roman" w:cs="Times New Roman"/>
          <w:b/>
          <w:snapToGrid w:val="0"/>
          <w:color w:val="000000"/>
          <w:sz w:val="21"/>
          <w:szCs w:val="21"/>
        </w:rPr>
        <w:t>Abbreviation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: CVD, Cardiovascular disease; HR, hazard ratio; CI,</w:t>
      </w:r>
      <w:r w:rsidRPr="002973CE">
        <w:rPr>
          <w:rFonts w:ascii="Times New Roman" w:hAnsi="Times New Roman" w:cs="Times New Roman"/>
          <w:snapToGrid w:val="0"/>
          <w:sz w:val="21"/>
          <w:szCs w:val="21"/>
        </w:rPr>
        <w:t xml:space="preserve"> </w:t>
      </w:r>
      <w:r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confidence interval</w:t>
      </w:r>
      <w:r w:rsidR="00161819" w:rsidRPr="002973CE">
        <w:rPr>
          <w:rFonts w:ascii="Times New Roman" w:eastAsia="DengXian" w:hAnsi="Times New Roman" w:cs="Times New Roman"/>
          <w:snapToGrid w:val="0"/>
          <w:color w:val="000000"/>
          <w:sz w:val="21"/>
          <w:szCs w:val="21"/>
        </w:rPr>
        <w:t>.</w:t>
      </w:r>
    </w:p>
    <w:bookmarkEnd w:id="25"/>
    <w:bookmarkEnd w:id="26"/>
    <w:p w:rsidR="004A6744" w:rsidRPr="002973CE" w:rsidRDefault="004A6744">
      <w:pPr>
        <w:rPr>
          <w:rFonts w:ascii="Times New Roman" w:hAnsi="Times New Roman" w:cs="Times New Roman"/>
        </w:rPr>
      </w:pPr>
    </w:p>
    <w:sectPr w:rsidR="004A6744" w:rsidRPr="002973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B7"/>
    <w:rsid w:val="00002D0C"/>
    <w:rsid w:val="000226FF"/>
    <w:rsid w:val="00066A79"/>
    <w:rsid w:val="000905FA"/>
    <w:rsid w:val="0009445D"/>
    <w:rsid w:val="00095641"/>
    <w:rsid w:val="000978A1"/>
    <w:rsid w:val="000B5012"/>
    <w:rsid w:val="000E0C0D"/>
    <w:rsid w:val="00131E4C"/>
    <w:rsid w:val="00161819"/>
    <w:rsid w:val="00164B63"/>
    <w:rsid w:val="00214F6D"/>
    <w:rsid w:val="00230946"/>
    <w:rsid w:val="002438E2"/>
    <w:rsid w:val="00245E36"/>
    <w:rsid w:val="00282261"/>
    <w:rsid w:val="0029395F"/>
    <w:rsid w:val="002973CE"/>
    <w:rsid w:val="002E2D2C"/>
    <w:rsid w:val="0032302F"/>
    <w:rsid w:val="003437B7"/>
    <w:rsid w:val="003601B3"/>
    <w:rsid w:val="003705AE"/>
    <w:rsid w:val="00376004"/>
    <w:rsid w:val="00377C0A"/>
    <w:rsid w:val="00397E1F"/>
    <w:rsid w:val="003A36F3"/>
    <w:rsid w:val="003D00C8"/>
    <w:rsid w:val="00441E7A"/>
    <w:rsid w:val="00445CB2"/>
    <w:rsid w:val="004509D4"/>
    <w:rsid w:val="00457CDC"/>
    <w:rsid w:val="004668F0"/>
    <w:rsid w:val="004774ED"/>
    <w:rsid w:val="0048232A"/>
    <w:rsid w:val="00483226"/>
    <w:rsid w:val="004A6744"/>
    <w:rsid w:val="004B7F36"/>
    <w:rsid w:val="005419A8"/>
    <w:rsid w:val="00544B5A"/>
    <w:rsid w:val="005748B0"/>
    <w:rsid w:val="00583ECA"/>
    <w:rsid w:val="005A6279"/>
    <w:rsid w:val="005C5B01"/>
    <w:rsid w:val="005F05F7"/>
    <w:rsid w:val="005F6B9F"/>
    <w:rsid w:val="0060234F"/>
    <w:rsid w:val="0061070D"/>
    <w:rsid w:val="00611F7F"/>
    <w:rsid w:val="00643A96"/>
    <w:rsid w:val="00647189"/>
    <w:rsid w:val="00657447"/>
    <w:rsid w:val="0067049C"/>
    <w:rsid w:val="00692B98"/>
    <w:rsid w:val="006B0F55"/>
    <w:rsid w:val="006D1F2E"/>
    <w:rsid w:val="006E3677"/>
    <w:rsid w:val="006F4149"/>
    <w:rsid w:val="007550B0"/>
    <w:rsid w:val="00766478"/>
    <w:rsid w:val="007B4263"/>
    <w:rsid w:val="007F47C7"/>
    <w:rsid w:val="008076CD"/>
    <w:rsid w:val="0081135E"/>
    <w:rsid w:val="00816E73"/>
    <w:rsid w:val="008209E2"/>
    <w:rsid w:val="00835DBF"/>
    <w:rsid w:val="00864DFD"/>
    <w:rsid w:val="00873411"/>
    <w:rsid w:val="00886B3E"/>
    <w:rsid w:val="008902F7"/>
    <w:rsid w:val="008C093B"/>
    <w:rsid w:val="008C4F53"/>
    <w:rsid w:val="008D2A90"/>
    <w:rsid w:val="008E62F0"/>
    <w:rsid w:val="009419CF"/>
    <w:rsid w:val="00976CFB"/>
    <w:rsid w:val="009D676E"/>
    <w:rsid w:val="009F2B72"/>
    <w:rsid w:val="00A14CD1"/>
    <w:rsid w:val="00A25048"/>
    <w:rsid w:val="00A25D29"/>
    <w:rsid w:val="00A327FE"/>
    <w:rsid w:val="00A3629E"/>
    <w:rsid w:val="00A609B7"/>
    <w:rsid w:val="00A64AA5"/>
    <w:rsid w:val="00A7289D"/>
    <w:rsid w:val="00A9123F"/>
    <w:rsid w:val="00AC24C5"/>
    <w:rsid w:val="00AE2DE2"/>
    <w:rsid w:val="00AE45AE"/>
    <w:rsid w:val="00B01E9A"/>
    <w:rsid w:val="00B1120F"/>
    <w:rsid w:val="00B22D8D"/>
    <w:rsid w:val="00B302BE"/>
    <w:rsid w:val="00B30B07"/>
    <w:rsid w:val="00B5277F"/>
    <w:rsid w:val="00B52A4C"/>
    <w:rsid w:val="00B561CE"/>
    <w:rsid w:val="00B61105"/>
    <w:rsid w:val="00B61B13"/>
    <w:rsid w:val="00B62BD7"/>
    <w:rsid w:val="00B75771"/>
    <w:rsid w:val="00B81B4E"/>
    <w:rsid w:val="00B8283B"/>
    <w:rsid w:val="00B85289"/>
    <w:rsid w:val="00B93CBF"/>
    <w:rsid w:val="00BA1D4F"/>
    <w:rsid w:val="00BC3ED4"/>
    <w:rsid w:val="00BC66FC"/>
    <w:rsid w:val="00BE152B"/>
    <w:rsid w:val="00BF2ECB"/>
    <w:rsid w:val="00BF59BD"/>
    <w:rsid w:val="00BF69E7"/>
    <w:rsid w:val="00C11032"/>
    <w:rsid w:val="00C50A11"/>
    <w:rsid w:val="00C64E1B"/>
    <w:rsid w:val="00C674D7"/>
    <w:rsid w:val="00C82C19"/>
    <w:rsid w:val="00C840F2"/>
    <w:rsid w:val="00C91A2B"/>
    <w:rsid w:val="00CB4711"/>
    <w:rsid w:val="00CC4F1C"/>
    <w:rsid w:val="00CD74CF"/>
    <w:rsid w:val="00CE293B"/>
    <w:rsid w:val="00CF2144"/>
    <w:rsid w:val="00D019E3"/>
    <w:rsid w:val="00D236B3"/>
    <w:rsid w:val="00D53BDA"/>
    <w:rsid w:val="00D551DC"/>
    <w:rsid w:val="00D93D1D"/>
    <w:rsid w:val="00DD42D3"/>
    <w:rsid w:val="00DD6F24"/>
    <w:rsid w:val="00DF72CA"/>
    <w:rsid w:val="00E331FD"/>
    <w:rsid w:val="00E60A08"/>
    <w:rsid w:val="00E7688F"/>
    <w:rsid w:val="00E94316"/>
    <w:rsid w:val="00EB54FF"/>
    <w:rsid w:val="00EC314E"/>
    <w:rsid w:val="00EC498C"/>
    <w:rsid w:val="00ED73D8"/>
    <w:rsid w:val="00ED762B"/>
    <w:rsid w:val="00F041A0"/>
    <w:rsid w:val="00F07B0C"/>
    <w:rsid w:val="00F10DE0"/>
    <w:rsid w:val="00F32A85"/>
    <w:rsid w:val="00F46A72"/>
    <w:rsid w:val="00F56A8C"/>
    <w:rsid w:val="00F6561B"/>
    <w:rsid w:val="00F67DAB"/>
    <w:rsid w:val="00F91427"/>
    <w:rsid w:val="00F979F0"/>
    <w:rsid w:val="00FA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97553C"/>
  <w15:chartTrackingRefBased/>
  <w15:docId w15:val="{6D7E4DFC-F243-2C4F-8C77-8FAEA6BF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1B3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EB54FF"/>
    <w:tblPr/>
  </w:style>
  <w:style w:type="table" w:customStyle="1" w:styleId="10">
    <w:name w:val="表格1"/>
    <w:basedOn w:val="a1"/>
    <w:uiPriority w:val="99"/>
    <w:rsid w:val="00EB54FF"/>
    <w:tblPr/>
  </w:style>
  <w:style w:type="table" w:styleId="a3">
    <w:name w:val="Table Grid"/>
    <w:basedOn w:val="a1"/>
    <w:uiPriority w:val="39"/>
    <w:rsid w:val="003437B7"/>
    <w:rPr>
      <w:kern w:val="0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link w:val="a5"/>
    <w:uiPriority w:val="99"/>
    <w:unhideWhenUsed/>
    <w:rsid w:val="003437B7"/>
    <w:pPr>
      <w:spacing w:before="100" w:beforeAutospacing="1" w:after="100" w:afterAutospacing="1"/>
    </w:pPr>
  </w:style>
  <w:style w:type="character" w:customStyle="1" w:styleId="a5">
    <w:name w:val="普通(网站) 字符"/>
    <w:basedOn w:val="a0"/>
    <w:link w:val="a4"/>
    <w:uiPriority w:val="99"/>
    <w:rsid w:val="003437B7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2023-11-11T09:56:00Z</dcterms:created>
  <dcterms:modified xsi:type="dcterms:W3CDTF">2024-02-09T13:38:00Z</dcterms:modified>
</cp:coreProperties>
</file>