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60F1F" w14:textId="147256B3" w:rsidR="00CC1AC5" w:rsidRDefault="00000000">
      <w:pPr>
        <w:spacing w:after="0" w:line="240" w:lineRule="auto"/>
        <w:jc w:val="both"/>
        <w:rPr>
          <w:sz w:val="24"/>
          <w:szCs w:val="24"/>
        </w:rPr>
      </w:pPr>
      <w:r>
        <w:rPr>
          <w:sz w:val="24"/>
          <w:szCs w:val="24"/>
        </w:rPr>
        <w:t>Supplementary table. Overview of literature review</w:t>
      </w:r>
    </w:p>
    <w:tbl>
      <w:tblPr>
        <w:tblStyle w:val="PlainTable21"/>
        <w:tblW w:w="0" w:type="auto"/>
        <w:tblLayout w:type="fixed"/>
        <w:tblLook w:val="04A0" w:firstRow="1" w:lastRow="0" w:firstColumn="1" w:lastColumn="0" w:noHBand="0" w:noVBand="1"/>
      </w:tblPr>
      <w:tblGrid>
        <w:gridCol w:w="1765"/>
        <w:gridCol w:w="1175"/>
        <w:gridCol w:w="1313"/>
        <w:gridCol w:w="1559"/>
        <w:gridCol w:w="818"/>
        <w:gridCol w:w="2442"/>
        <w:gridCol w:w="3828"/>
      </w:tblGrid>
      <w:tr w:rsidR="00CC1AC5" w14:paraId="67311026" w14:textId="77777777" w:rsidTr="001F7C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5" w:type="dxa"/>
          </w:tcPr>
          <w:p w14:paraId="285EE6CA" w14:textId="77777777" w:rsidR="00CC1AC5" w:rsidRDefault="00000000">
            <w:pPr>
              <w:spacing w:after="0" w:line="240" w:lineRule="auto"/>
              <w:jc w:val="center"/>
              <w:rPr>
                <w:rFonts w:cs="Times New Roman"/>
                <w:b w:val="0"/>
                <w:bCs w:val="0"/>
                <w:sz w:val="20"/>
                <w:szCs w:val="20"/>
              </w:rPr>
            </w:pPr>
            <w:r>
              <w:rPr>
                <w:rFonts w:cs="Times New Roman"/>
                <w:sz w:val="20"/>
                <w:szCs w:val="20"/>
              </w:rPr>
              <w:t>AUTHORS (FIRST AUTHOR SURNAME) AND YEAR</w:t>
            </w:r>
          </w:p>
        </w:tc>
        <w:tc>
          <w:tcPr>
            <w:tcW w:w="1175" w:type="dxa"/>
          </w:tcPr>
          <w:p w14:paraId="5BC894A5" w14:textId="77777777" w:rsidR="00CC1AC5"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Pr>
                <w:rFonts w:cs="Times New Roman"/>
                <w:sz w:val="20"/>
                <w:szCs w:val="20"/>
              </w:rPr>
              <w:t>NUMBER AND GENDER OF PATIENTS</w:t>
            </w:r>
          </w:p>
        </w:tc>
        <w:tc>
          <w:tcPr>
            <w:tcW w:w="1313" w:type="dxa"/>
          </w:tcPr>
          <w:p w14:paraId="38FB5FCC" w14:textId="77777777" w:rsidR="00CC1AC5" w:rsidRDefault="00000000">
            <w:pPr>
              <w:spacing w:after="0" w:line="240" w:lineRule="auto"/>
              <w:ind w:right="-80"/>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Pr>
                <w:rFonts w:cs="Times New Roman"/>
                <w:sz w:val="20"/>
                <w:szCs w:val="20"/>
              </w:rPr>
              <w:t>TIME OF ONSET AFTER HSCT</w:t>
            </w:r>
          </w:p>
        </w:tc>
        <w:tc>
          <w:tcPr>
            <w:tcW w:w="1559" w:type="dxa"/>
          </w:tcPr>
          <w:p w14:paraId="1E96F77E" w14:textId="77777777" w:rsidR="00CC1AC5"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Pr>
                <w:rFonts w:cs="Times New Roman"/>
                <w:sz w:val="20"/>
                <w:szCs w:val="20"/>
              </w:rPr>
              <w:t>NOTABLE FINDINGS</w:t>
            </w:r>
          </w:p>
        </w:tc>
        <w:tc>
          <w:tcPr>
            <w:tcW w:w="818" w:type="dxa"/>
          </w:tcPr>
          <w:p w14:paraId="20A16335" w14:textId="77777777" w:rsidR="00CC1AC5"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Pr>
                <w:rFonts w:cs="Times New Roman"/>
                <w:sz w:val="20"/>
                <w:szCs w:val="20"/>
              </w:rPr>
              <w:t>aFAT1 ab</w:t>
            </w:r>
          </w:p>
        </w:tc>
        <w:tc>
          <w:tcPr>
            <w:tcW w:w="2442" w:type="dxa"/>
          </w:tcPr>
          <w:p w14:paraId="6A67B833" w14:textId="77777777" w:rsidR="00CC1AC5"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Pr>
                <w:rFonts w:cs="Times New Roman"/>
                <w:sz w:val="20"/>
                <w:szCs w:val="20"/>
              </w:rPr>
              <w:t>aPLA2R ab &amp; PLA2R</w:t>
            </w:r>
          </w:p>
        </w:tc>
        <w:tc>
          <w:tcPr>
            <w:tcW w:w="3828" w:type="dxa"/>
          </w:tcPr>
          <w:p w14:paraId="28127577" w14:textId="77777777" w:rsidR="00CC1AC5" w:rsidRDefault="00000000">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Pr>
                <w:rFonts w:cs="Times New Roman"/>
                <w:sz w:val="20"/>
                <w:szCs w:val="20"/>
              </w:rPr>
              <w:t>TREATMENT AND OUTCOME</w:t>
            </w:r>
          </w:p>
        </w:tc>
      </w:tr>
      <w:tr w:rsidR="00CC1AC5" w14:paraId="2E34C9DF"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60456B4D" w14:textId="77777777"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t>Abudayyeh</w:t>
            </w:r>
            <w:proofErr w:type="spellEnd"/>
            <w:r w:rsidRPr="009E5CC5">
              <w:rPr>
                <w:rFonts w:cs="Times New Roman"/>
                <w:sz w:val="20"/>
                <w:szCs w:val="20"/>
              </w:rPr>
              <w:t xml:space="preserve">, 2015 (1) </w:t>
            </w:r>
          </w:p>
        </w:tc>
        <w:tc>
          <w:tcPr>
            <w:tcW w:w="1175" w:type="dxa"/>
            <w:tcBorders>
              <w:top w:val="single" w:sz="4" w:space="0" w:color="7F7F7F" w:themeColor="text1" w:themeTint="80"/>
              <w:bottom w:val="single" w:sz="4" w:space="0" w:color="7F7F7F" w:themeColor="text1" w:themeTint="80"/>
            </w:tcBorders>
          </w:tcPr>
          <w:p w14:paraId="62325F95"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Borders>
              <w:top w:val="single" w:sz="4" w:space="0" w:color="7F7F7F" w:themeColor="text1" w:themeTint="80"/>
              <w:bottom w:val="single" w:sz="4" w:space="0" w:color="7F7F7F" w:themeColor="text1" w:themeTint="80"/>
            </w:tcBorders>
          </w:tcPr>
          <w:p w14:paraId="4189C59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6 y</w:t>
            </w:r>
          </w:p>
        </w:tc>
        <w:tc>
          <w:tcPr>
            <w:tcW w:w="1559" w:type="dxa"/>
            <w:tcBorders>
              <w:top w:val="single" w:sz="4" w:space="0" w:color="7F7F7F" w:themeColor="text1" w:themeTint="80"/>
              <w:bottom w:val="single" w:sz="4" w:space="0" w:color="7F7F7F" w:themeColor="text1" w:themeTint="80"/>
            </w:tcBorders>
          </w:tcPr>
          <w:p w14:paraId="5D6D683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 (5 g/d)</w:t>
            </w:r>
          </w:p>
        </w:tc>
        <w:tc>
          <w:tcPr>
            <w:tcW w:w="818" w:type="dxa"/>
            <w:tcBorders>
              <w:top w:val="single" w:sz="4" w:space="0" w:color="7F7F7F" w:themeColor="text1" w:themeTint="80"/>
              <w:bottom w:val="single" w:sz="4" w:space="0" w:color="7F7F7F" w:themeColor="text1" w:themeTint="80"/>
            </w:tcBorders>
          </w:tcPr>
          <w:p w14:paraId="49435786"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37819835"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Ab - negative</w:t>
            </w:r>
          </w:p>
        </w:tc>
        <w:tc>
          <w:tcPr>
            <w:tcW w:w="3828" w:type="dxa"/>
            <w:tcBorders>
              <w:top w:val="single" w:sz="4" w:space="0" w:color="7F7F7F" w:themeColor="text1" w:themeTint="80"/>
              <w:bottom w:val="single" w:sz="4" w:space="0" w:color="7F7F7F" w:themeColor="text1" w:themeTint="80"/>
            </w:tcBorders>
          </w:tcPr>
          <w:p w14:paraId="01B8EBA5" w14:textId="0174DEBB"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PS 60 mg/d, four weekly doses of </w:t>
            </w:r>
            <w:r w:rsidR="009E5CC5">
              <w:rPr>
                <w:rFonts w:cs="Times New Roman"/>
                <w:sz w:val="20"/>
                <w:szCs w:val="20"/>
              </w:rPr>
              <w:t xml:space="preserve">RTX </w:t>
            </w:r>
            <w:r>
              <w:rPr>
                <w:rFonts w:cs="Times New Roman"/>
                <w:sz w:val="20"/>
                <w:szCs w:val="20"/>
              </w:rPr>
              <w:t>375 mg/m</w:t>
            </w:r>
            <w:r>
              <w:rPr>
                <w:rFonts w:cs="Times New Roman"/>
                <w:sz w:val="20"/>
                <w:szCs w:val="20"/>
                <w:vertAlign w:val="superscript"/>
              </w:rPr>
              <w:t>2</w:t>
            </w:r>
            <w:r>
              <w:rPr>
                <w:rFonts w:cs="Times New Roman"/>
                <w:sz w:val="20"/>
                <w:szCs w:val="20"/>
              </w:rPr>
              <w:t>; reduction of proteinuria (1.1 g/d)</w:t>
            </w:r>
          </w:p>
        </w:tc>
      </w:tr>
      <w:tr w:rsidR="00CC1AC5" w14:paraId="6D788602"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3A313AF1" w14:textId="26DA1B38" w:rsidR="00CC1AC5" w:rsidRPr="009E5CC5" w:rsidRDefault="00000000">
            <w:pPr>
              <w:spacing w:after="0" w:line="240" w:lineRule="auto"/>
              <w:jc w:val="center"/>
              <w:rPr>
                <w:rFonts w:cs="Times New Roman"/>
                <w:sz w:val="20"/>
                <w:szCs w:val="20"/>
              </w:rPr>
            </w:pPr>
            <w:r w:rsidRPr="009E5CC5">
              <w:rPr>
                <w:rFonts w:cs="Times New Roman"/>
                <w:sz w:val="20"/>
                <w:szCs w:val="20"/>
              </w:rPr>
              <w:t xml:space="preserve">Bai, 2021 </w:t>
            </w:r>
            <w:r w:rsidRPr="009E5CC5">
              <w:rPr>
                <w:rFonts w:cs="Times New Roman"/>
                <w:sz w:val="20"/>
                <w:szCs w:val="20"/>
              </w:rPr>
              <w:fldChar w:fldCharType="begin" w:fldLock="1"/>
            </w:r>
            <w:r w:rsidRPr="009E5CC5">
              <w:rPr>
                <w:rFonts w:cs="Times New Roman"/>
                <w:sz w:val="20"/>
                <w:szCs w:val="20"/>
              </w:rPr>
              <w:instrText>ADDIN CSL_CITATION {"citationItems":[{"id":"ITEM-1","itemData":{"DOI":"10.12998/wjcc.v9.i3.614","ISBN":"0000000271974","ISSN":"23078960","abstract":"BACKGROUND Hematopoietic stem cell transplantation (HSCT) is widely used in the treatment of hematological diseases. However, complications after transplantation, such as acute and chronic graft-vs-host disease (GVHD), still seriously affect the quality of life and even threaten the lives of patients. There is evidence that glomerular diseases can manifest as GVHD. However, GVHD should not occur as a result of syngeneic HSCT. CASE SUMMARY A 20-year-old male diagnosed with T lymphoblastic lymphoma (stage IIIA, aaIPI 1) in September 2013 was treated with six cycles of hyper-CVAD and achieved complete remission. He underwent syngeneic HSCT in June 2014, and had no kidney disease history before the transplant. However, nephrotic syndrome occurred 24 mo later in the patient after syngeneic HSCT. Renal biopsy was performed, which led to a diagnosis of atypical membranous nephropathy. After treatment with glucocorticoids combined with cyclophosphamide and cyclosporine, the nephrotic syndrome was completely relieved. CONCLUSION We report a case of delayed nephrotic syndrome after syngeneic HSCT. Antibody-mediated autoimmune glomerular disease may be the underlying mechanism. After treatment with immunosuppressive agents, the nephrotic syndrome was completely relieved but further long-term follow-up is still needed.","author":[{"dropping-particle":"","family":"Bai","given":"Ming Chuan","non-dropping-particle":"","parse-names":false,"suffix":""},{"dropping-particle":"","family":"Wu","given":"Jing Jing","non-dropping-particle":"","parse-names":false,"suffix":""},{"dropping-particle":"","family":"Miao","given":"Kou Rong","non-dropping-particle":"","parse-names":false,"suffix":""},{"dropping-particle":"","family":"Zhu","given":"Jing Feng","non-dropping-particle":"","parse-names":false,"suffix":""},{"dropping-particle":"","family":"Mao","given":"Hui Juan","non-dropping-particle":"","parse-names":false,"suffix":""}],"container-title":"World Journal of Clinical Cases","id":"ITEM-1","issue":"3","issued":{"date-parts":[["2021"]]},"page":"614-622","title":"Nephrotic syndrome in syngeneic hematopoietic stem cell transplantation recipients: A case report","type":"article-journal","volume":"9"},"uris":["http://www.mendeley.com/documents/?uuid=155653b7-3482-4a54-81bf-ef7078522e79"]}],"mendeley":{"formattedCitation":"(1)","plainTextFormattedCitation":"(1)","previouslyFormattedCitation":"(1)"},"properties":{"noteIndex":0},"schema":"https://github.com/citation-style-language/schema/raw/master/csl-citation.json"}</w:instrText>
            </w:r>
            <w:r w:rsidRPr="009E5CC5">
              <w:rPr>
                <w:rFonts w:cs="Times New Roman"/>
                <w:sz w:val="20"/>
                <w:szCs w:val="20"/>
              </w:rPr>
              <w:fldChar w:fldCharType="separate"/>
            </w:r>
            <w:r w:rsidRPr="009E5CC5">
              <w:rPr>
                <w:rFonts w:cs="Times New Roman"/>
                <w:sz w:val="20"/>
                <w:szCs w:val="20"/>
              </w:rPr>
              <w:t>(2)</w:t>
            </w:r>
            <w:r w:rsidRPr="009E5CC5">
              <w:rPr>
                <w:rFonts w:cs="Times New Roman"/>
                <w:sz w:val="20"/>
                <w:szCs w:val="20"/>
              </w:rPr>
              <w:fldChar w:fldCharType="end"/>
            </w:r>
          </w:p>
        </w:tc>
        <w:tc>
          <w:tcPr>
            <w:tcW w:w="1175" w:type="dxa"/>
          </w:tcPr>
          <w:p w14:paraId="0DAF129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Pr>
          <w:p w14:paraId="1069A31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2 y</w:t>
            </w:r>
          </w:p>
        </w:tc>
        <w:tc>
          <w:tcPr>
            <w:tcW w:w="1559" w:type="dxa"/>
          </w:tcPr>
          <w:p w14:paraId="3FA2A0F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Limb soreness, proteinuria, lower extremities edema</w:t>
            </w:r>
          </w:p>
        </w:tc>
        <w:tc>
          <w:tcPr>
            <w:tcW w:w="818" w:type="dxa"/>
          </w:tcPr>
          <w:p w14:paraId="5D05137E"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26C9AFBA"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Ab - negative</w:t>
            </w:r>
          </w:p>
        </w:tc>
        <w:tc>
          <w:tcPr>
            <w:tcW w:w="3828" w:type="dxa"/>
          </w:tcPr>
          <w:p w14:paraId="22673C14" w14:textId="1852F92E"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roofErr w:type="spellStart"/>
            <w:r>
              <w:rPr>
                <w:rFonts w:cs="Times New Roman"/>
                <w:sz w:val="20"/>
                <w:szCs w:val="20"/>
              </w:rPr>
              <w:t>mPSL</w:t>
            </w:r>
            <w:proofErr w:type="spellEnd"/>
            <w:r>
              <w:rPr>
                <w:rFonts w:cs="Times New Roman"/>
                <w:sz w:val="20"/>
                <w:szCs w:val="20"/>
              </w:rPr>
              <w:t xml:space="preserve"> 60 mg/d, 4x 0.8 g CP; achieved long-term stability</w:t>
            </w:r>
          </w:p>
        </w:tc>
      </w:tr>
      <w:tr w:rsidR="00CC1AC5" w14:paraId="634D3B0F" w14:textId="77777777" w:rsidTr="00CC1AC5">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43B9E427" w14:textId="77777777"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t>Beyar</w:t>
            </w:r>
            <w:proofErr w:type="spellEnd"/>
            <w:r w:rsidRPr="009E5CC5">
              <w:rPr>
                <w:rFonts w:cs="Times New Roman"/>
                <w:sz w:val="20"/>
                <w:szCs w:val="20"/>
              </w:rPr>
              <w:t>-Katz, 2015 (3)</w:t>
            </w:r>
          </w:p>
        </w:tc>
        <w:tc>
          <w:tcPr>
            <w:tcW w:w="1175" w:type="dxa"/>
            <w:tcBorders>
              <w:top w:val="single" w:sz="4" w:space="0" w:color="7F7F7F" w:themeColor="text1" w:themeTint="80"/>
              <w:bottom w:val="single" w:sz="4" w:space="0" w:color="7F7F7F" w:themeColor="text1" w:themeTint="80"/>
            </w:tcBorders>
          </w:tcPr>
          <w:p w14:paraId="4D727586"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2(1 male, 1 female)</w:t>
            </w:r>
          </w:p>
        </w:tc>
        <w:tc>
          <w:tcPr>
            <w:tcW w:w="1313" w:type="dxa"/>
            <w:tcBorders>
              <w:top w:val="single" w:sz="4" w:space="0" w:color="7F7F7F" w:themeColor="text1" w:themeTint="80"/>
              <w:bottom w:val="single" w:sz="4" w:space="0" w:color="7F7F7F" w:themeColor="text1" w:themeTint="80"/>
            </w:tcBorders>
          </w:tcPr>
          <w:p w14:paraId="3B1368D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Pt1-20 </w:t>
            </w:r>
            <w:proofErr w:type="spellStart"/>
            <w:r>
              <w:rPr>
                <w:rFonts w:cs="Times New Roman"/>
                <w:sz w:val="20"/>
                <w:szCs w:val="20"/>
              </w:rPr>
              <w:t>mo</w:t>
            </w:r>
            <w:proofErr w:type="spellEnd"/>
          </w:p>
          <w:p w14:paraId="72AA3E7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Pt2-16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082C7D0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Proteinuria </w:t>
            </w:r>
          </w:p>
          <w:p w14:paraId="2DC56F2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Pt1- 10 g/d</w:t>
            </w:r>
          </w:p>
          <w:p w14:paraId="0A45FD7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Pt2-ND</w:t>
            </w:r>
          </w:p>
        </w:tc>
        <w:tc>
          <w:tcPr>
            <w:tcW w:w="818" w:type="dxa"/>
            <w:tcBorders>
              <w:top w:val="single" w:sz="4" w:space="0" w:color="7F7F7F" w:themeColor="text1" w:themeTint="80"/>
              <w:bottom w:val="single" w:sz="4" w:space="0" w:color="7F7F7F" w:themeColor="text1" w:themeTint="80"/>
            </w:tcBorders>
          </w:tcPr>
          <w:p w14:paraId="3A189C76"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5D372E7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28FF402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CS and </w:t>
            </w:r>
            <w:proofErr w:type="spellStart"/>
            <w:r>
              <w:rPr>
                <w:rFonts w:cs="Times New Roman"/>
                <w:sz w:val="20"/>
                <w:szCs w:val="20"/>
              </w:rPr>
              <w:t>CsA</w:t>
            </w:r>
            <w:proofErr w:type="spellEnd"/>
          </w:p>
        </w:tc>
      </w:tr>
      <w:tr w:rsidR="00CC1AC5" w14:paraId="419E75A8" w14:textId="77777777" w:rsidTr="00CC1AC5">
        <w:tc>
          <w:tcPr>
            <w:cnfStyle w:val="001000000000" w:firstRow="0" w:lastRow="0" w:firstColumn="1" w:lastColumn="0" w:oddVBand="0" w:evenVBand="0" w:oddHBand="0" w:evenHBand="0" w:firstRowFirstColumn="0" w:firstRowLastColumn="0" w:lastRowFirstColumn="0" w:lastRowLastColumn="0"/>
            <w:tcW w:w="1765" w:type="dxa"/>
          </w:tcPr>
          <w:p w14:paraId="24DFAA4F" w14:textId="77777777" w:rsidR="00CC1AC5" w:rsidRPr="0015063D" w:rsidRDefault="00000000">
            <w:pPr>
              <w:spacing w:after="0" w:line="240" w:lineRule="auto"/>
              <w:jc w:val="center"/>
              <w:rPr>
                <w:rFonts w:cs="Times New Roman"/>
                <w:sz w:val="20"/>
                <w:szCs w:val="20"/>
              </w:rPr>
            </w:pPr>
            <w:r w:rsidRPr="009E5CC5">
              <w:rPr>
                <w:rFonts w:cs="Times New Roman"/>
                <w:sz w:val="20"/>
                <w:szCs w:val="20"/>
              </w:rPr>
              <w:t>Byrne-Dugan, 2014 (4)</w:t>
            </w:r>
          </w:p>
        </w:tc>
        <w:tc>
          <w:tcPr>
            <w:tcW w:w="1175" w:type="dxa"/>
          </w:tcPr>
          <w:p w14:paraId="339555D7" w14:textId="77777777" w:rsidR="00CC1AC5" w:rsidRPr="001F7C54"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 (3male, 2 female)</w:t>
            </w:r>
          </w:p>
        </w:tc>
        <w:tc>
          <w:tcPr>
            <w:tcW w:w="1313" w:type="dxa"/>
          </w:tcPr>
          <w:p w14:paraId="030AFB5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Pt1-483 d</w:t>
            </w:r>
          </w:p>
          <w:p w14:paraId="5758F11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Pt2-268 d</w:t>
            </w:r>
          </w:p>
          <w:p w14:paraId="0A264AA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Pt3-1834 d</w:t>
            </w:r>
          </w:p>
          <w:p w14:paraId="7A0A380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Pt4-689 d</w:t>
            </w:r>
          </w:p>
          <w:p w14:paraId="7514B5E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Pt5- 539 d</w:t>
            </w:r>
          </w:p>
        </w:tc>
        <w:tc>
          <w:tcPr>
            <w:tcW w:w="1559" w:type="dxa"/>
          </w:tcPr>
          <w:p w14:paraId="3692D92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3AA1613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Pt1-2.3 g/d</w:t>
            </w:r>
          </w:p>
        </w:tc>
        <w:tc>
          <w:tcPr>
            <w:tcW w:w="818" w:type="dxa"/>
          </w:tcPr>
          <w:p w14:paraId="5C1C6A9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49318E8D"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Pts 1,2,3,4, - IF for PLA2R negative</w:t>
            </w:r>
          </w:p>
          <w:p w14:paraId="0D368873"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 5- IF for PLA2R positive</w:t>
            </w:r>
          </w:p>
        </w:tc>
        <w:tc>
          <w:tcPr>
            <w:tcW w:w="3828" w:type="dxa"/>
          </w:tcPr>
          <w:p w14:paraId="001D535C" w14:textId="7B916D45"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Pt1-PS 60 mg, </w:t>
            </w:r>
            <w:r w:rsidR="009E5CC5">
              <w:rPr>
                <w:rFonts w:cs="Times New Roman"/>
                <w:sz w:val="20"/>
                <w:szCs w:val="20"/>
              </w:rPr>
              <w:t xml:space="preserve">RTX </w:t>
            </w:r>
            <w:r>
              <w:rPr>
                <w:rFonts w:cs="Times New Roman"/>
                <w:sz w:val="20"/>
                <w:szCs w:val="20"/>
              </w:rPr>
              <w:t>375 mg/m</w:t>
            </w:r>
            <w:r>
              <w:rPr>
                <w:rFonts w:cs="Times New Roman"/>
                <w:sz w:val="20"/>
                <w:szCs w:val="20"/>
                <w:vertAlign w:val="superscript"/>
              </w:rPr>
              <w:t>2</w:t>
            </w:r>
            <w:r>
              <w:rPr>
                <w:rFonts w:cs="Times New Roman"/>
                <w:sz w:val="20"/>
                <w:szCs w:val="20"/>
              </w:rPr>
              <w:t xml:space="preserve"> weekly for four doses, CR</w:t>
            </w:r>
          </w:p>
          <w:p w14:paraId="0013B10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died before </w:t>
            </w:r>
            <w:proofErr w:type="gramStart"/>
            <w:r>
              <w:rPr>
                <w:rFonts w:cs="Times New Roman"/>
                <w:sz w:val="20"/>
                <w:szCs w:val="20"/>
              </w:rPr>
              <w:t>treatment</w:t>
            </w:r>
            <w:proofErr w:type="gramEnd"/>
          </w:p>
          <w:p w14:paraId="0E7A899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PS 60 mg, CR</w:t>
            </w:r>
          </w:p>
          <w:p w14:paraId="0DFD7BB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Pt4-PS 60 mg, CR</w:t>
            </w:r>
          </w:p>
          <w:p w14:paraId="507F604E" w14:textId="1519D8E5"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Pt5-PS 60 mg, </w:t>
            </w:r>
            <w:r w:rsidR="009E5CC5">
              <w:rPr>
                <w:rFonts w:cs="Times New Roman"/>
                <w:sz w:val="20"/>
                <w:szCs w:val="20"/>
              </w:rPr>
              <w:t xml:space="preserve">RTX </w:t>
            </w:r>
            <w:r>
              <w:rPr>
                <w:rFonts w:cs="Times New Roman"/>
                <w:sz w:val="20"/>
                <w:szCs w:val="20"/>
              </w:rPr>
              <w:t>375 mg/m</w:t>
            </w:r>
            <w:r>
              <w:rPr>
                <w:rFonts w:cs="Times New Roman"/>
                <w:sz w:val="20"/>
                <w:szCs w:val="20"/>
                <w:vertAlign w:val="superscript"/>
              </w:rPr>
              <w:t>2</w:t>
            </w:r>
            <w:r>
              <w:rPr>
                <w:rFonts w:cs="Times New Roman"/>
                <w:sz w:val="20"/>
                <w:szCs w:val="20"/>
              </w:rPr>
              <w:t xml:space="preserve"> weekly for four doses, PR</w:t>
            </w:r>
          </w:p>
        </w:tc>
      </w:tr>
      <w:tr w:rsidR="00CC1AC5" w14:paraId="773F3A42"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7714962E" w14:textId="422E1847"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Chan, 2008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{"citationItems":[{"id":"ITEM-1","itemData":{"DOI":"10.1111/j.1440-1797.2007.00915.x","ISSN":"13205358","PMID":"18221254","abstract":"Aim: The ever-growing number and increasing survival of haematopoietic stem cell transplantation (HSCT) allow better recognition of its associated renal injuries. We aimed to study the clinicopathologic features of renal biopsies after HSCT by reviewing 13 percutaneous renal biopsies in our institute (Queen Mary Hospital). Methods: A retrospective clinicopathologic study of all renal biopsies archived to the Department of Pathology, Queen Mary Hospital during the period January 1999 to December 2006 was performed. Biopsies from patients with HSCT were selected. Clinical data on presentation and follow up were retrieved from hospital records and physicians. Results: In the 8-year period, a total of 2233 native renal biopsies were archived. Thirteen renal biopsies were selected from 12 patients with HSCT (11 allogeneic, one autologous). All but one patient were male. The age at renal biopsy ranged from 7 to 63 years (median: 32 years). The median interval of renal biopsy after HSCT was 24 months (range 1-134 months). Evidence of graft-versus-host disease was found in nine patients. The most common presentation was significant proteinuria (10 cases) and renal impairment (eight cases). The predominant histological changes were membranous glomerulonephritis (n = 4) and thrombotic microangiopathy (n = 4). One case of focal segmental glomerulosclerosis, IgA nephropathy, minimal change disease, acute tubular necrosis and hypertensive nephrosclerosis were also recorded. Four of our patients died at 0-11 months after renal biopsy. Of the remaining eight patients with a mean follow up of 43.6 months (range, 10-98 months), chronic renal impairment were found in three (37.5%) patients and significant proteinuria also persisted in three. One patient had cytogenetic evidence of relapse of underlying haematological malignancy after HSCT. Conclusion: Among the various renal lesions after HSCT, membranous glomerulonephritis and thrombotic microangiopathy were the most common. Mechanisms of renal injury varied from graft-versus-host disease-associated immune complex deposition to non-immune complex injury on endothelial cells, glomerular epithelial cells and tubular epithelium. Pathologists and clinicians should attend to the histological and temporal heterogeneity of renal injury when managing patients after HSCT. © 2008 The Authors.","author":[{"dropping-particle":"","family":"Chan","given":"Gavin S.W.","non-dropping-particle":"","parse-names":false,"suffix":""},{"dropping-particle":"","family":"Lam","given":"Man Fai","non-dropping-particle":"","parse-names":false,"suffix":""},{"dropping-particle":"","family":"Au","given":"Wing Yan","non-dropping-particle":"","parse-names":false,"suffix":""},{"dropping-particle":"","family":"Chim","given":"Stella","non-dropping-particle":"","parse-names":false,"suffix":""},{"dropping-particle":"","family":"Tse","given":"Kai Chung","non-dropping-particle":"","parse-names":false,"suffix":""},{"dropping-particle":"","family":"Lo","given":"Stanley H.K.","non-dropping-particle":"","parse-names":false,"suffix":""},{"dropping-particle":"","family":"Fung","given":"Shing Hoi","non-dropping-particle":"","parse-names":false,"suffix":""},{"dropping-particle":"","family":"Lai","given":"Kar Neng","non-dropping-particle":"","parse-names":false,"suffix":""},{"dropping-particle":"","family":"Chan","given":"Kwok Wah","non-dropping-particle":"","parse-names":false,"suffix":""}],"container-title":"Nephrology","id":"ITEM-1","issue":"4","issued":{"date-parts":[["2008"]]},"page":"322-330","title":"Clinicopathologic analysis of renal biopsies after haematopoietic stem cell transplantation","type":"article-journal","volume":"13"},"uris":["http://www.mendeley.com/documents/?uuid=4e1ffa64-7b12-407b-a455-ce46706dee32"]}],"mendeley":{"formattedCitation":"(2)","plainTextFormattedCitation":"(2)","previouslyFormattedCitation":"(2)"},"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(5)</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6BD24EFB"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3 (all male)</w:t>
            </w:r>
          </w:p>
        </w:tc>
        <w:tc>
          <w:tcPr>
            <w:tcW w:w="1313" w:type="dxa"/>
            <w:tcBorders>
              <w:top w:val="single" w:sz="4" w:space="0" w:color="7F7F7F" w:themeColor="text1" w:themeTint="80"/>
              <w:bottom w:val="single" w:sz="4" w:space="0" w:color="7F7F7F" w:themeColor="text1" w:themeTint="80"/>
            </w:tcBorders>
          </w:tcPr>
          <w:p w14:paraId="7E2CDF2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Pt1 - 34 </w:t>
            </w:r>
            <w:proofErr w:type="spellStart"/>
            <w:r>
              <w:rPr>
                <w:rFonts w:cs="Times New Roman"/>
                <w:sz w:val="20"/>
                <w:szCs w:val="20"/>
              </w:rPr>
              <w:t>mo</w:t>
            </w:r>
            <w:proofErr w:type="spellEnd"/>
          </w:p>
          <w:p w14:paraId="1A79D1A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Pt2 - 134 </w:t>
            </w:r>
            <w:proofErr w:type="spellStart"/>
            <w:r>
              <w:rPr>
                <w:rFonts w:cs="Times New Roman"/>
                <w:sz w:val="20"/>
                <w:szCs w:val="20"/>
              </w:rPr>
              <w:t>mo</w:t>
            </w:r>
            <w:proofErr w:type="spellEnd"/>
            <w:r>
              <w:rPr>
                <w:rFonts w:cs="Times New Roman"/>
                <w:sz w:val="20"/>
                <w:szCs w:val="20"/>
              </w:rPr>
              <w:t xml:space="preserve"> </w:t>
            </w:r>
            <w:r>
              <w:rPr>
                <w:rFonts w:cs="Times New Roman"/>
                <w:sz w:val="20"/>
                <w:szCs w:val="20"/>
              </w:rPr>
              <w:br/>
              <w:t xml:space="preserve">Pt3 - 62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4E6BEE1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1D99078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Pt1 -24.6 g/d</w:t>
            </w:r>
          </w:p>
          <w:p w14:paraId="12C36BF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Pt2 - 1.05 g/d</w:t>
            </w:r>
          </w:p>
          <w:p w14:paraId="6E12927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Pt3 - 7.6 g/d</w:t>
            </w:r>
          </w:p>
        </w:tc>
        <w:tc>
          <w:tcPr>
            <w:tcW w:w="818" w:type="dxa"/>
            <w:tcBorders>
              <w:top w:val="single" w:sz="4" w:space="0" w:color="7F7F7F" w:themeColor="text1" w:themeTint="80"/>
              <w:bottom w:val="single" w:sz="4" w:space="0" w:color="7F7F7F" w:themeColor="text1" w:themeTint="80"/>
            </w:tcBorders>
          </w:tcPr>
          <w:p w14:paraId="598AAD7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382E536D"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64434D3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PSL, MMF, </w:t>
            </w:r>
            <w:proofErr w:type="spellStart"/>
            <w:r>
              <w:rPr>
                <w:rFonts w:cs="Times New Roman"/>
                <w:sz w:val="20"/>
                <w:szCs w:val="20"/>
              </w:rPr>
              <w:t>CsA</w:t>
            </w:r>
            <w:proofErr w:type="spellEnd"/>
            <w:r>
              <w:rPr>
                <w:rFonts w:cs="Times New Roman"/>
                <w:sz w:val="20"/>
                <w:szCs w:val="20"/>
              </w:rPr>
              <w:t>; CR</w:t>
            </w:r>
          </w:p>
          <w:p w14:paraId="04F6484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w:t>
            </w:r>
            <w:proofErr w:type="spellStart"/>
            <w:r>
              <w:rPr>
                <w:rFonts w:cs="Times New Roman"/>
                <w:sz w:val="20"/>
                <w:szCs w:val="20"/>
              </w:rPr>
              <w:t>ACEi</w:t>
            </w:r>
            <w:proofErr w:type="spellEnd"/>
            <w:r>
              <w:rPr>
                <w:rFonts w:cs="Times New Roman"/>
                <w:sz w:val="20"/>
                <w:szCs w:val="20"/>
              </w:rPr>
              <w:t>; normal renal function and proteinuria 0.85 g/d</w:t>
            </w:r>
            <w:r>
              <w:rPr>
                <w:rFonts w:cs="Times New Roman"/>
                <w:sz w:val="20"/>
                <w:szCs w:val="20"/>
              </w:rPr>
              <w:br/>
              <w:t xml:space="preserve">Pt3 – prednisolone, MMF, </w:t>
            </w:r>
            <w:proofErr w:type="spellStart"/>
            <w:r>
              <w:rPr>
                <w:rFonts w:cs="Times New Roman"/>
                <w:sz w:val="20"/>
                <w:szCs w:val="20"/>
              </w:rPr>
              <w:t>CsA</w:t>
            </w:r>
            <w:proofErr w:type="spellEnd"/>
            <w:r>
              <w:rPr>
                <w:rFonts w:cs="Times New Roman"/>
                <w:sz w:val="20"/>
                <w:szCs w:val="20"/>
              </w:rPr>
              <w:t>: renal impairment</w:t>
            </w:r>
          </w:p>
        </w:tc>
      </w:tr>
      <w:tr w:rsidR="00CC1AC5" w14:paraId="0362FC8F"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4FAAE2D9" w14:textId="7D6628F7"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Cho, 2013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{"citationItems":[{"id":"ITEM-1","itemData":{"DOI":"10.1016/j.krcp.2013.07.004","ISSN":"22119140","abstract":"Background Nephrotic syndrome (NS) and proteinuria are uncommon, often unrecognized manifestations of graft-versus-host disease (GVHD) after hematopoietic stem cell transplantation (HSCT). Only a few isolated case reports and case series involving smaller number of patients who developed NS after HSCT have been published. Methods We reviewed the renal histopathological examination findings and clinical records of 15 patients who developed proteinuria after HSCT at Seoul and Yeouido St. Mary's Hospital (Seoul, Korea). We also measured the anti-PLA2R antibodies (M-type phospholipase A2 receptor) in the serum samples from the seven patients at the time of renal biopsy. Results All patients had GVHD. The most common indication for biopsy was proteinuria (&gt;1 g/day), with nine patients having nephrotic range proteinuria. The most common histopathological finding was membranous nephropathy (MN; n = 12). Other findings were membranoproliferative glomerulonephritis, C1q nephropathy, and diabetic nephropathy. Eleven patients were treated with immunosuppressive agents, and three patients were treated only with angiotensin II receptor blocker. The overall response rate, including complete remission (urinary protein level &lt;0.3 g/day) and partial remission (urinary protein level = 0.31-3.4 g/day), was 73%. The mean follow-up period was 26 months, and none of the patients developed end-stage renal disease. All of the seven patients with MN had negative findings for anti-PLA2R antibodies, measured using an enzyme-linked immunosorbent assay kit. Conclusion In this study the findings of 15 renal biopsies were analyzed and to our knowledge this is the largest clinicopathological study of GVHD-related biopsy-proven nephropathy. Approximately 80% of the patients were MN and 73% responded either partially or completely to immunosuppressive treatment. Currently, there is an increase in the incidence of GVHD-mediated renal disease, and therefore, renal biopsy is essential for diagnosing the nephropathy and preventing the progression of renal disease. © 2013. The Korean Society of Nephrology. Published by Elsevier. All rights reserved.","author":[{"dropping-particle":"","family":"Cho","given":"Yul Hee","non-dropping-particle":"","parse-names":false,"suffix":""},{"dropping-particle":"","family":"Kang","given":"Seok Hui","non-dropping-particle":"","parse-names":false,"suffix":""},{"dropping-particle":"","family":"Kim","given":"Yaeni","non-dropping-particle":"","parse-names":false,"suffix":""},{"dropping-particle":"","family":"Lee","given":"Myung Hyun","non-dropping-particle":"","parse-names":false,"suffix":""},{"dropping-particle":"","family":"An","given":"Gun Hee","non-dropping-particle":"","parse-names":false,"suffix":""},{"dropping-particle":"","family":"Chung","given":"Byung Ha","non-dropping-particle":"","parse-names":false,"suffix":""},{"dropping-particle":"","family":"Choi","given":"Bum Soon","non-dropping-particle":"","parse-names":false,"suffix":""},{"dropping-particle":"","family":"Yang","given":"Chul Woo","non-dropping-particle":"","parse-names":false,"suffix":""},{"dropping-particle":"","family":"Kim","given":"Yong Soo","non-dropping-particle":"","parse-names":false,"suffix":""},{"dropping-particle":"","family":"Choi","given":"Yeong Jin","non-dropping-particle":"","parse-names":false,"suffix":""},{"dropping-particle":"","family":"Park","given":"Cheol Whee","non-dropping-particle":"","parse-names":false,"suffix":""}],"container-title":"Kidney Research and Clinical Practice","id":"ITEM-1","issue":"3","issued":{"date-parts":[["2013"]]},"page":"121-126","publisher":"Elsevier","title":"De novo glomerulitis associated with graft-versus-host disease after allogeneic hematopoietic stem cell transplantation: A single-center experience","type":"article-journal","volume":"32"},"uris":["http://www.mendeley.com/documents/?uuid=d292a4a5-9344-4a88-9e32-3dd3fd6dd38d"]}],"mendeley":{"formattedCitation":"(3)","plainTextFormattedCitation":"(3)","previouslyFormattedCitation":"(3)"},"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(6)</w:t>
            </w:r>
            <w:r w:rsidRPr="0015063D">
              <w:rPr>
                <w:rFonts w:cs="Times New Roman"/>
                <w:b w:val="0"/>
                <w:bCs w:val="0"/>
                <w:sz w:val="20"/>
                <w:szCs w:val="20"/>
              </w:rPr>
              <w:fldChar w:fldCharType="end"/>
            </w:r>
          </w:p>
        </w:tc>
        <w:tc>
          <w:tcPr>
            <w:tcW w:w="1175" w:type="dxa"/>
          </w:tcPr>
          <w:p w14:paraId="69CD75D2"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12 (6 male, 6 female)</w:t>
            </w:r>
          </w:p>
        </w:tc>
        <w:tc>
          <w:tcPr>
            <w:tcW w:w="1313" w:type="dxa"/>
          </w:tcPr>
          <w:p w14:paraId="0A2DF51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40 </w:t>
            </w:r>
            <w:proofErr w:type="spellStart"/>
            <w:r>
              <w:rPr>
                <w:rFonts w:cs="Times New Roman"/>
                <w:sz w:val="20"/>
                <w:szCs w:val="20"/>
              </w:rPr>
              <w:t>mo</w:t>
            </w:r>
            <w:proofErr w:type="spellEnd"/>
            <w:r>
              <w:rPr>
                <w:rFonts w:cs="Times New Roman"/>
                <w:sz w:val="20"/>
                <w:szCs w:val="20"/>
              </w:rPr>
              <w:t xml:space="preserve"> (mean duration)</w:t>
            </w:r>
          </w:p>
        </w:tc>
        <w:tc>
          <w:tcPr>
            <w:tcW w:w="1559" w:type="dxa"/>
          </w:tcPr>
          <w:p w14:paraId="201F901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Nephrotic syndrome and proteinuria</w:t>
            </w:r>
          </w:p>
        </w:tc>
        <w:tc>
          <w:tcPr>
            <w:tcW w:w="818" w:type="dxa"/>
          </w:tcPr>
          <w:p w14:paraId="75E70F40"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3C410F19"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Ab - negative</w:t>
            </w:r>
          </w:p>
        </w:tc>
        <w:tc>
          <w:tcPr>
            <w:tcW w:w="3828" w:type="dxa"/>
          </w:tcPr>
          <w:p w14:paraId="26ED0DD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CR – 6 pts</w:t>
            </w:r>
          </w:p>
          <w:p w14:paraId="6F39EB0B"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NR – 2 pts</w:t>
            </w:r>
          </w:p>
          <w:p w14:paraId="1BFAE65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 – 4 pts</w:t>
            </w:r>
          </w:p>
        </w:tc>
      </w:tr>
      <w:tr w:rsidR="00CC1AC5" w14:paraId="0E4507E4"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077FBDD7" w14:textId="533E8F61"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Colombo, 2006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{"citationItems":[{"id":"ITEM-1","itemData":{"DOI":"10.1097/01.tp.0000209496.26639.cb","ISSN":"00411337","PMID":"16641591","abstract":"Background. This study aims to determine the incidence and outcome of nephrotic syndrome in patients who underwent allogeneic stem cell transplantation in a single center. Methods. Records of 279 adult patients with hematological diseases who underwent allogeneic hematopoietic stem cell transplantation were analyzed to evaluate the incidence and outcome of nephrotic syndrome. The diagnosis of chronic graft-versus-host disease was based on clinical evidence with histological confirmation whenever possible. Results. Of the 279 patients, 105 with a minimum follow-up of 100 days developed chronic graft-versus-host disease: six of these had nephrotic syndrome. The cumulative incidence of nephrotic syndrome was 8% at day +1681. Patients grafted with peripheral blood stem cells had a higher probability of developing nephrotic syndrome than did those grafted with bone marrow: 24% and 3%, respectively. The pathological diagnosis was membranous glomerulonephritis in four patients, and minimal change disease in one; the diagnosis could not be histologically confirmed in the sixth patient. All patients had extensive chronic graft-versus-host disease and were receiving treatment with cyclosporine A and steroids (four patients). Response to immunosuppressive therapy with cyclosporine A and steroids was achieved in all patients at a median time of 12 weeks after transplantation. Conclusion. Patients with chronic graft-versus-host disease may be considered to be at risk of nephrotic syndrome: careful monitoring of renal function is advisable, particularly in patients receiving allogeneic peripheral stem cell grafts. Copyright © 2006 by Lippincott Williams &amp; Wilkins.","author":[{"dropping-particle":"","family":"Colombo","given":"Anna A.","non-dropping-particle":"","parse-names":false,"suffix":""},{"dropping-particle":"","family":"Rusconi","given":"Chiara","non-dropping-particle":"","parse-names":false,"suffix":""},{"dropping-particle":"","family":"Esposito","given":"Ciro","non-dropping-particle":"","parse-names":false,"suffix":""},{"dropping-particle":"","family":"Bernasconi","given":"Paolo","non-dropping-particle":"","parse-names":false,"suffix":""},{"dropping-particle":"","family":"Caldera","given":"Daniela","non-dropping-particle":"","parse-names":false,"suffix":""},{"dropping-particle":"","family":"Lazzarino","given":"Mario","non-dropping-particle":"","parse-names":false,"suffix":""},{"dropping-particle":"","family":"Alessandrino","given":"Emilio P.","non-dropping-particle":"","parse-names":false,"suffix":""}],"container-title":"Transplantation","id":"ITEM-1","issue":"8","issued":{"date-parts":[["2006"]]},"page":"1087-1092","title":"Nephrotic syndrome after allogeneic hematopoietic stem cell transplantation as a late complication of chronic graft-versus-host disease","type":"article-journal","volume":"81"},"uris":["http://www.mendeley.com/documents/?uuid=45602fa8-5c59-45c5-bd36-26a961070bfe"]}],"mendeley":{"formattedCitation":"(4)","plainTextFormattedCitation":"(4)","previouslyFormattedCitation":"(4)"},"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(7)</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4AA283F2"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4 (all male)</w:t>
            </w:r>
          </w:p>
        </w:tc>
        <w:tc>
          <w:tcPr>
            <w:tcW w:w="1313" w:type="dxa"/>
            <w:tcBorders>
              <w:top w:val="single" w:sz="4" w:space="0" w:color="7F7F7F" w:themeColor="text1" w:themeTint="80"/>
              <w:bottom w:val="single" w:sz="4" w:space="0" w:color="7F7F7F" w:themeColor="text1" w:themeTint="80"/>
            </w:tcBorders>
          </w:tcPr>
          <w:p w14:paraId="57ACC68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405 d</w:t>
            </w:r>
            <w:r>
              <w:rPr>
                <w:rFonts w:cs="Times New Roman"/>
                <w:sz w:val="20"/>
                <w:szCs w:val="20"/>
              </w:rPr>
              <w:br/>
              <w:t>Pt2 – 522 d</w:t>
            </w:r>
            <w:r>
              <w:rPr>
                <w:rFonts w:cs="Times New Roman"/>
                <w:sz w:val="20"/>
                <w:szCs w:val="20"/>
              </w:rPr>
              <w:br/>
              <w:t>Pt3 – 1681 d</w:t>
            </w:r>
            <w:r>
              <w:rPr>
                <w:rFonts w:cs="Times New Roman"/>
                <w:sz w:val="20"/>
                <w:szCs w:val="20"/>
              </w:rPr>
              <w:br/>
              <w:t>Pt4 – 466 d</w:t>
            </w:r>
          </w:p>
        </w:tc>
        <w:tc>
          <w:tcPr>
            <w:tcW w:w="1559" w:type="dxa"/>
            <w:tcBorders>
              <w:top w:val="single" w:sz="4" w:space="0" w:color="7F7F7F" w:themeColor="text1" w:themeTint="80"/>
              <w:bottom w:val="single" w:sz="4" w:space="0" w:color="7F7F7F" w:themeColor="text1" w:themeTint="80"/>
            </w:tcBorders>
          </w:tcPr>
          <w:p w14:paraId="1A48632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Fatigue and leg edema;</w:t>
            </w:r>
            <w:r>
              <w:rPr>
                <w:rFonts w:cs="Times New Roman"/>
                <w:sz w:val="20"/>
                <w:szCs w:val="20"/>
              </w:rPr>
              <w:br/>
              <w:t>Proteinuria:</w:t>
            </w:r>
          </w:p>
          <w:p w14:paraId="660FFD7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8.9 g/d</w:t>
            </w:r>
            <w:r>
              <w:rPr>
                <w:rFonts w:cs="Times New Roman"/>
                <w:sz w:val="20"/>
                <w:szCs w:val="20"/>
              </w:rPr>
              <w:br/>
              <w:t>Pt2 – 12 g/d</w:t>
            </w:r>
            <w:r>
              <w:rPr>
                <w:rFonts w:cs="Times New Roman"/>
                <w:sz w:val="20"/>
                <w:szCs w:val="20"/>
              </w:rPr>
              <w:br/>
              <w:t>Pt3 – 5.1 g/d</w:t>
            </w:r>
          </w:p>
          <w:p w14:paraId="0E7CCB6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4 g/d</w:t>
            </w:r>
          </w:p>
        </w:tc>
        <w:tc>
          <w:tcPr>
            <w:tcW w:w="818" w:type="dxa"/>
            <w:tcBorders>
              <w:top w:val="single" w:sz="4" w:space="0" w:color="7F7F7F" w:themeColor="text1" w:themeTint="80"/>
              <w:bottom w:val="single" w:sz="4" w:space="0" w:color="7F7F7F" w:themeColor="text1" w:themeTint="80"/>
            </w:tcBorders>
          </w:tcPr>
          <w:p w14:paraId="6494E9B7"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3FD6F882"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350863B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3 and 4 – PS and </w:t>
            </w:r>
            <w:proofErr w:type="spellStart"/>
            <w:r>
              <w:rPr>
                <w:rFonts w:cs="Times New Roman"/>
                <w:sz w:val="20"/>
                <w:szCs w:val="20"/>
              </w:rPr>
              <w:t>CsA</w:t>
            </w:r>
            <w:proofErr w:type="spellEnd"/>
            <w:r>
              <w:rPr>
                <w:rFonts w:cs="Times New Roman"/>
                <w:sz w:val="20"/>
                <w:szCs w:val="20"/>
              </w:rPr>
              <w:t>; CR</w:t>
            </w:r>
          </w:p>
          <w:p w14:paraId="1DE5A704" w14:textId="220F5BA0"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CP 200 mg/d + PS 1mg/kg/d; died due to ARDS</w:t>
            </w:r>
          </w:p>
        </w:tc>
      </w:tr>
      <w:tr w:rsidR="00CC1AC5" w14:paraId="61A4B41D" w14:textId="77777777" w:rsidTr="001F7C54">
        <w:trPr>
          <w:trHeight w:val="557"/>
        </w:trPr>
        <w:tc>
          <w:tcPr>
            <w:cnfStyle w:val="001000000000" w:firstRow="0" w:lastRow="0" w:firstColumn="1" w:lastColumn="0" w:oddVBand="0" w:evenVBand="0" w:oddHBand="0" w:evenHBand="0" w:firstRowFirstColumn="0" w:firstRowLastColumn="0" w:lastRowFirstColumn="0" w:lastRowLastColumn="0"/>
            <w:tcW w:w="1765" w:type="dxa"/>
          </w:tcPr>
          <w:p w14:paraId="094C7B97" w14:textId="423AC55E"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lastRenderedPageBreak/>
              <w:t>Ferrannini</w:t>
            </w:r>
            <w:proofErr w:type="spellEnd"/>
            <w:r w:rsidRPr="009E5CC5">
              <w:rPr>
                <w:rFonts w:cs="Times New Roman"/>
                <w:sz w:val="20"/>
                <w:szCs w:val="20"/>
              </w:rPr>
              <w:t xml:space="preserve">, 2008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10.1093/ndt/gfn202","ISSN":"09310509","PMID":"18403436","author":[{"dropping-particle":"","family":"Ferrannini","given":"Michele","non-dropping-particle":"","parse-names":false,"suffix":""},{"dropping-particle":"","family":"Vischini","given":"Gisella","non-dropping-particle":"","parse-names":false,"suffix":""},{"dropping-particle":"","family":"Daniele","given":"Nicola","non-dropping-particle":"Di","parse-names":false,"suffix":""}],"container-title":"Nephrology Dialysis Transplantation","id":"ITEM-1","issue":"8","issued":{"date-parts":[["2008"]]},"page":"2699-2700","title":"Rituximab in membranous nephropathy after haematopoietic stem cell transplantation","type":"article-journal","volume":"23"},"uris":["http://www.mendeley.com/documents/?uuid=00d6aaed-c4c3-49d6-b276-9b22bad25c52"]}],"mendeley":{"formattedCitation":"(5)","plainTextFormattedCitation":"(5)","previouslyFormattedCitation":"(5)"},"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(8)</w:t>
            </w:r>
            <w:r w:rsidRPr="0015063D">
              <w:rPr>
                <w:rFonts w:cs="Times New Roman"/>
                <w:b w:val="0"/>
                <w:bCs w:val="0"/>
                <w:sz w:val="20"/>
                <w:szCs w:val="20"/>
              </w:rPr>
              <w:fldChar w:fldCharType="end"/>
            </w:r>
          </w:p>
        </w:tc>
        <w:tc>
          <w:tcPr>
            <w:tcW w:w="1175" w:type="dxa"/>
          </w:tcPr>
          <w:p w14:paraId="562E077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(female)</w:t>
            </w:r>
          </w:p>
        </w:tc>
        <w:tc>
          <w:tcPr>
            <w:tcW w:w="1313" w:type="dxa"/>
          </w:tcPr>
          <w:p w14:paraId="3EE0BE7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23 </w:t>
            </w:r>
            <w:proofErr w:type="spellStart"/>
            <w:r>
              <w:rPr>
                <w:rFonts w:cs="Times New Roman"/>
                <w:sz w:val="20"/>
                <w:szCs w:val="20"/>
              </w:rPr>
              <w:t>mo</w:t>
            </w:r>
            <w:proofErr w:type="spellEnd"/>
          </w:p>
        </w:tc>
        <w:tc>
          <w:tcPr>
            <w:tcW w:w="1559" w:type="dxa"/>
          </w:tcPr>
          <w:p w14:paraId="4EF6AB9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 35.2 g/d; hypertensive crisis</w:t>
            </w:r>
          </w:p>
        </w:tc>
        <w:tc>
          <w:tcPr>
            <w:tcW w:w="818" w:type="dxa"/>
          </w:tcPr>
          <w:p w14:paraId="6821EF69"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78EA7F62"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Pr>
          <w:p w14:paraId="5725D68D" w14:textId="1BA28C8E"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MPSL 1g/day; relapse after 1 month; </w:t>
            </w:r>
            <w:r w:rsidR="009E5CC5">
              <w:rPr>
                <w:rFonts w:cs="Times New Roman"/>
                <w:sz w:val="20"/>
                <w:szCs w:val="20"/>
              </w:rPr>
              <w:t xml:space="preserve">RTX </w:t>
            </w:r>
            <w:r>
              <w:rPr>
                <w:rFonts w:cs="Times New Roman"/>
                <w:sz w:val="20"/>
                <w:szCs w:val="20"/>
              </w:rPr>
              <w:t>375 mg/m</w:t>
            </w:r>
            <w:r>
              <w:rPr>
                <w:rFonts w:cs="Times New Roman"/>
                <w:sz w:val="20"/>
                <w:szCs w:val="20"/>
                <w:vertAlign w:val="superscript"/>
              </w:rPr>
              <w:t>2</w:t>
            </w:r>
            <w:r>
              <w:rPr>
                <w:rFonts w:cs="Times New Roman"/>
                <w:sz w:val="20"/>
                <w:szCs w:val="20"/>
              </w:rPr>
              <w:t xml:space="preserve"> weekly for four doses; sustained CR</w:t>
            </w:r>
          </w:p>
        </w:tc>
      </w:tr>
      <w:tr w:rsidR="00CC1AC5" w14:paraId="22EAD982" w14:textId="77777777" w:rsidTr="00CC1AC5">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069EB506" w14:textId="77777777"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t>Fraile</w:t>
            </w:r>
            <w:proofErr w:type="spellEnd"/>
            <w:r w:rsidRPr="009E5CC5">
              <w:rPr>
                <w:rFonts w:cs="Times New Roman"/>
                <w:sz w:val="20"/>
                <w:szCs w:val="20"/>
              </w:rPr>
              <w:t>, 2013 (9)</w:t>
            </w:r>
          </w:p>
        </w:tc>
        <w:tc>
          <w:tcPr>
            <w:tcW w:w="1175" w:type="dxa"/>
            <w:tcBorders>
              <w:top w:val="single" w:sz="4" w:space="0" w:color="7F7F7F" w:themeColor="text1" w:themeTint="80"/>
              <w:bottom w:val="single" w:sz="4" w:space="0" w:color="7F7F7F" w:themeColor="text1" w:themeTint="80"/>
            </w:tcBorders>
          </w:tcPr>
          <w:p w14:paraId="11935DA8"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4 (2 female, 2 male)</w:t>
            </w:r>
          </w:p>
        </w:tc>
        <w:tc>
          <w:tcPr>
            <w:tcW w:w="1313" w:type="dxa"/>
            <w:tcBorders>
              <w:top w:val="single" w:sz="4" w:space="0" w:color="7F7F7F" w:themeColor="text1" w:themeTint="80"/>
              <w:bottom w:val="single" w:sz="4" w:space="0" w:color="7F7F7F" w:themeColor="text1" w:themeTint="80"/>
            </w:tcBorders>
          </w:tcPr>
          <w:p w14:paraId="5D7CAB8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Pt1- 17 </w:t>
            </w:r>
            <w:proofErr w:type="spellStart"/>
            <w:r>
              <w:rPr>
                <w:rFonts w:cs="Times New Roman"/>
                <w:sz w:val="20"/>
                <w:szCs w:val="20"/>
              </w:rPr>
              <w:t>mo</w:t>
            </w:r>
            <w:proofErr w:type="spellEnd"/>
          </w:p>
          <w:p w14:paraId="12CD4E6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Pt2- 26 </w:t>
            </w:r>
            <w:proofErr w:type="spellStart"/>
            <w:r>
              <w:rPr>
                <w:rFonts w:cs="Times New Roman"/>
                <w:sz w:val="20"/>
                <w:szCs w:val="20"/>
              </w:rPr>
              <w:t>mo</w:t>
            </w:r>
            <w:proofErr w:type="spellEnd"/>
          </w:p>
          <w:p w14:paraId="6945C8F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Pt3- 27 </w:t>
            </w:r>
            <w:proofErr w:type="spellStart"/>
            <w:r>
              <w:rPr>
                <w:rFonts w:cs="Times New Roman"/>
                <w:sz w:val="20"/>
                <w:szCs w:val="20"/>
              </w:rPr>
              <w:t>mo</w:t>
            </w:r>
            <w:proofErr w:type="spellEnd"/>
          </w:p>
          <w:p w14:paraId="353C909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Pt4- 45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6F84B6C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 with or without edema and preserved kidney function</w:t>
            </w:r>
          </w:p>
        </w:tc>
        <w:tc>
          <w:tcPr>
            <w:tcW w:w="818" w:type="dxa"/>
            <w:tcBorders>
              <w:top w:val="single" w:sz="4" w:space="0" w:color="7F7F7F" w:themeColor="text1" w:themeTint="80"/>
              <w:bottom w:val="single" w:sz="4" w:space="0" w:color="7F7F7F" w:themeColor="text1" w:themeTint="80"/>
            </w:tcBorders>
          </w:tcPr>
          <w:p w14:paraId="516568D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3A737A30"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7B234FD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Pt1-CS, </w:t>
            </w:r>
            <w:proofErr w:type="spellStart"/>
            <w:r>
              <w:rPr>
                <w:rFonts w:cs="Times New Roman"/>
                <w:sz w:val="20"/>
                <w:szCs w:val="20"/>
              </w:rPr>
              <w:t>CsA</w:t>
            </w:r>
            <w:proofErr w:type="spellEnd"/>
            <w:r>
              <w:rPr>
                <w:rFonts w:cs="Times New Roman"/>
                <w:sz w:val="20"/>
                <w:szCs w:val="20"/>
              </w:rPr>
              <w:t>; CR</w:t>
            </w:r>
          </w:p>
          <w:p w14:paraId="14BBB59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Pt2-CS, Tac; CR</w:t>
            </w:r>
          </w:p>
          <w:p w14:paraId="00332A4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w:t>
            </w:r>
            <w:proofErr w:type="spellStart"/>
            <w:proofErr w:type="gramStart"/>
            <w:r>
              <w:rPr>
                <w:rFonts w:cs="Times New Roman"/>
                <w:sz w:val="20"/>
                <w:szCs w:val="20"/>
              </w:rPr>
              <w:t>CS,Tac</w:t>
            </w:r>
            <w:proofErr w:type="spellEnd"/>
            <w:proofErr w:type="gramEnd"/>
            <w:r>
              <w:rPr>
                <w:rFonts w:cs="Times New Roman"/>
                <w:sz w:val="20"/>
                <w:szCs w:val="20"/>
              </w:rPr>
              <w:t>; PR</w:t>
            </w:r>
          </w:p>
          <w:p w14:paraId="45E9519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CS, Tac; PR</w:t>
            </w:r>
          </w:p>
        </w:tc>
      </w:tr>
      <w:tr w:rsidR="00CC1AC5" w14:paraId="373E2060"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26A70A13" w14:textId="63B2827C"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Han, 2013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{"citationItems":[{"id":"ITEM-1","itemData":{"DOI":"10.1016/j.krcp.2012.09.008","ISSN":"22119140","abstract":"Nephrotic syndrome (NS) rarely occurs after hematopoietic stem cell transplantation (HSCT) as a late manifestation of graft-versus-host disease (GVHD). Herein, we report a case of HSCT-associated membranous nephropathy in a female patient with aplastic anemia. The patient received an allogeneic HSCT from her human leukocyte antigen-identical brother following myeloablative conditioning chemotherapy. NS occurred 21 months after HSCT without any concurrent features of chronic GVHD. The patient was treated with prednisolone and cyclosporine after renal biopsy confirmed membranous nephropathy, and achieved complete remission. Our report contradicts previous assumptions that concomitant chronic GVHD is responsible for the development of NS, suggesting that NS can develop as a new, independent manifestation of GVHD. © 2013. The Korean Society of Nephrology. Published by Elsevier. All rights reserved.","author":[{"dropping-particle":"","family":"Han","given":"Jae Hyun","non-dropping-particle":"","parse-names":false,"suffix":""},{"dropping-particle":"","family":"Kim","given":"Hyoung Rae","non-dropping-particle":"","parse-names":false,"suffix":""},{"dropping-particle":"","family":"Kim","given":"Gi Jeong","non-dropping-particle":"","parse-names":false,"suffix":""},{"dropping-particle":"","family":"Lim","given":"Beom Jin","non-dropping-particle":"","parse-names":false,"suffix":""},{"dropping-particle":"","family":"Jeong","given":"Hyeon Joo","non-dropping-particle":"","parse-names":false,"suffix":""},{"dropping-particle":"","family":"Oh","given":"Hyung Jung","non-dropping-particle":"","parse-names":false,"suffix":""},{"dropping-particle":"","family":"Yoo","given":"Tae Hyun","non-dropping-particle":"","parse-names":false,"suffix":""},{"dropping-particle":"","family":"Kang","given":"Shin Wook","non-dropping-particle":"","parse-names":false,"suffix":""},{"dropping-particle":"","family":"Choi","given":"Kyu Hun","non-dropping-particle":"","parse-names":false,"suffix":""},{"dropping-particle":"","family":"Han","given":"Seung Hyeok","non-dropping-particle":"","parse-names":false,"suffix":""}],"container-title":"Kidney Research and Clinical Practice","id":"ITEM-1","issue":"1","issued":{"date-parts":[["2013"]]},"page":"39-42","publisher":"Elsevier","title":"A case of membranous nephropathy as a manifestation of graft-versus-host disease","type":"article-journal","volume":"32"},"uris":["http://www.mendeley.com/documents/?uuid=dd912b00-4ee9-49fd-9a35-c181b3fa8a0a"]}],"mendeley":{"formattedCitation":"(6)","plainTextFormattedCitation":"(6)","previouslyFormattedCitation":"(6)"},"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(10)</w:t>
            </w:r>
            <w:r w:rsidRPr="0015063D">
              <w:rPr>
                <w:rFonts w:cs="Times New Roman"/>
                <w:b w:val="0"/>
                <w:bCs w:val="0"/>
                <w:sz w:val="20"/>
                <w:szCs w:val="20"/>
              </w:rPr>
              <w:fldChar w:fldCharType="end"/>
            </w:r>
          </w:p>
        </w:tc>
        <w:tc>
          <w:tcPr>
            <w:tcW w:w="1175" w:type="dxa"/>
          </w:tcPr>
          <w:p w14:paraId="713A3711"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(female)</w:t>
            </w:r>
          </w:p>
        </w:tc>
        <w:tc>
          <w:tcPr>
            <w:tcW w:w="1313" w:type="dxa"/>
          </w:tcPr>
          <w:p w14:paraId="615F81E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22 </w:t>
            </w:r>
            <w:proofErr w:type="spellStart"/>
            <w:r>
              <w:rPr>
                <w:rFonts w:cs="Times New Roman"/>
                <w:sz w:val="20"/>
                <w:szCs w:val="20"/>
              </w:rPr>
              <w:t>mo</w:t>
            </w:r>
            <w:proofErr w:type="spellEnd"/>
          </w:p>
        </w:tc>
        <w:tc>
          <w:tcPr>
            <w:tcW w:w="1559" w:type="dxa"/>
          </w:tcPr>
          <w:p w14:paraId="28078F8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Generalized edema, fatigue; proteinuria 5.03 g/d</w:t>
            </w:r>
            <w:r>
              <w:rPr>
                <w:rFonts w:cs="Times New Roman"/>
                <w:sz w:val="20"/>
                <w:szCs w:val="20"/>
              </w:rPr>
              <w:br/>
            </w:r>
          </w:p>
        </w:tc>
        <w:tc>
          <w:tcPr>
            <w:tcW w:w="818" w:type="dxa"/>
          </w:tcPr>
          <w:p w14:paraId="451902C2"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6B8B9D79"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Pr>
          <w:p w14:paraId="6625125B"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PSL 1 mg/kg for 8 weeks; PR; relapse after 2 weeks; </w:t>
            </w:r>
            <w:proofErr w:type="spellStart"/>
            <w:r>
              <w:rPr>
                <w:rFonts w:cs="Times New Roman"/>
                <w:sz w:val="20"/>
                <w:szCs w:val="20"/>
              </w:rPr>
              <w:t>CsA</w:t>
            </w:r>
            <w:proofErr w:type="spellEnd"/>
            <w:r>
              <w:rPr>
                <w:rFonts w:cs="Times New Roman"/>
                <w:sz w:val="20"/>
                <w:szCs w:val="20"/>
              </w:rPr>
              <w:t xml:space="preserve"> 5 mg/kg added; CR after 4 months</w:t>
            </w:r>
          </w:p>
        </w:tc>
      </w:tr>
      <w:tr w:rsidR="00CC1AC5" w14:paraId="48AFCD45"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656CCB41" w14:textId="77777777"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t>Hiramatsu</w:t>
            </w:r>
            <w:proofErr w:type="spellEnd"/>
            <w:r w:rsidRPr="009E5CC5">
              <w:rPr>
                <w:rFonts w:cs="Times New Roman"/>
                <w:sz w:val="20"/>
                <w:szCs w:val="20"/>
              </w:rPr>
              <w:t xml:space="preserve">, 2016 (11) </w:t>
            </w:r>
          </w:p>
        </w:tc>
        <w:tc>
          <w:tcPr>
            <w:tcW w:w="1175" w:type="dxa"/>
            <w:tcBorders>
              <w:top w:val="single" w:sz="4" w:space="0" w:color="7F7F7F" w:themeColor="text1" w:themeTint="80"/>
              <w:bottom w:val="single" w:sz="4" w:space="0" w:color="7F7F7F" w:themeColor="text1" w:themeTint="80"/>
            </w:tcBorders>
          </w:tcPr>
          <w:p w14:paraId="19BE684A"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5 (4 male, 1 female)</w:t>
            </w:r>
          </w:p>
        </w:tc>
        <w:tc>
          <w:tcPr>
            <w:tcW w:w="1313" w:type="dxa"/>
            <w:tcBorders>
              <w:top w:val="single" w:sz="4" w:space="0" w:color="7F7F7F" w:themeColor="text1" w:themeTint="80"/>
              <w:bottom w:val="single" w:sz="4" w:space="0" w:color="7F7F7F" w:themeColor="text1" w:themeTint="80"/>
            </w:tcBorders>
          </w:tcPr>
          <w:p w14:paraId="38B3930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15 </w:t>
            </w:r>
            <w:proofErr w:type="spellStart"/>
            <w:r>
              <w:rPr>
                <w:rFonts w:cs="Times New Roman"/>
                <w:sz w:val="20"/>
                <w:szCs w:val="20"/>
              </w:rPr>
              <w:t>mo</w:t>
            </w:r>
            <w:proofErr w:type="spellEnd"/>
            <w:r>
              <w:rPr>
                <w:rFonts w:cs="Times New Roman"/>
                <w:sz w:val="20"/>
                <w:szCs w:val="20"/>
              </w:rPr>
              <w:br/>
              <w:t xml:space="preserve">Pt2 – 40 </w:t>
            </w:r>
            <w:proofErr w:type="spellStart"/>
            <w:r>
              <w:rPr>
                <w:rFonts w:cs="Times New Roman"/>
                <w:sz w:val="20"/>
                <w:szCs w:val="20"/>
              </w:rPr>
              <w:t>mo</w:t>
            </w:r>
            <w:proofErr w:type="spellEnd"/>
          </w:p>
          <w:p w14:paraId="5C1C83E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18 </w:t>
            </w:r>
            <w:proofErr w:type="spellStart"/>
            <w:r>
              <w:rPr>
                <w:rFonts w:cs="Times New Roman"/>
                <w:sz w:val="20"/>
                <w:szCs w:val="20"/>
              </w:rPr>
              <w:t>mo</w:t>
            </w:r>
            <w:proofErr w:type="spellEnd"/>
          </w:p>
          <w:p w14:paraId="4CFE1C2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 9 </w:t>
            </w:r>
            <w:proofErr w:type="spellStart"/>
            <w:r>
              <w:rPr>
                <w:rFonts w:cs="Times New Roman"/>
                <w:sz w:val="20"/>
                <w:szCs w:val="20"/>
              </w:rPr>
              <w:t>mo</w:t>
            </w:r>
            <w:proofErr w:type="spellEnd"/>
          </w:p>
          <w:p w14:paraId="4B89C93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Pt5 – 32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7FF9622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1D365E5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Pt1- 5.9 g/d</w:t>
            </w:r>
          </w:p>
          <w:p w14:paraId="49CDD4B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9.5 g/d</w:t>
            </w:r>
            <w:r>
              <w:rPr>
                <w:rFonts w:cs="Times New Roman"/>
                <w:sz w:val="20"/>
                <w:szCs w:val="20"/>
              </w:rPr>
              <w:br/>
              <w:t>Pt3 – 6.5 g/d</w:t>
            </w:r>
          </w:p>
          <w:p w14:paraId="7865872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7.1 g/d</w:t>
            </w:r>
          </w:p>
          <w:p w14:paraId="69FDEE5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 13 g/d</w:t>
            </w:r>
          </w:p>
        </w:tc>
        <w:tc>
          <w:tcPr>
            <w:tcW w:w="818" w:type="dxa"/>
            <w:tcBorders>
              <w:top w:val="single" w:sz="4" w:space="0" w:color="7F7F7F" w:themeColor="text1" w:themeTint="80"/>
              <w:bottom w:val="single" w:sz="4" w:space="0" w:color="7F7F7F" w:themeColor="text1" w:themeTint="80"/>
            </w:tcBorders>
          </w:tcPr>
          <w:p w14:paraId="4DADEC27"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24497EDE"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Pts 2,3 and 5 – Ab negative</w:t>
            </w:r>
          </w:p>
          <w:p w14:paraId="3294D74D"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 1 and 4 - ND</w:t>
            </w:r>
          </w:p>
        </w:tc>
        <w:tc>
          <w:tcPr>
            <w:tcW w:w="3828" w:type="dxa"/>
            <w:tcBorders>
              <w:top w:val="single" w:sz="4" w:space="0" w:color="7F7F7F" w:themeColor="text1" w:themeTint="80"/>
              <w:bottom w:val="single" w:sz="4" w:space="0" w:color="7F7F7F" w:themeColor="text1" w:themeTint="80"/>
            </w:tcBorders>
          </w:tcPr>
          <w:p w14:paraId="131477D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w:t>
            </w:r>
            <w:proofErr w:type="spellStart"/>
            <w:r>
              <w:rPr>
                <w:rFonts w:cs="Times New Roman"/>
                <w:sz w:val="20"/>
                <w:szCs w:val="20"/>
              </w:rPr>
              <w:t>ACEi</w:t>
            </w:r>
            <w:proofErr w:type="spellEnd"/>
            <w:r>
              <w:rPr>
                <w:rFonts w:cs="Times New Roman"/>
                <w:sz w:val="20"/>
                <w:szCs w:val="20"/>
              </w:rPr>
              <w:t>; CR</w:t>
            </w:r>
          </w:p>
          <w:p w14:paraId="13466F4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PSL 20 mg + </w:t>
            </w:r>
            <w:proofErr w:type="spellStart"/>
            <w:r>
              <w:rPr>
                <w:rFonts w:cs="Times New Roman"/>
                <w:sz w:val="20"/>
                <w:szCs w:val="20"/>
              </w:rPr>
              <w:t>CsA</w:t>
            </w:r>
            <w:proofErr w:type="spellEnd"/>
            <w:r>
              <w:rPr>
                <w:rFonts w:cs="Times New Roman"/>
                <w:sz w:val="20"/>
                <w:szCs w:val="20"/>
              </w:rPr>
              <w:t xml:space="preserve"> 75 mg; CR</w:t>
            </w:r>
          </w:p>
          <w:p w14:paraId="1027365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PSL 30 mg + </w:t>
            </w:r>
            <w:proofErr w:type="spellStart"/>
            <w:r>
              <w:rPr>
                <w:rFonts w:cs="Times New Roman"/>
                <w:sz w:val="20"/>
                <w:szCs w:val="20"/>
              </w:rPr>
              <w:t>CsA</w:t>
            </w:r>
            <w:proofErr w:type="spellEnd"/>
            <w:r>
              <w:rPr>
                <w:rFonts w:cs="Times New Roman"/>
                <w:sz w:val="20"/>
                <w:szCs w:val="20"/>
              </w:rPr>
              <w:t xml:space="preserve"> 50 mg; CR with relapse after 43 </w:t>
            </w:r>
            <w:proofErr w:type="spellStart"/>
            <w:r>
              <w:rPr>
                <w:rFonts w:cs="Times New Roman"/>
                <w:sz w:val="20"/>
                <w:szCs w:val="20"/>
              </w:rPr>
              <w:t>mo</w:t>
            </w:r>
            <w:proofErr w:type="spellEnd"/>
          </w:p>
          <w:p w14:paraId="4B5D12C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 PSL 30 mg; CR with relapse after 27 </w:t>
            </w:r>
            <w:proofErr w:type="spellStart"/>
            <w:r>
              <w:rPr>
                <w:rFonts w:cs="Times New Roman"/>
                <w:sz w:val="20"/>
                <w:szCs w:val="20"/>
              </w:rPr>
              <w:t>mo</w:t>
            </w:r>
            <w:proofErr w:type="spellEnd"/>
          </w:p>
          <w:p w14:paraId="4CA7493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Pt5 – PSL 50 mg + </w:t>
            </w:r>
            <w:proofErr w:type="spellStart"/>
            <w:r>
              <w:rPr>
                <w:rFonts w:cs="Times New Roman"/>
                <w:sz w:val="20"/>
                <w:szCs w:val="20"/>
              </w:rPr>
              <w:t>CsA</w:t>
            </w:r>
            <w:proofErr w:type="spellEnd"/>
            <w:r>
              <w:rPr>
                <w:rFonts w:cs="Times New Roman"/>
                <w:sz w:val="20"/>
                <w:szCs w:val="20"/>
              </w:rPr>
              <w:t xml:space="preserve"> 75 mg; CR</w:t>
            </w:r>
          </w:p>
        </w:tc>
      </w:tr>
      <w:tr w:rsidR="00CC1AC5" w14:paraId="42421F49"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1B629C32" w14:textId="77777777" w:rsidR="00CC1AC5" w:rsidRPr="0015063D" w:rsidRDefault="00000000">
            <w:pPr>
              <w:spacing w:after="0" w:line="240" w:lineRule="auto"/>
              <w:jc w:val="center"/>
              <w:rPr>
                <w:rFonts w:cs="Times New Roman"/>
                <w:sz w:val="20"/>
                <w:szCs w:val="20"/>
              </w:rPr>
            </w:pPr>
            <w:r w:rsidRPr="009E5CC5">
              <w:rPr>
                <w:rFonts w:cs="Times New Roman"/>
                <w:sz w:val="20"/>
                <w:szCs w:val="20"/>
              </w:rPr>
              <w:t>Huang, 2013 (12)</w:t>
            </w:r>
          </w:p>
        </w:tc>
        <w:tc>
          <w:tcPr>
            <w:tcW w:w="1175" w:type="dxa"/>
          </w:tcPr>
          <w:p w14:paraId="310EF29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5 (3 male, 2 female)</w:t>
            </w:r>
          </w:p>
        </w:tc>
        <w:tc>
          <w:tcPr>
            <w:tcW w:w="1313" w:type="dxa"/>
          </w:tcPr>
          <w:p w14:paraId="257E8A0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19 </w:t>
            </w:r>
            <w:proofErr w:type="spellStart"/>
            <w:r>
              <w:rPr>
                <w:rFonts w:cs="Times New Roman"/>
                <w:sz w:val="20"/>
                <w:szCs w:val="20"/>
              </w:rPr>
              <w:t>mo</w:t>
            </w:r>
            <w:proofErr w:type="spellEnd"/>
          </w:p>
          <w:p w14:paraId="0282780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10 </w:t>
            </w:r>
            <w:proofErr w:type="spellStart"/>
            <w:r>
              <w:rPr>
                <w:rFonts w:cs="Times New Roman"/>
                <w:sz w:val="20"/>
                <w:szCs w:val="20"/>
              </w:rPr>
              <w:t>mo</w:t>
            </w:r>
            <w:proofErr w:type="spellEnd"/>
          </w:p>
          <w:p w14:paraId="6243689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23 </w:t>
            </w:r>
            <w:proofErr w:type="spellStart"/>
            <w:r>
              <w:rPr>
                <w:rFonts w:cs="Times New Roman"/>
                <w:sz w:val="20"/>
                <w:szCs w:val="20"/>
              </w:rPr>
              <w:t>mo</w:t>
            </w:r>
            <w:proofErr w:type="spellEnd"/>
            <w:r>
              <w:rPr>
                <w:rFonts w:cs="Times New Roman"/>
                <w:sz w:val="20"/>
                <w:szCs w:val="20"/>
              </w:rPr>
              <w:br/>
              <w:t xml:space="preserve">Pt4 – 14 </w:t>
            </w:r>
            <w:proofErr w:type="spellStart"/>
            <w:r>
              <w:rPr>
                <w:rFonts w:cs="Times New Roman"/>
                <w:sz w:val="20"/>
                <w:szCs w:val="20"/>
              </w:rPr>
              <w:t>mo</w:t>
            </w:r>
            <w:proofErr w:type="spellEnd"/>
          </w:p>
          <w:p w14:paraId="4F0FCCE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Pt5 – 22 </w:t>
            </w:r>
            <w:proofErr w:type="spellStart"/>
            <w:r>
              <w:rPr>
                <w:rFonts w:cs="Times New Roman"/>
                <w:sz w:val="20"/>
                <w:szCs w:val="20"/>
              </w:rPr>
              <w:t>mo</w:t>
            </w:r>
            <w:proofErr w:type="spellEnd"/>
          </w:p>
        </w:tc>
        <w:tc>
          <w:tcPr>
            <w:tcW w:w="1559" w:type="dxa"/>
          </w:tcPr>
          <w:p w14:paraId="2C34DAA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Nephrotic syndrome; proteinuria:</w:t>
            </w:r>
          </w:p>
          <w:p w14:paraId="02B490C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4.95 g/d</w:t>
            </w:r>
          </w:p>
          <w:p w14:paraId="642416C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4.56 g/d</w:t>
            </w:r>
          </w:p>
          <w:p w14:paraId="578A0E3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3.27 g/d</w:t>
            </w:r>
          </w:p>
          <w:p w14:paraId="664FF02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6.54 g/d</w:t>
            </w:r>
          </w:p>
          <w:p w14:paraId="23BCED6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 4.59 g/d</w:t>
            </w:r>
          </w:p>
        </w:tc>
        <w:tc>
          <w:tcPr>
            <w:tcW w:w="818" w:type="dxa"/>
          </w:tcPr>
          <w:p w14:paraId="21EC24BE"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7B4A59D2"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Pts 1, 2, 3 and 5 – Ab - negative</w:t>
            </w:r>
          </w:p>
          <w:p w14:paraId="6E64D475"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 4 - positive</w:t>
            </w:r>
          </w:p>
        </w:tc>
        <w:tc>
          <w:tcPr>
            <w:tcW w:w="3828" w:type="dxa"/>
          </w:tcPr>
          <w:p w14:paraId="2D37806B" w14:textId="45F6E260"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w:t>
            </w:r>
            <w:r w:rsidR="00957A58">
              <w:rPr>
                <w:rFonts w:cs="Times New Roman"/>
                <w:sz w:val="20"/>
                <w:szCs w:val="20"/>
              </w:rPr>
              <w:t>Tac</w:t>
            </w:r>
            <w:r>
              <w:rPr>
                <w:rFonts w:cs="Times New Roman"/>
                <w:sz w:val="20"/>
                <w:szCs w:val="20"/>
              </w:rPr>
              <w:t xml:space="preserve"> 0.1 mg/kg/d + MMF 1.5 g/d + PS 30 mg/d; PR</w:t>
            </w:r>
          </w:p>
          <w:p w14:paraId="454662B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TW 60 mg/d + PS 30 mg/d; CR</w:t>
            </w:r>
          </w:p>
          <w:p w14:paraId="3845B1C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TW 60 mg/d + MMF 1.5 g/d + PS 30 mg/d; PR</w:t>
            </w:r>
          </w:p>
          <w:p w14:paraId="64C26BC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 </w:t>
            </w:r>
            <w:proofErr w:type="spellStart"/>
            <w:r>
              <w:rPr>
                <w:rFonts w:cs="Times New Roman"/>
                <w:sz w:val="20"/>
                <w:szCs w:val="20"/>
              </w:rPr>
              <w:t>CsA</w:t>
            </w:r>
            <w:proofErr w:type="spellEnd"/>
            <w:r>
              <w:rPr>
                <w:rFonts w:cs="Times New Roman"/>
                <w:sz w:val="20"/>
                <w:szCs w:val="20"/>
              </w:rPr>
              <w:t xml:space="preserve"> 5 mg/kg/d + PS 30 mg/d; PR</w:t>
            </w:r>
          </w:p>
          <w:p w14:paraId="11AD5928" w14:textId="2B575EF5"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Pt5 – </w:t>
            </w:r>
            <w:r w:rsidR="00957A58">
              <w:rPr>
                <w:rFonts w:cs="Times New Roman"/>
                <w:sz w:val="20"/>
                <w:szCs w:val="20"/>
              </w:rPr>
              <w:t>Tac</w:t>
            </w:r>
            <w:r>
              <w:rPr>
                <w:rFonts w:cs="Times New Roman"/>
                <w:sz w:val="20"/>
                <w:szCs w:val="20"/>
              </w:rPr>
              <w:t xml:space="preserve"> 0.1 mg/kg/d + PS 30 mg/d; PR</w:t>
            </w:r>
          </w:p>
        </w:tc>
      </w:tr>
      <w:tr w:rsidR="00CC1AC5" w14:paraId="62C4BDBF"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7DB6FF7E" w14:textId="5244B8FF"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Ishikawa, 2011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{"citationItems":[{"id":"ITEM-1","itemData":{"DOI":"10.1007/s10157-010-0376-y","ISSN":"13421751","PMID":"21120571","abstract":"Transplantation-associated thrombotic microangiopathy (TA-TMA) is a rare but devastating syndrome that occurs in allogeneic hematopoietic stem cell transplant recipients, and is associated with a variety of transplantation- related factors, including conditioning regimens, immunosuppressive agents, graft-versus-host disease (GVHD) and opportunistic infections. TA-TMA has an unfavorable prognosis and responds poorly to conventional treatment including plasma exchange (PE). We present a case of a 37-year-old man with membranous nephropathy (MN) and polyserositis caused by GVHD after hematopoietic stem cell transplantation. He developed TA-TMA after steroid pulse therapy for polyserositis. We treated the patient with PE and mycophenolate mofetil (MMF) after which the TA-TMA successfully improved and the MN underwent complete remission. The present case suggests that corticosteroids with severe GVHD might increase the risk of TA-TMA, and that PE in combination with MMF may be a valuable therapy to improve the prognosis. © 2010 Japanese Society of Nephrology.","author":[{"dropping-particle":"","family":"Ishikawa","given":"Yasunobu","non-dropping-particle":"","parse-names":false,"suffix":""},{"dropping-particle":"","family":"Nishio","given":"Saori","non-dropping-particle":"","parse-names":false,"suffix":""},{"dropping-particle":"","family":"Sasaki","given":"Hiroaki","non-dropping-particle":"","parse-names":false,"suffix":""},{"dropping-particle":"","family":"Kudo","given":"Risshi","non-dropping-particle":"","parse-names":false,"suffix":""},{"dropping-particle":"","family":"Goto","given":"Hideki","non-dropping-particle":"","parse-names":false,"suffix":""},{"dropping-particle":"","family":"Ito","given":"Masanori","non-dropping-particle":"","parse-names":false,"suffix":""},{"dropping-particle":"","family":"Suzuki","given":"Akira","non-dropping-particle":"","parse-names":false,"suffix":""},{"dropping-particle":"","family":"Fukazawa","given":"Yuichiro","non-dropping-particle":"","parse-names":false,"suffix":""},{"dropping-particle":"","family":"Mochizuki","given":"Toshio","non-dropping-particle":"","parse-names":false,"suffix":""},{"dropping-particle":"","family":"Koike","given":"Takao","non-dropping-particle":"","parse-names":false,"suffix":""}],"container-title":"Clinical and Experimental Nephrology","id":"ITEM-1","issue":"1","issued":{"date-parts":[["2011"]]},"page":"179-183","title":"Transplantation-associated thrombotic microangiopathy after steroid pulse therapy for polyserositis related to graft-versus-host disease","type":"article-journal","volume":"15"},"uris":["http://www.mendeley.com/documents/?uuid=e5768fad-784a-4b1c-a315-5387888cb262"]}],"mendeley":{"formattedCitation":"(7)","plainTextFormattedCitation":"(7)","previouslyFormattedCitation":"(7)"},"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(13)</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70748C0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Borders>
              <w:top w:val="single" w:sz="4" w:space="0" w:color="7F7F7F" w:themeColor="text1" w:themeTint="80"/>
              <w:bottom w:val="single" w:sz="4" w:space="0" w:color="7F7F7F" w:themeColor="text1" w:themeTint="80"/>
            </w:tcBorders>
          </w:tcPr>
          <w:p w14:paraId="422C706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21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3DE148D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High fever, chest pain, abdominal pain, lower limb edema; proteinuria 7.06 g/d</w:t>
            </w:r>
          </w:p>
        </w:tc>
        <w:tc>
          <w:tcPr>
            <w:tcW w:w="818" w:type="dxa"/>
            <w:tcBorders>
              <w:top w:val="single" w:sz="4" w:space="0" w:color="7F7F7F" w:themeColor="text1" w:themeTint="80"/>
              <w:bottom w:val="single" w:sz="4" w:space="0" w:color="7F7F7F" w:themeColor="text1" w:themeTint="80"/>
            </w:tcBorders>
          </w:tcPr>
          <w:p w14:paraId="06B3E14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3DD7439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0648613B"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Initial treatment: </w:t>
            </w:r>
            <w:proofErr w:type="spellStart"/>
            <w:r>
              <w:rPr>
                <w:rFonts w:cs="Times New Roman"/>
                <w:sz w:val="20"/>
                <w:szCs w:val="20"/>
              </w:rPr>
              <w:t>mPSL</w:t>
            </w:r>
            <w:proofErr w:type="spellEnd"/>
            <w:r>
              <w:rPr>
                <w:rFonts w:cs="Times New Roman"/>
                <w:sz w:val="20"/>
                <w:szCs w:val="20"/>
              </w:rPr>
              <w:t xml:space="preserve"> 0.5 g/d for 3d, PSL 60 mg/d; immediate </w:t>
            </w:r>
            <w:proofErr w:type="gramStart"/>
            <w:r>
              <w:rPr>
                <w:rFonts w:cs="Times New Roman"/>
                <w:sz w:val="20"/>
                <w:szCs w:val="20"/>
              </w:rPr>
              <w:t>improvement;</w:t>
            </w:r>
            <w:proofErr w:type="gramEnd"/>
          </w:p>
          <w:p w14:paraId="21C6CD7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Relapse – confirmed TA-TMA; treated with PE, HD, PSL 60 mg/d, MMF up to 3000 mg/d; CR</w:t>
            </w:r>
          </w:p>
        </w:tc>
      </w:tr>
      <w:tr w:rsidR="00CC1AC5" w14:paraId="7DCD3BFE"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30B023BA" w14:textId="3179E255"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John, 2023*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{"citationItems":[{"id":"ITEM-1","itemData":{"DOI":"10.1159/000529699","abstract":"Introduction: Post hematopoietic stem cell transplant (HSCT), kidney can be subjected to injury by various causes. Of these, Graft versus Host Disease (GvHD) affecting the kidney is an under-recognized entity with no clear guidelines on its diagnosis, clinicopathological manifestations and outcomes. Material and Methods: Out of 2930 patients who underwent HSCT at our centre between 2005 and 2020, kidney biopsy was performed in 19 allogenic and 5 autologous recipients. Results: The mean age of the cohort at transplant was 33.2 ± 7 years and 15 (62%) were males. Median time to kidney biopsy from HSCT was 14 (IQR, 9-30) months. Aplastic anemia was the most common underlying hematological disease (54.2%). All 19 allogenic recipients were classified based on clinicopathological manifestations into either thrombotic microangiopathy [TMA, 12/19 (63%)] or nephrotic syndrome [NS, 7/19 (37%)] pattern. Glomerular tuft ‘mesangiolysis’ was the dominant pattern of injury noted in 9/12 cases of TMA pattern. There was a predominance of acute microangiopathic changes restricted primarily to the glomerular compartment. Of the seven patients with NS pattern, membranous nephropathy (MN) was seen in 4 (57%) and minimal change disease (MCD) in 3 (43%) patients. Thirty nine percent (7/18) stained positive for C4d which was predominantly glomerular. Allogenic recipients who did not receive immunosuppression (IS) for renal disease had a lower eGFR at biopsy, a longer latency between withdrawal of GvHD prophylaxis and biopsy and were significantly at higher risk of kidney failure (IS: 2/11, 18.1% vs. No IS: 2/6, 33.3%, p=0.04). ‘Associated extra-renal GvHD’ occurred in 11/19 (57.9%) allogenic recipients. Patients with ‘associated extra-renal GvHD’ had significantly more death (6/11, 60% vs. 0, p=0.02) but comparable renal outcomes. Conclusion: Renal GvHD can present with or without ‘associated extra-renal GvHD’ after a prolonged period of withdrawal of GvHD prophylaxis, requiring careful diagnostic vigilance and consideration of immunosuppression.","author":[{"dropping-particle":"","family":"John","given":"Elenjickal Elias","non-dropping-particle":"","parse-names":false,"suffix":""},{"dropping-particle":"","family":"Roy","given":"Sanjeet","non-dropping-particle":"","parse-names":false,"suffix":""},{"dropping-particle":"","family":"Devasia","given":"Anup J.","non-dropping-particle":"","parse-names":false,"suffix":""},{"dropping-particle":"","family":"Karuppusami","given":"Reka","non-dropping-particle":"","parse-names":false,"suffix":""},{"dropping-particle":"","family":"Jose","given":"Nisha","non-dropping-particle":"","parse-names":false,"suffix":""},{"dropping-particle":"","family":"Mani","given":"Selvin Sundar Raj","non-dropping-particle":"","parse-names":false,"suffix":""},{"dropping-particle":"","family":"Eapen","given":"Jeethu Joseph","non-dropping-particle":"","parse-names":false,"suffix":""},{"dropping-particle":"","family":"Yusuf","given":"Sabina","non-dropping-particle":"","parse-names":false,"suffix":""},{"dropping-particle":"","family":"Thomas","given":"Athul","non-dropping-particle":"","parse-names":false,"suffix":""},{"dropping-particle":"","family":"Valson","given":"Anna T.","non-dropping-particle":"","parse-names":false,"suffix":""},{"dropping-particle":"","family":"David","given":"Vinoi George","non-dropping-particle":"","parse-names":false,"suffix":""},{"dropping-particle":"","family":"Mathews","given":"Vikram","non-dropping-particle":"","parse-names":false,"suffix":""},{"dropping-particle":"","family":"George","given":"Biju","non-dropping-particle":"","parse-names":false,"suffix":""},{"dropping-particle":"","family":"Varughese","given":"Santosh","non-dropping-particle":"","parse-names":false,"suffix":""},{"dropping-particle":"","family":"Alexander","given":"Suceena","non-dropping-particle":"","parse-names":false,"suffix":""}],"container-title":"Glomerular Diseases","id":"ITEM-1","issue":"1","issued":{"date-parts":[["2023"]]},"page":"9-30","title":"Patterns of Renal Dysfunction and Profile of Kidney Biopsies in Hematopoietic Stem Cell Transplant Recipients","type":"article-journal","volume":"3"},"uris":["http://www.mendeley.com/documents/?uuid=dd1046dd-b473-4e6f-bbe4-f8ce05416001"]}],"mendeley":{"formattedCitation":"(8)","plainTextFormattedCitation":"(8)","previouslyFormattedCitation":"(8)"},"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(14)</w:t>
            </w:r>
            <w:r w:rsidRPr="0015063D">
              <w:rPr>
                <w:rFonts w:cs="Times New Roman"/>
                <w:b w:val="0"/>
                <w:bCs w:val="0"/>
                <w:sz w:val="20"/>
                <w:szCs w:val="20"/>
              </w:rPr>
              <w:fldChar w:fldCharType="end"/>
            </w:r>
          </w:p>
        </w:tc>
        <w:tc>
          <w:tcPr>
            <w:tcW w:w="1175" w:type="dxa"/>
          </w:tcPr>
          <w:p w14:paraId="70575A27"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4 (unknown sex)</w:t>
            </w:r>
          </w:p>
        </w:tc>
        <w:tc>
          <w:tcPr>
            <w:tcW w:w="1313" w:type="dxa"/>
          </w:tcPr>
          <w:p w14:paraId="622A8439" w14:textId="77777777" w:rsidR="00CC1AC5" w:rsidRDefault="00000000">
            <w:pPr>
              <w:spacing w:after="0" w:line="240" w:lineRule="auto"/>
              <w:ind w:right="-8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Unknown</w:t>
            </w:r>
          </w:p>
        </w:tc>
        <w:tc>
          <w:tcPr>
            <w:tcW w:w="1559" w:type="dxa"/>
          </w:tcPr>
          <w:p w14:paraId="141F7AD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Nephrotic syndrome</w:t>
            </w:r>
          </w:p>
        </w:tc>
        <w:tc>
          <w:tcPr>
            <w:tcW w:w="818" w:type="dxa"/>
          </w:tcPr>
          <w:p w14:paraId="16B9494E"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5D3DE0B8"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patient Ab - positive</w:t>
            </w:r>
          </w:p>
        </w:tc>
        <w:tc>
          <w:tcPr>
            <w:tcW w:w="3828" w:type="dxa"/>
          </w:tcPr>
          <w:p w14:paraId="29E2D33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Unknown</w:t>
            </w:r>
          </w:p>
        </w:tc>
      </w:tr>
      <w:tr w:rsidR="00CC1AC5" w14:paraId="464E9B26"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458371C4" w14:textId="2BECAC99"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lastRenderedPageBreak/>
              <w:t>Kaminska</w:t>
            </w:r>
            <w:proofErr w:type="spellEnd"/>
            <w:r w:rsidRPr="009E5CC5">
              <w:rPr>
                <w:rFonts w:cs="Times New Roman"/>
                <w:sz w:val="20"/>
                <w:szCs w:val="20"/>
              </w:rPr>
              <w:t xml:space="preserve">, 2007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{"citationItems":[{"id":"ITEM-1","itemData":{"DOI":"10.3109/08860221003664256","ISSN":"0886022X","PMID":"20446793","abstract":"The nephrotic syndrome is a rare complication of allogeneic stem cell transplantation (alloHSCT). We present two cases of nephrotic syndrome during chronic graft-versus-host disease (GvHD) involving altered cytokine gene expression in renal tissue. A patient with acute lymphatic leukemia demonstrated nephrotic syndrome due to minimal change disease as a marker of chronic GvHD. A patient with acute lymphoblastic leukemia suffered from severe nephrotic syndrome due to membranous glomerulopathy. In the two presented cases of GvHD-linked nephrotic syndrome, increased cytokine gene expression [tumor necrosis factor alpha (TNF-α), transforming growth factor beta (TGF-β), interferon gamma (IFN-γ), interleukin 2 (IL-2), IL-6, and IL-10] assessed using semiquantitative evaluation with reverse transcriptase polymerase chain reaction (RT-PCR) in situ on renal biopsy was observed. © 2010 Informa UK Ltd.","author":[{"dropping-particle":"","family":"Kaminska","given":"D.","non-dropping-particle":"","parse-names":false,"suffix":""},{"dropping-particle":"","family":"Bernat","given":"B.","non-dropping-particle":"","parse-names":false,"suffix":""},{"dropping-particle":"","family":"Vakulenko","given":"O.","non-dropping-particle":"","parse-names":false,"suffix":""},{"dropping-particle":"","family":"Kuzniar","given":"J.","non-dropping-particle":"","parse-names":false,"suffix":""},{"dropping-particle":"","family":"Tyran","given":"B.","non-dropping-particle":"","parse-names":false,"suffix":""},{"dropping-particle":"","family":"Suchnicki","given":"K.","non-dropping-particle":"","parse-names":false,"suffix":""},{"dropping-particle":"","family":"Lange","given":"A.","non-dropping-particle":"","parse-names":false,"suffix":""},{"dropping-particle":"","family":"Mazanowska","given":"O.","non-dropping-particle":"","parse-names":false,"suffix":""},{"dropping-particle":"","family":"Halon","given":"A.","non-dropping-particle":"","parse-names":false,"suffix":""},{"dropping-particle":"","family":"Klinger","given":"M.","non-dropping-particle":"","parse-names":false,"suffix":""}],"container-title":"Renal Failure","id":"ITEM-1","issue":"4","issued":{"date-parts":[["2010"]]},"page":"510-514","title":"Glomerular lesion and increased cytokine gene expression in renal tissue in patients with decompensated nephrotic syndrome due to chronic GvHD","type":"article-journal","volume":"32"},"uris":["http://www.mendeley.com/documents/?uuid=8b5323b2-55b1-4070-8e7e-a8bf954ff5d8"]}],"mendeley":{"formattedCitation":"(9)","plainTextFormattedCitation":"(9)","previouslyFormattedCitation":"(9)"},"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(15)</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5EB034A8"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Borders>
              <w:top w:val="single" w:sz="4" w:space="0" w:color="7F7F7F" w:themeColor="text1" w:themeTint="80"/>
              <w:bottom w:val="single" w:sz="4" w:space="0" w:color="7F7F7F" w:themeColor="text1" w:themeTint="80"/>
            </w:tcBorders>
          </w:tcPr>
          <w:p w14:paraId="28E103AC" w14:textId="77777777" w:rsidR="00CC1AC5" w:rsidRDefault="00000000">
            <w:pPr>
              <w:spacing w:after="0" w:line="240" w:lineRule="auto"/>
              <w:ind w:right="-8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8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5B56B3E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Severe nephrotic syndrome with proteinuria up to 6.7 g/d, generalized edema, hypoalbuminemia (15g/L), hypoproteinemia (34 g/L)</w:t>
            </w:r>
          </w:p>
        </w:tc>
        <w:tc>
          <w:tcPr>
            <w:tcW w:w="818" w:type="dxa"/>
            <w:tcBorders>
              <w:top w:val="single" w:sz="4" w:space="0" w:color="7F7F7F" w:themeColor="text1" w:themeTint="80"/>
              <w:bottom w:val="single" w:sz="4" w:space="0" w:color="7F7F7F" w:themeColor="text1" w:themeTint="80"/>
            </w:tcBorders>
          </w:tcPr>
          <w:p w14:paraId="283F82C6"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2788BD13"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43CA3EE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Initially treated with CS 60 mg/d and </w:t>
            </w:r>
            <w:proofErr w:type="spellStart"/>
            <w:r>
              <w:rPr>
                <w:rFonts w:cs="Times New Roman"/>
                <w:sz w:val="20"/>
                <w:szCs w:val="20"/>
              </w:rPr>
              <w:t>CsA</w:t>
            </w:r>
            <w:proofErr w:type="spellEnd"/>
            <w:r>
              <w:rPr>
                <w:rFonts w:cs="Times New Roman"/>
                <w:sz w:val="20"/>
                <w:szCs w:val="20"/>
              </w:rPr>
              <w:t xml:space="preserve"> 150 mg/d; developed </w:t>
            </w:r>
            <w:proofErr w:type="spellStart"/>
            <w:r>
              <w:rPr>
                <w:rFonts w:cs="Times New Roman"/>
                <w:sz w:val="20"/>
                <w:szCs w:val="20"/>
              </w:rPr>
              <w:t>neuroinfection</w:t>
            </w:r>
            <w:proofErr w:type="spellEnd"/>
            <w:r>
              <w:rPr>
                <w:rFonts w:cs="Times New Roman"/>
                <w:sz w:val="20"/>
                <w:szCs w:val="20"/>
              </w:rPr>
              <w:t xml:space="preserve"> which was treated with DXM and ganciclovir/acyclovir; treatment resumed with </w:t>
            </w:r>
            <w:proofErr w:type="spellStart"/>
            <w:r>
              <w:rPr>
                <w:rFonts w:cs="Times New Roman"/>
                <w:sz w:val="20"/>
                <w:szCs w:val="20"/>
              </w:rPr>
              <w:t>CsA</w:t>
            </w:r>
            <w:proofErr w:type="spellEnd"/>
            <w:r>
              <w:rPr>
                <w:rFonts w:cs="Times New Roman"/>
                <w:sz w:val="20"/>
                <w:szCs w:val="20"/>
              </w:rPr>
              <w:t xml:space="preserve"> 150 mg/d and PS  50 mg/d with addition of MMF after 3 </w:t>
            </w:r>
            <w:proofErr w:type="spellStart"/>
            <w:r>
              <w:rPr>
                <w:rFonts w:cs="Times New Roman"/>
                <w:sz w:val="20"/>
                <w:szCs w:val="20"/>
              </w:rPr>
              <w:t>mo</w:t>
            </w:r>
            <w:proofErr w:type="spellEnd"/>
            <w:r>
              <w:rPr>
                <w:rFonts w:cs="Times New Roman"/>
                <w:sz w:val="20"/>
                <w:szCs w:val="20"/>
              </w:rPr>
              <w:t xml:space="preserve">; </w:t>
            </w:r>
            <w:proofErr w:type="spellStart"/>
            <w:r>
              <w:rPr>
                <w:rFonts w:cs="Times New Roman"/>
                <w:sz w:val="20"/>
                <w:szCs w:val="20"/>
              </w:rPr>
              <w:t>pt</w:t>
            </w:r>
            <w:proofErr w:type="spellEnd"/>
            <w:r>
              <w:rPr>
                <w:rFonts w:cs="Times New Roman"/>
                <w:sz w:val="20"/>
                <w:szCs w:val="20"/>
              </w:rPr>
              <w:t xml:space="preserve"> died a month after</w:t>
            </w:r>
          </w:p>
          <w:p w14:paraId="40DBAB7C" w14:textId="31A63BA1" w:rsidR="00CC1AC5" w:rsidRDefault="00CC1AC5">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CC1AC5" w14:paraId="08BF22D7"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50A2D83F" w14:textId="2E1F340B"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Kemper, 2007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{"citationItems":[{"id":"ITEM-1","itemData":{"DOI":"10.5414/CNP67005","ISSN":"03010430","PMID":"17269593","abstract":"Background: The development of nephrotic syndrome (NS) after allogeneic hematopoietic stem cell transplantation (HSCT) is a rare complication with few long-term outcome data. Patients: Clinical course and long-term outcome of three adult patients and one child with NS after HSCT (total number of transplants n = 533) are presented. Results: The median age at onset of NS was 35 years (range 15-56), occurring at a median of 17 months (range 11-21) after HSCT. Discontinuation of cyclosporine A (CSA) prior to onset of NS was a consistent feature and occurred a median of 6 months (range 2-10 months) prior to the development of NS. The histopathological lesion was membranous nephropathy (n = 3) and membranoproliferative glomerulonephritis Type 1 (n = 1). History of acute or concomitant clinically apparent chronic graft versus host disease (GVHD) was present in all cases except the pediatric patient who had abundant DR-activated cytotoxic T cells without evidence of viral reactivation. Long-term immunosuppression for 11-36 months with steroids (n = 1), combined steroids and CSA (n = 2) or CSA alone in steroid-refractory NS (n = 1) resulted in sustained remission of the NS in all patients (12 months - 8 years off immunosuppression). Conclusion: NS after HSCT seems to be etiologically related to subclinical or overt chronic GVHD, which flares up after discontinuation of CSA. However, resumption of immunosuppression can reverse NS as well as GVHD and induce favorable sustained long-term remission. © 2007 Dustri-Verlag Dr. K. Feistle.","author":[{"dropping-particle":"","family":"Kemper","given":"M. J.","non-dropping-particle":"","parse-names":false,"suffix":""},{"dropping-particle":"","family":"Güngör","given":"T.","non-dropping-particle":"","parse-names":false,"suffix":""},{"dropping-particle":"","family":"Halter","given":"J.","non-dropping-particle":"","parse-names":false,"suffix":""},{"dropping-particle":"","family":"Schanz","given":"U.","non-dropping-particle":"","parse-names":false,"suffix":""},{"dropping-particle":"","family":"Neuhaus","given":"Thomas J.","non-dropping-particle":"","parse-names":false,"suffix":""}],"container-title":"Clinical Nephrology","id":"ITEM-1","issue":"1","issued":{"date-parts":[["2007"]]},"page":"5-11","title":"Favorable long-term outcome of nephrotic syndrome after allogeneic hematopoietic stem cell transplantation","type":"article-journal","volume":"67"},"uris":["http://www.mendeley.com/documents/?uuid=56fe4c35-1e27-4bb3-bab7-0e19c4f35b42"]}],"mendeley":{"formattedCitation":"(10)","plainTextFormattedCitation":"(10)","previouslyFormattedCitation":"(10)"},"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(16)</w:t>
            </w:r>
            <w:r w:rsidRPr="0015063D">
              <w:rPr>
                <w:rFonts w:cs="Times New Roman"/>
                <w:b w:val="0"/>
                <w:bCs w:val="0"/>
                <w:sz w:val="20"/>
                <w:szCs w:val="20"/>
              </w:rPr>
              <w:fldChar w:fldCharType="end"/>
            </w:r>
          </w:p>
        </w:tc>
        <w:tc>
          <w:tcPr>
            <w:tcW w:w="1175" w:type="dxa"/>
          </w:tcPr>
          <w:p w14:paraId="124EC1C1"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3 (1 male, 2 female)</w:t>
            </w:r>
          </w:p>
        </w:tc>
        <w:tc>
          <w:tcPr>
            <w:tcW w:w="1313" w:type="dxa"/>
          </w:tcPr>
          <w:p w14:paraId="726BCCEC" w14:textId="77777777" w:rsidR="00CC1AC5" w:rsidRDefault="00000000">
            <w:pPr>
              <w:spacing w:after="0" w:line="240" w:lineRule="auto"/>
              <w:ind w:right="-8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20 </w:t>
            </w:r>
            <w:proofErr w:type="spellStart"/>
            <w:r>
              <w:rPr>
                <w:rFonts w:cs="Times New Roman"/>
                <w:sz w:val="20"/>
                <w:szCs w:val="20"/>
              </w:rPr>
              <w:t>mo</w:t>
            </w:r>
            <w:proofErr w:type="spellEnd"/>
          </w:p>
          <w:p w14:paraId="2CA16256" w14:textId="77777777" w:rsidR="00CC1AC5" w:rsidRDefault="00000000">
            <w:pPr>
              <w:spacing w:after="0" w:line="240" w:lineRule="auto"/>
              <w:ind w:right="-8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14 </w:t>
            </w:r>
            <w:proofErr w:type="spellStart"/>
            <w:r>
              <w:rPr>
                <w:rFonts w:cs="Times New Roman"/>
                <w:sz w:val="20"/>
                <w:szCs w:val="20"/>
              </w:rPr>
              <w:t>mo</w:t>
            </w:r>
            <w:proofErr w:type="spellEnd"/>
          </w:p>
          <w:p w14:paraId="46464699" w14:textId="77777777" w:rsidR="00CC1AC5" w:rsidRDefault="00000000">
            <w:pPr>
              <w:spacing w:after="0" w:line="240" w:lineRule="auto"/>
              <w:ind w:right="-80"/>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21 </w:t>
            </w:r>
            <w:proofErr w:type="spellStart"/>
            <w:r>
              <w:rPr>
                <w:rFonts w:cs="Times New Roman"/>
                <w:sz w:val="20"/>
                <w:szCs w:val="20"/>
              </w:rPr>
              <w:t>mo</w:t>
            </w:r>
            <w:proofErr w:type="spellEnd"/>
          </w:p>
        </w:tc>
        <w:tc>
          <w:tcPr>
            <w:tcW w:w="1559" w:type="dxa"/>
          </w:tcPr>
          <w:p w14:paraId="110F2EC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0E816D6B"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12.4 g/d</w:t>
            </w:r>
          </w:p>
          <w:p w14:paraId="164F6A6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4.8 g/d</w:t>
            </w:r>
          </w:p>
          <w:p w14:paraId="7FB1C4A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3.0 g/d</w:t>
            </w:r>
          </w:p>
        </w:tc>
        <w:tc>
          <w:tcPr>
            <w:tcW w:w="818" w:type="dxa"/>
          </w:tcPr>
          <w:p w14:paraId="61D28007"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63867777"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Pr>
          <w:p w14:paraId="38A1F1C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initially treated with </w:t>
            </w:r>
            <w:proofErr w:type="spellStart"/>
            <w:r>
              <w:rPr>
                <w:rFonts w:cs="Times New Roman"/>
                <w:sz w:val="20"/>
                <w:szCs w:val="20"/>
              </w:rPr>
              <w:t>ACEi</w:t>
            </w:r>
            <w:proofErr w:type="spellEnd"/>
            <w:r>
              <w:rPr>
                <w:rFonts w:cs="Times New Roman"/>
                <w:sz w:val="20"/>
                <w:szCs w:val="20"/>
              </w:rPr>
              <w:t xml:space="preserve"> monotherapy, switched to PS 75 mg/d tapered to 50 mg/d; </w:t>
            </w:r>
            <w:proofErr w:type="gramStart"/>
            <w:r>
              <w:rPr>
                <w:rFonts w:cs="Times New Roman"/>
                <w:sz w:val="20"/>
                <w:szCs w:val="20"/>
              </w:rPr>
              <w:t>CR</w:t>
            </w:r>
            <w:proofErr w:type="gramEnd"/>
          </w:p>
          <w:p w14:paraId="37C598E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pulse </w:t>
            </w:r>
            <w:proofErr w:type="spellStart"/>
            <w:r>
              <w:rPr>
                <w:rFonts w:cs="Times New Roman"/>
                <w:sz w:val="20"/>
                <w:szCs w:val="20"/>
              </w:rPr>
              <w:t>mPSL</w:t>
            </w:r>
            <w:proofErr w:type="spellEnd"/>
            <w:r>
              <w:rPr>
                <w:rFonts w:cs="Times New Roman"/>
                <w:sz w:val="20"/>
                <w:szCs w:val="20"/>
              </w:rPr>
              <w:t xml:space="preserve"> 500 mg/d for 3 days, followed by PS and </w:t>
            </w:r>
            <w:proofErr w:type="spellStart"/>
            <w:r>
              <w:rPr>
                <w:rFonts w:cs="Times New Roman"/>
                <w:sz w:val="20"/>
                <w:szCs w:val="20"/>
              </w:rPr>
              <w:t>CsA</w:t>
            </w:r>
            <w:proofErr w:type="spellEnd"/>
            <w:r>
              <w:rPr>
                <w:rFonts w:cs="Times New Roman"/>
                <w:sz w:val="20"/>
                <w:szCs w:val="20"/>
              </w:rPr>
              <w:t xml:space="preserve">; </w:t>
            </w:r>
            <w:proofErr w:type="gramStart"/>
            <w:r>
              <w:rPr>
                <w:rFonts w:cs="Times New Roman"/>
                <w:sz w:val="20"/>
                <w:szCs w:val="20"/>
              </w:rPr>
              <w:t>CR</w:t>
            </w:r>
            <w:proofErr w:type="gramEnd"/>
          </w:p>
          <w:p w14:paraId="328739B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PS 2 mg/kg/d and </w:t>
            </w:r>
            <w:proofErr w:type="spellStart"/>
            <w:r>
              <w:rPr>
                <w:rFonts w:cs="Times New Roman"/>
                <w:sz w:val="20"/>
                <w:szCs w:val="20"/>
              </w:rPr>
              <w:t>CsA</w:t>
            </w:r>
            <w:proofErr w:type="spellEnd"/>
            <w:r>
              <w:rPr>
                <w:rFonts w:cs="Times New Roman"/>
                <w:sz w:val="20"/>
                <w:szCs w:val="20"/>
              </w:rPr>
              <w:t>; CR</w:t>
            </w:r>
          </w:p>
        </w:tc>
      </w:tr>
      <w:tr w:rsidR="00CC1AC5" w14:paraId="5E4955A1"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27A84C67" w14:textId="205A4F7F"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Kim, 2003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{"citationItems":[{"id":"ITEM-1","itemData":{"DOI":"10.3346/jkms.2003.18.2.287","ISSN":"10118934","PMID":"12692432","abstract":"Nephrotic syndrome has been described as one of the clinical forms of chronic graft-versus-host disease (cGVHD), but a limited number of cases have been described. We experienced a young female patient with nephrotic syndrome developed 22 months after allogeneic hematopoietic stem cell transplantation (HSCT) for severe aplastic anemia. She had been well after successful management for gut-limited cGVHD until she developed a clinical nephrotic syndrome with hypoalbuminemia of 2.0 g/dL and 24-hr urine protein of 6.88 g/dL. On physical examination and laboratory findings, there was no other evidence of cGVHD. Clinical and renal biopsy findings were consistent with cGVHD-related membranous nephropathy, and immunosuppressive agents with cyclosporine and prednisone were prescribed. After 3 month of treatment, the proteinuria decreased to normal range; and the patient from nephrotic syndrome nearly recovered. We recommend cGVHD-related glomerulonephritis should be considered in all patients with hypoalbuminemia following allogeneic HSCT, even if there is no other evidence of clinical GVHD.","author":[{"dropping-particle":"","family":"Kim","given":"Kee Won","non-dropping-particle":"","parse-names":false,"suffix":""},{"dropping-particle":"","family":"Yoon","given":"Chong Hyeon","non-dropping-particle":"","parse-names":false,"suffix":""},{"dropping-particle":"","family":"Kay","given":"Chul Seung","non-dropping-particle":"","parse-names":false,"suffix":""},{"dropping-particle":"","family":"Kim","given":"Hee Jung","non-dropping-particle":"","parse-names":false,"suffix":""},{"dropping-particle":"","family":"Suh","given":"Kwang Sun","non-dropping-particle":"","parse-names":false,"suffix":""},{"dropping-particle":"","family":"Kim","given":"Suk Young","non-dropping-particle":"","parse-names":false,"suffix":""},{"dropping-particle":"","family":"Park","given":"Suk Young","non-dropping-particle":"","parse-names":false,"suffix":""}],"container-title":"Journal of Korean Medical Science","id":"ITEM-1","issue":"2","issued":{"date-parts":[["2003"]]},"page":"287-289","title":"Membranous Nephropathy after Allogeneic Hematopoietic Stem Cell Transplantation in a Patient with Aplastic Anemia : A Case Report","type":"article-journal","volume":"18"},"uris":["http://www.mendeley.com/documents/?uuid=de1d8f63-bf9b-4fdb-a56d-3e679378bce8"]}],"mendeley":{"formattedCitation":"(11)","plainTextFormattedCitation":"(11)","previouslyFormattedCitation":"(11)"},"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(17)</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7E87CB07"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(female)</w:t>
            </w:r>
          </w:p>
        </w:tc>
        <w:tc>
          <w:tcPr>
            <w:tcW w:w="1313" w:type="dxa"/>
            <w:tcBorders>
              <w:top w:val="single" w:sz="4" w:space="0" w:color="7F7F7F" w:themeColor="text1" w:themeTint="80"/>
              <w:bottom w:val="single" w:sz="4" w:space="0" w:color="7F7F7F" w:themeColor="text1" w:themeTint="80"/>
            </w:tcBorders>
          </w:tcPr>
          <w:p w14:paraId="3A84D3E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10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14C281F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Sudden onset of nephrotic syndrome; proteinuria 6.88 g/d</w:t>
            </w:r>
          </w:p>
        </w:tc>
        <w:tc>
          <w:tcPr>
            <w:tcW w:w="818" w:type="dxa"/>
            <w:tcBorders>
              <w:top w:val="single" w:sz="4" w:space="0" w:color="7F7F7F" w:themeColor="text1" w:themeTint="80"/>
              <w:bottom w:val="single" w:sz="4" w:space="0" w:color="7F7F7F" w:themeColor="text1" w:themeTint="80"/>
            </w:tcBorders>
          </w:tcPr>
          <w:p w14:paraId="05009EED"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03DD9470"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669431D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roofErr w:type="spellStart"/>
            <w:r>
              <w:rPr>
                <w:rFonts w:cs="Times New Roman"/>
                <w:sz w:val="20"/>
                <w:szCs w:val="20"/>
              </w:rPr>
              <w:t>CsA</w:t>
            </w:r>
            <w:proofErr w:type="spellEnd"/>
            <w:r>
              <w:rPr>
                <w:rFonts w:cs="Times New Roman"/>
                <w:sz w:val="20"/>
                <w:szCs w:val="20"/>
              </w:rPr>
              <w:t xml:space="preserve"> + PS; decrease in proteinuria in 3-month time</w:t>
            </w:r>
          </w:p>
        </w:tc>
      </w:tr>
      <w:tr w:rsidR="00CC1AC5" w14:paraId="2177DE2A"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3E66EEBC" w14:textId="32882D9A"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Kitamura, 2019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{"citationItems":[{"id":"ITEM-1","itemData":{"DOI":"10.2169/internalmedicine.1251-18","ISSN":"13497235","PMID":"30146584","abstract":"A 44-year-old man who received allogenic hematopoietic stem cell transplantation after being diagnosed with acute myeloid leukemia developed nephrosis when the dose of tacrolimus was tapered. A renal biopsy showed the granular deposition of immunoglobulin G in the glomerular basement membrane and subepithe-lial electron-dense deposits, crescent formation, C4d-positive staining of the peritubular capillary, and suben-dothelial swelling, suggesting that the main pathological diagnosis was membranous nephropathy and that chronic graft-versus-host disease played a role in the etiology of nephrosis. We herein report a case of membranous nephropathy with various pathological findings. C4d deposition suggests complement activation and the involvement of humoral factors.","author":[{"dropping-particle":"","family":"Kitamura","given":"Mineaki","non-dropping-particle":"","parse-names":false,"suffix":""},{"dropping-particle":"","family":"Hisano","given":"Satoshi","non-dropping-particle":"","parse-names":false,"suffix":""},{"dropping-particle":"","family":"Kurobe","given":"Yuka","non-dropping-particle":"","parse-names":false,"suffix":""},{"dropping-particle":"","family":"Abe","given":"Shinichi","non-dropping-particle":"","parse-names":false,"suffix":""},{"dropping-particle":"","family":"Ota","given":"Yuki","non-dropping-particle":"","parse-names":false,"suffix":""},{"dropping-particle":"","family":"Sawayama","given":"Yasushi","non-dropping-particle":"","parse-names":false,"suffix":""},{"dropping-particle":"","family":"Uramatsu","given":"Tadashi","non-dropping-particle":"","parse-names":false,"suffix":""},{"dropping-particle":"","family":"Obata","given":"Yoko","non-dropping-particle":"","parse-names":false,"suffix":""},{"dropping-particle":"","family":"Fukuoka","given":"Junya","non-dropping-particle":"","parse-names":false,"suffix":""},{"dropping-particle":"","family":"Miyazaki","given":"Yasushi","non-dropping-particle":"","parse-names":false,"suffix":""},{"dropping-particle":"","family":"Mukae","given":"Hiroshi","non-dropping-particle":"","parse-names":false,"suffix":""},{"dropping-particle":"","family":"Nishino","given":"Tomoya","non-dropping-particle":"","parse-names":false,"suffix":""}],"container-title":"Internal Medicine","id":"ITEM-1","issue":"1","issued":{"date-parts":[["2019"]]},"page":"91-96","title":"Membranous nephropathy with crescent after hematopoietic cell transplantation","type":"article-journal","volume":"58"},"uris":["http://www.mendeley.com/documents/?uuid=332083cf-e104-4ff2-94bf-c3e610faed3f"]}],"mendeley":{"formattedCitation":"(12)","plainTextFormattedCitation":"(12)","previouslyFormattedCitation":"(12)"},"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(18)</w:t>
            </w:r>
            <w:r w:rsidRPr="0015063D">
              <w:rPr>
                <w:rFonts w:cs="Times New Roman"/>
                <w:b w:val="0"/>
                <w:bCs w:val="0"/>
                <w:sz w:val="20"/>
                <w:szCs w:val="20"/>
              </w:rPr>
              <w:fldChar w:fldCharType="end"/>
            </w:r>
          </w:p>
        </w:tc>
        <w:tc>
          <w:tcPr>
            <w:tcW w:w="1175" w:type="dxa"/>
          </w:tcPr>
          <w:p w14:paraId="0DE175B2"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Pr>
          <w:p w14:paraId="1D6CE78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21 </w:t>
            </w:r>
            <w:proofErr w:type="spellStart"/>
            <w:r>
              <w:rPr>
                <w:rFonts w:cs="Times New Roman"/>
                <w:sz w:val="20"/>
                <w:szCs w:val="20"/>
              </w:rPr>
              <w:t>mo</w:t>
            </w:r>
            <w:proofErr w:type="spellEnd"/>
          </w:p>
        </w:tc>
        <w:tc>
          <w:tcPr>
            <w:tcW w:w="1559" w:type="dxa"/>
          </w:tcPr>
          <w:p w14:paraId="75FA48C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Bilateral leg swelling; proteinuria 10.5 g/d</w:t>
            </w:r>
          </w:p>
        </w:tc>
        <w:tc>
          <w:tcPr>
            <w:tcW w:w="818" w:type="dxa"/>
          </w:tcPr>
          <w:p w14:paraId="1DC60ED9"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523462B0"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Ab - positive</w:t>
            </w:r>
          </w:p>
        </w:tc>
        <w:tc>
          <w:tcPr>
            <w:tcW w:w="3828" w:type="dxa"/>
          </w:tcPr>
          <w:p w14:paraId="3EBADB32" w14:textId="51E2ADED"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1 g/d </w:t>
            </w:r>
            <w:proofErr w:type="spellStart"/>
            <w:r>
              <w:rPr>
                <w:rFonts w:cs="Times New Roman"/>
                <w:sz w:val="20"/>
                <w:szCs w:val="20"/>
              </w:rPr>
              <w:t>mPSL</w:t>
            </w:r>
            <w:proofErr w:type="spellEnd"/>
            <w:r>
              <w:rPr>
                <w:rFonts w:cs="Times New Roman"/>
                <w:sz w:val="20"/>
                <w:szCs w:val="20"/>
              </w:rPr>
              <w:t xml:space="preserve">, then 60 mg/d </w:t>
            </w:r>
            <w:proofErr w:type="spellStart"/>
            <w:r>
              <w:rPr>
                <w:rFonts w:cs="Times New Roman"/>
                <w:sz w:val="20"/>
                <w:szCs w:val="20"/>
              </w:rPr>
              <w:t>mPSL</w:t>
            </w:r>
            <w:proofErr w:type="spellEnd"/>
            <w:r>
              <w:rPr>
                <w:rFonts w:cs="Times New Roman"/>
                <w:sz w:val="20"/>
                <w:szCs w:val="20"/>
              </w:rPr>
              <w:t xml:space="preserve"> + 0.4 mg </w:t>
            </w:r>
            <w:r w:rsidR="00957A58">
              <w:rPr>
                <w:rFonts w:cs="Times New Roman"/>
                <w:sz w:val="20"/>
                <w:szCs w:val="20"/>
              </w:rPr>
              <w:t>Tac</w:t>
            </w:r>
          </w:p>
        </w:tc>
      </w:tr>
      <w:tr w:rsidR="00CC1AC5" w14:paraId="1D12AFF4" w14:textId="77777777" w:rsidTr="00CC1AC5">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0E92B24D" w14:textId="77777777"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t>Kudose</w:t>
            </w:r>
            <w:proofErr w:type="spellEnd"/>
            <w:r w:rsidRPr="009E5CC5">
              <w:rPr>
                <w:rFonts w:cs="Times New Roman"/>
                <w:sz w:val="20"/>
                <w:szCs w:val="20"/>
              </w:rPr>
              <w:t>, 2021 (19)</w:t>
            </w:r>
          </w:p>
        </w:tc>
        <w:tc>
          <w:tcPr>
            <w:tcW w:w="1175" w:type="dxa"/>
            <w:tcBorders>
              <w:top w:val="single" w:sz="4" w:space="0" w:color="7F7F7F" w:themeColor="text1" w:themeTint="80"/>
              <w:bottom w:val="single" w:sz="4" w:space="0" w:color="7F7F7F" w:themeColor="text1" w:themeTint="80"/>
            </w:tcBorders>
          </w:tcPr>
          <w:p w14:paraId="2CCEDA90"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9 (6 male,3 female)</w:t>
            </w:r>
          </w:p>
        </w:tc>
        <w:tc>
          <w:tcPr>
            <w:tcW w:w="1313" w:type="dxa"/>
            <w:tcBorders>
              <w:top w:val="single" w:sz="4" w:space="0" w:color="7F7F7F" w:themeColor="text1" w:themeTint="80"/>
              <w:bottom w:val="single" w:sz="4" w:space="0" w:color="7F7F7F" w:themeColor="text1" w:themeTint="80"/>
            </w:tcBorders>
          </w:tcPr>
          <w:p w14:paraId="16A38EB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Pt1- 36 </w:t>
            </w:r>
            <w:proofErr w:type="spellStart"/>
            <w:r>
              <w:rPr>
                <w:rFonts w:cs="Times New Roman"/>
                <w:sz w:val="20"/>
                <w:szCs w:val="20"/>
              </w:rPr>
              <w:t>mo</w:t>
            </w:r>
            <w:proofErr w:type="spellEnd"/>
          </w:p>
          <w:p w14:paraId="1BA607F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Pt2- 60 </w:t>
            </w:r>
            <w:proofErr w:type="spellStart"/>
            <w:r>
              <w:rPr>
                <w:rFonts w:cs="Times New Roman"/>
                <w:sz w:val="20"/>
                <w:szCs w:val="20"/>
              </w:rPr>
              <w:t>mo</w:t>
            </w:r>
            <w:proofErr w:type="spellEnd"/>
          </w:p>
          <w:p w14:paraId="4B8CB5F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Pt3-unknown</w:t>
            </w:r>
          </w:p>
          <w:p w14:paraId="702DD51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Pt4- 54 </w:t>
            </w:r>
            <w:proofErr w:type="spellStart"/>
            <w:r>
              <w:rPr>
                <w:rFonts w:cs="Times New Roman"/>
                <w:sz w:val="20"/>
                <w:szCs w:val="20"/>
              </w:rPr>
              <w:t>mo</w:t>
            </w:r>
            <w:proofErr w:type="spellEnd"/>
          </w:p>
          <w:p w14:paraId="2955BA9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Pt5- 48 </w:t>
            </w:r>
            <w:proofErr w:type="spellStart"/>
            <w:r>
              <w:rPr>
                <w:rFonts w:cs="Times New Roman"/>
                <w:sz w:val="20"/>
                <w:szCs w:val="20"/>
              </w:rPr>
              <w:t>mo</w:t>
            </w:r>
            <w:proofErr w:type="spellEnd"/>
          </w:p>
          <w:p w14:paraId="58E2F80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Pt6- 48 </w:t>
            </w:r>
            <w:proofErr w:type="spellStart"/>
            <w:r>
              <w:rPr>
                <w:rFonts w:cs="Times New Roman"/>
                <w:sz w:val="20"/>
                <w:szCs w:val="20"/>
              </w:rPr>
              <w:t>mo</w:t>
            </w:r>
            <w:proofErr w:type="spellEnd"/>
          </w:p>
          <w:p w14:paraId="165337C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Pt7- 60 </w:t>
            </w:r>
            <w:proofErr w:type="spellStart"/>
            <w:r>
              <w:rPr>
                <w:rFonts w:cs="Times New Roman"/>
                <w:sz w:val="20"/>
                <w:szCs w:val="20"/>
              </w:rPr>
              <w:t>mo</w:t>
            </w:r>
            <w:proofErr w:type="spellEnd"/>
          </w:p>
          <w:p w14:paraId="1190CA4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Pt8- 12 </w:t>
            </w:r>
            <w:proofErr w:type="spellStart"/>
            <w:r>
              <w:rPr>
                <w:rFonts w:cs="Times New Roman"/>
                <w:sz w:val="20"/>
                <w:szCs w:val="20"/>
              </w:rPr>
              <w:t>mo</w:t>
            </w:r>
            <w:proofErr w:type="spellEnd"/>
          </w:p>
          <w:p w14:paraId="7AADDE7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Pt9-unknown</w:t>
            </w:r>
          </w:p>
        </w:tc>
        <w:tc>
          <w:tcPr>
            <w:tcW w:w="1559" w:type="dxa"/>
            <w:tcBorders>
              <w:top w:val="single" w:sz="4" w:space="0" w:color="7F7F7F" w:themeColor="text1" w:themeTint="80"/>
              <w:bottom w:val="single" w:sz="4" w:space="0" w:color="7F7F7F" w:themeColor="text1" w:themeTint="80"/>
            </w:tcBorders>
          </w:tcPr>
          <w:p w14:paraId="7B3C43A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Edema-1,2,3,4,5,6,8,</w:t>
            </w:r>
          </w:p>
          <w:p w14:paraId="51FD834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Proteinuria: </w:t>
            </w:r>
          </w:p>
          <w:p w14:paraId="05A28B5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Pt1-6.8 g/g</w:t>
            </w:r>
          </w:p>
          <w:p w14:paraId="47C78FA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Pt2- 2.2 g/g</w:t>
            </w:r>
          </w:p>
          <w:p w14:paraId="4DDF8CE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Pt3-unknown</w:t>
            </w:r>
          </w:p>
          <w:p w14:paraId="142C73F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Pt4-3.3 g/g</w:t>
            </w:r>
          </w:p>
          <w:p w14:paraId="0868ED7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Pt5-unknown</w:t>
            </w:r>
          </w:p>
          <w:p w14:paraId="3C6A02C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Pt6-5 g/g</w:t>
            </w:r>
          </w:p>
          <w:p w14:paraId="49F9A0B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Pt7-15 g/g</w:t>
            </w:r>
          </w:p>
          <w:p w14:paraId="0897D2E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Pt8-5.7 g/g</w:t>
            </w:r>
          </w:p>
          <w:p w14:paraId="43824E1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Pt9-4.5 g/g</w:t>
            </w:r>
          </w:p>
        </w:tc>
        <w:tc>
          <w:tcPr>
            <w:tcW w:w="818" w:type="dxa"/>
            <w:tcBorders>
              <w:top w:val="single" w:sz="4" w:space="0" w:color="7F7F7F" w:themeColor="text1" w:themeTint="80"/>
              <w:bottom w:val="single" w:sz="4" w:space="0" w:color="7F7F7F" w:themeColor="text1" w:themeTint="80"/>
            </w:tcBorders>
          </w:tcPr>
          <w:p w14:paraId="78F9C8D3"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219A4103"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Pts 1,4,5,8,9- Ab negative</w:t>
            </w:r>
          </w:p>
          <w:p w14:paraId="35BCDB65"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 6-Ab positive</w:t>
            </w:r>
          </w:p>
        </w:tc>
        <w:tc>
          <w:tcPr>
            <w:tcW w:w="3828" w:type="dxa"/>
            <w:tcBorders>
              <w:top w:val="single" w:sz="4" w:space="0" w:color="7F7F7F" w:themeColor="text1" w:themeTint="80"/>
              <w:bottom w:val="single" w:sz="4" w:space="0" w:color="7F7F7F" w:themeColor="text1" w:themeTint="80"/>
            </w:tcBorders>
          </w:tcPr>
          <w:p w14:paraId="29397A3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Unknown</w:t>
            </w:r>
          </w:p>
        </w:tc>
      </w:tr>
      <w:tr w:rsidR="00CC1AC5" w14:paraId="4C94E631"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70F4F5E9" w14:textId="12994094" w:rsidR="00CC1AC5" w:rsidRPr="0015063D" w:rsidRDefault="00000000">
            <w:pPr>
              <w:spacing w:after="0" w:line="240" w:lineRule="auto"/>
              <w:jc w:val="center"/>
              <w:rPr>
                <w:rFonts w:cs="Times New Roman"/>
                <w:sz w:val="20"/>
                <w:szCs w:val="20"/>
              </w:rPr>
            </w:pPr>
            <w:r w:rsidRPr="009E5CC5">
              <w:rPr>
                <w:rFonts w:cs="Times New Roman"/>
                <w:sz w:val="20"/>
                <w:szCs w:val="20"/>
              </w:rPr>
              <w:lastRenderedPageBreak/>
              <w:t xml:space="preserve">Lam, 2007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10.1017/9781108772297.029","ISBN":"9781108772297","author":[{"dropping-particle":"","family":"Lam","given":"M.F.","non-dropping-particle":"","parse-names":false,"suffix":""},{"dropping-particle":"","family":"Au","given":"W.Y.","non-dropping-particle":"","parse-names":false,"suffix":""},{"dropping-particle":"","family":"Tse","given":"K.C.","non-dropping-particle":"","parse-names":false,"suffix":""},{"dropping-particle":"","family":"Chan","given":"T.M.","non-dropping-particle":"","parse-names":false,"suffix":""},{"dropping-particle":"","family":"Chan","given":"G.S.W.","non-dropping-particle":"","parse-names":false,"suffix":""},{"dropping-particle":"","family":"Chan","given":"K.W.","non-dropping-particle":"","parse-names":false,"suffix":""},{"dropping-particle":"","family":"Lai","given":"K.N.","non-dropping-particle":"","parse-names":false,"suffix":""}],"container-title":"American Journal of Hematology","id":"ITEM-1","issued":{"date-parts":[["2007"]]},"page":"327-333","title":"Late Onset Membranous Nephropathy Complicating Donor Lymphocyte Infusion for Leukaemia Relapse After Allogeneic Stem Cell Transplantation","type":"article-journal","volume":"82"},"uris":["http://www.mendeley.com/documents/?uuid=860207fc-14a6-4ece-a416-fc11b8b47430"]}],"mendeley":{"formattedCitation":"(13)","plainTextFormattedCitation":"(13)","previouslyFormattedCitation":"(13)"},"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(20)</w:t>
            </w:r>
            <w:r w:rsidRPr="0015063D">
              <w:rPr>
                <w:rFonts w:cs="Times New Roman"/>
                <w:b w:val="0"/>
                <w:bCs w:val="0"/>
                <w:sz w:val="20"/>
                <w:szCs w:val="20"/>
              </w:rPr>
              <w:fldChar w:fldCharType="end"/>
            </w:r>
          </w:p>
        </w:tc>
        <w:tc>
          <w:tcPr>
            <w:tcW w:w="1175" w:type="dxa"/>
          </w:tcPr>
          <w:p w14:paraId="008AD66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Pr>
          <w:p w14:paraId="69509A9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54 </w:t>
            </w:r>
            <w:proofErr w:type="spellStart"/>
            <w:r>
              <w:rPr>
                <w:rFonts w:cs="Times New Roman"/>
                <w:sz w:val="20"/>
                <w:szCs w:val="20"/>
              </w:rPr>
              <w:t>mo</w:t>
            </w:r>
            <w:proofErr w:type="spellEnd"/>
          </w:p>
        </w:tc>
        <w:tc>
          <w:tcPr>
            <w:tcW w:w="1559" w:type="dxa"/>
          </w:tcPr>
          <w:p w14:paraId="5446826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 7.6 g/d</w:t>
            </w:r>
          </w:p>
        </w:tc>
        <w:tc>
          <w:tcPr>
            <w:tcW w:w="818" w:type="dxa"/>
          </w:tcPr>
          <w:p w14:paraId="30053A3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5396AABE"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Pr>
          <w:p w14:paraId="56210A4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Responded to increase in immunosuppression (</w:t>
            </w:r>
            <w:proofErr w:type="spellStart"/>
            <w:r>
              <w:rPr>
                <w:rFonts w:cs="Times New Roman"/>
                <w:sz w:val="20"/>
                <w:szCs w:val="20"/>
              </w:rPr>
              <w:t>CsA</w:t>
            </w:r>
            <w:proofErr w:type="spellEnd"/>
            <w:r>
              <w:rPr>
                <w:rFonts w:cs="Times New Roman"/>
                <w:sz w:val="20"/>
                <w:szCs w:val="20"/>
              </w:rPr>
              <w:t xml:space="preserve"> 75 mg, PSL 40 mg, MMF 2g)</w:t>
            </w:r>
          </w:p>
        </w:tc>
      </w:tr>
      <w:tr w:rsidR="00CC1AC5" w14:paraId="60D81D8D"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074FC4D0" w14:textId="237E9067"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t>Masuzawa</w:t>
            </w:r>
            <w:proofErr w:type="spellEnd"/>
            <w:r w:rsidRPr="009E5CC5">
              <w:rPr>
                <w:rFonts w:cs="Times New Roman"/>
                <w:sz w:val="20"/>
                <w:szCs w:val="20"/>
              </w:rPr>
              <w:t xml:space="preserve">, 2017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{"citationItems":[{"id":"ITEM-1","itemData":{"DOI":"10.1111/pin.12589","ISSN":"14401827","PMID":"28940837","abstract":"Nephrotic syndrome (NS) rarely occurs in post-hematopoietic stem cell transplantation (HSCT) recipients but represents the renal manifestation of graft-versus-host disease (GVHD). Membranous nephropathy (MN) accounts for almost two thirds of post-HSCT NS and is caused by immune complex deposition. Renal thrombotic microangiopathy (TMA) without fulfillment of clinical criteria for TMA has been underreported because of reduced opportunity for histological examination. However, renal TMA has recently been reported in association with GVHD and humoral immunological reactions. Although both MN and TMA after HSCT are associated with GVHD and immunological abnormalities, these diseases are exceptionally coexistent in renal biopsy specimens. We herein describe a case of post-HSCT NS, histologically showing overlapped lesions of TMA and MN. Renal biopsy specimen after presentation of NS revealed early stage MN and TMA with evidence of chronicity. TMA was thought to have preceded MN, and renal biopsy at the phase of pre-nephrotic proteinuria might reveal earlier histological changes of isolated renal TMA. Detection of subclinical renal TMA earlier by spontaneous renal biopsy can help prevent progression of renal injury or overlapping of other renal pathologies. We also demonstrated Th2 predominant intraglomerular infiltration of lymphocytes by immunohistochemistry.","author":[{"dropping-particle":"","family":"Masuzawa","given":"Naoko","non-dropping-particle":"","parse-names":false,"suffix":""},{"dropping-particle":"","family":"Nishimura","given":"Ayako","non-dropping-particle":"","parse-names":false,"suffix":""},{"dropping-particle":"","family":"Kitani","given":"Takashi","non-dropping-particle":"","parse-names":false,"suffix":""},{"dropping-particle":"","family":"Tamagaki","given":"Keiichi","non-dropping-particle":"","parse-names":false,"suffix":""},{"dropping-particle":"","family":"Sugitani","given":"Mio","non-dropping-particle":"","parse-names":false,"suffix":""},{"dropping-particle":"","family":"Nagoshi","given":"Hisao","non-dropping-particle":"","parse-names":false,"suffix":""},{"dropping-particle":"","family":"Kuroda","given":"Junya","non-dropping-particle":"","parse-names":false,"suffix":""},{"dropping-particle":"","family":"Konishi","given":"Eiichi","non-dropping-particle":"","parse-names":false,"suffix":""}],"container-title":"Pathology International","id":"ITEM-1","issue":"12","issued":{"date-parts":[["2017"]]},"page":"620-625","title":"A Case of the nephrotic syndrome in bone marrow transplantation recipient, histologically showing overlapped glomerular lesions of thrombotic microangiopathy and membranous nephropathy","type":"article-journal","volume":"67"},"uris":["http://www.mendeley.com/documents/?uuid=bacc5bcd-ee6e-4316-a1b7-c43f629d9956"]}],"mendeley":{"formattedCitation":"(14)","plainTextFormattedCitation":"(14)","previouslyFormattedCitation":"(14)"},"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(21)</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1A3E1F5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Borders>
              <w:top w:val="single" w:sz="4" w:space="0" w:color="7F7F7F" w:themeColor="text1" w:themeTint="80"/>
              <w:bottom w:val="single" w:sz="4" w:space="0" w:color="7F7F7F" w:themeColor="text1" w:themeTint="80"/>
            </w:tcBorders>
          </w:tcPr>
          <w:p w14:paraId="5C44A31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10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5031B7CB"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Progressive proteinuria due to immunosuppressant reduction; progressed to edema and pneumonia</w:t>
            </w:r>
          </w:p>
        </w:tc>
        <w:tc>
          <w:tcPr>
            <w:tcW w:w="818" w:type="dxa"/>
            <w:tcBorders>
              <w:top w:val="single" w:sz="4" w:space="0" w:color="7F7F7F" w:themeColor="text1" w:themeTint="80"/>
              <w:bottom w:val="single" w:sz="4" w:space="0" w:color="7F7F7F" w:themeColor="text1" w:themeTint="80"/>
            </w:tcBorders>
          </w:tcPr>
          <w:p w14:paraId="1E64CC0D"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1BF4D861" w14:textId="49768D1E"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IF for PLA2R negative</w:t>
            </w:r>
          </w:p>
        </w:tc>
        <w:tc>
          <w:tcPr>
            <w:tcW w:w="3828" w:type="dxa"/>
            <w:tcBorders>
              <w:top w:val="single" w:sz="4" w:space="0" w:color="7F7F7F" w:themeColor="text1" w:themeTint="80"/>
              <w:bottom w:val="single" w:sz="4" w:space="0" w:color="7F7F7F" w:themeColor="text1" w:themeTint="80"/>
            </w:tcBorders>
          </w:tcPr>
          <w:p w14:paraId="1B1DC9E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60 mg/d PS; CR</w:t>
            </w:r>
          </w:p>
        </w:tc>
      </w:tr>
      <w:tr w:rsidR="00CC1AC5" w14:paraId="3F044493"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5DF29A9D" w14:textId="6CC79968"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Miyazaki, 2003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{"citationItems":[{"id":"ITEM-1","itemData":{"DOI":"10.1007/BF02983805","ISSN":"09255710","PMID":"14604287","abstract":"Nephrotic syndrome after hematopoietic stem cell transplantation (HSCT) followed by donor lymphocyte infusion (DLI) has never been described. We report the case of a myelodysplastic syndrome (MDS) patient who developed nephrotic syndrome with membranous nephropathy 18 months after allogeneic HSCT and 4 months after DLI. A 50-year-old woman with MDS underwent allogeneic bone marrow transplantation from her HLA-matched brother. MDS relapsed 55 days after transplantation, donor lymphocytes were infused as adoptive immunotherapy, and complete remission was achieved. Four months after the third DLI, the patient developed nephrotic syndrome with proteinuria up to 9 g/day. Renal biopsy revealed granular deposits of immunoglobulin G along the glomerular basement membrane, and subepithelial electron-dense deposits. A diagnosis of membranous nephropathy was made. For maintenance of the immunotherapeutic effect of DLI, minimum doses of immunosuppressive therapy for decreasing proteinuria were administered, and improvement of nephrotic syndrome and persistent complete remission of MDS were achieved. © 2003 The Japanese Society of Hematology.","author":[{"dropping-particle":"","family":"Miyazaki","given":"Yasuhiko","non-dropping-particle":"","parse-names":false,"suffix":""},{"dropping-particle":"","family":"Mori","given":"Yasukiyo","non-dropping-particle":"","parse-names":false,"suffix":""},{"dropping-particle":"","family":"Kishimoto","given":"Noriko","non-dropping-particle":"","parse-names":false,"suffix":""},{"dropping-particle":"","family":"Matsumoto","given":"Noriaki","non-dropping-particle":"","parse-names":false,"suffix":""},{"dropping-particle":"","family":"Zen","given":"Katsuhiro","non-dropping-particle":"","parse-names":false,"suffix":""},{"dropping-particle":"","family":"Amakawa","given":"Ryuichi","non-dropping-particle":"","parse-names":false,"suffix":""},{"dropping-particle":"","family":"Kishimoto","given":"Yuji","non-dropping-particle":"","parse-names":false,"suffix":""},{"dropping-particle":"","family":"Fukuhara","given":"Shirou","non-dropping-particle":"","parse-names":false,"suffix":""}],"container-title":"International Journal of Hematology","id":"ITEM-1","issue":"3","issued":{"date-parts":[["2003"]]},"page":"262-265","title":"Membranous Nephropathy Associated with Donor Lymphocyte Infusion following Allogeneic Bone Marrow Transplantation","type":"article-journal","volume":"78"},"uris":["http://www.mendeley.com/documents/?uuid=2d1b9632-1929-46bd-b26c-64fd8c5b5336"]}],"mendeley":{"formattedCitation":"(15)","plainTextFormattedCitation":"(15)","previouslyFormattedCitation":"(15)"},"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(22)</w:t>
            </w:r>
            <w:r w:rsidRPr="0015063D">
              <w:rPr>
                <w:rFonts w:cs="Times New Roman"/>
                <w:b w:val="0"/>
                <w:bCs w:val="0"/>
                <w:sz w:val="20"/>
                <w:szCs w:val="20"/>
              </w:rPr>
              <w:fldChar w:fldCharType="end"/>
            </w:r>
            <w:r w:rsidRPr="009E5CC5">
              <w:rPr>
                <w:rFonts w:cs="Times New Roman"/>
                <w:sz w:val="20"/>
                <w:szCs w:val="20"/>
              </w:rPr>
              <w:t xml:space="preserve"> </w:t>
            </w:r>
          </w:p>
        </w:tc>
        <w:tc>
          <w:tcPr>
            <w:tcW w:w="1175" w:type="dxa"/>
          </w:tcPr>
          <w:p w14:paraId="3F22648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(female)</w:t>
            </w:r>
          </w:p>
        </w:tc>
        <w:tc>
          <w:tcPr>
            <w:tcW w:w="1313" w:type="dxa"/>
          </w:tcPr>
          <w:p w14:paraId="25788E8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18 </w:t>
            </w:r>
            <w:proofErr w:type="spellStart"/>
            <w:r>
              <w:rPr>
                <w:rFonts w:cs="Times New Roman"/>
                <w:sz w:val="20"/>
                <w:szCs w:val="20"/>
              </w:rPr>
              <w:t>mo</w:t>
            </w:r>
            <w:proofErr w:type="spellEnd"/>
          </w:p>
        </w:tc>
        <w:tc>
          <w:tcPr>
            <w:tcW w:w="1559" w:type="dxa"/>
          </w:tcPr>
          <w:p w14:paraId="1D009CF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Nephrotic syndrome; proteinuria up to 9 g/d</w:t>
            </w:r>
          </w:p>
        </w:tc>
        <w:tc>
          <w:tcPr>
            <w:tcW w:w="818" w:type="dxa"/>
          </w:tcPr>
          <w:p w14:paraId="3B91C9D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62F8A2A7"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Pr>
          <w:p w14:paraId="7784DC4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0.8 mg/kg </w:t>
            </w:r>
            <w:proofErr w:type="spellStart"/>
            <w:r>
              <w:rPr>
                <w:rFonts w:cs="Times New Roman"/>
                <w:sz w:val="20"/>
                <w:szCs w:val="20"/>
              </w:rPr>
              <w:t>mPSL</w:t>
            </w:r>
            <w:proofErr w:type="spellEnd"/>
            <w:r>
              <w:rPr>
                <w:rFonts w:cs="Times New Roman"/>
                <w:sz w:val="20"/>
                <w:szCs w:val="20"/>
              </w:rPr>
              <w:t xml:space="preserve">; relapse 2 </w:t>
            </w:r>
            <w:proofErr w:type="spellStart"/>
            <w:r>
              <w:rPr>
                <w:rFonts w:cs="Times New Roman"/>
                <w:sz w:val="20"/>
                <w:szCs w:val="20"/>
              </w:rPr>
              <w:t>mo</w:t>
            </w:r>
            <w:proofErr w:type="spellEnd"/>
            <w:r>
              <w:rPr>
                <w:rFonts w:cs="Times New Roman"/>
                <w:sz w:val="20"/>
                <w:szCs w:val="20"/>
              </w:rPr>
              <w:t xml:space="preserve"> after discontinuation; </w:t>
            </w:r>
            <w:proofErr w:type="spellStart"/>
            <w:r>
              <w:rPr>
                <w:rFonts w:cs="Times New Roman"/>
                <w:sz w:val="20"/>
                <w:szCs w:val="20"/>
              </w:rPr>
              <w:t>mPSL</w:t>
            </w:r>
            <w:proofErr w:type="spellEnd"/>
            <w:r>
              <w:rPr>
                <w:rFonts w:cs="Times New Roman"/>
                <w:sz w:val="20"/>
                <w:szCs w:val="20"/>
              </w:rPr>
              <w:t xml:space="preserve"> reintroduced with remission after 14 days; 2</w:t>
            </w:r>
            <w:r>
              <w:rPr>
                <w:rFonts w:cs="Times New Roman"/>
                <w:sz w:val="20"/>
                <w:szCs w:val="20"/>
                <w:vertAlign w:val="superscript"/>
              </w:rPr>
              <w:t>nd</w:t>
            </w:r>
            <w:r>
              <w:rPr>
                <w:rFonts w:cs="Times New Roman"/>
                <w:sz w:val="20"/>
                <w:szCs w:val="20"/>
              </w:rPr>
              <w:t xml:space="preserve"> relapse treated with </w:t>
            </w:r>
            <w:proofErr w:type="spellStart"/>
            <w:r>
              <w:rPr>
                <w:rFonts w:cs="Times New Roman"/>
                <w:sz w:val="20"/>
                <w:szCs w:val="20"/>
              </w:rPr>
              <w:t>mPSL</w:t>
            </w:r>
            <w:proofErr w:type="spellEnd"/>
            <w:r>
              <w:rPr>
                <w:rFonts w:cs="Times New Roman"/>
                <w:sz w:val="20"/>
                <w:szCs w:val="20"/>
              </w:rPr>
              <w:t xml:space="preserve"> for 84 days; 3</w:t>
            </w:r>
            <w:r>
              <w:rPr>
                <w:rFonts w:cs="Times New Roman"/>
                <w:sz w:val="20"/>
                <w:szCs w:val="20"/>
                <w:vertAlign w:val="superscript"/>
              </w:rPr>
              <w:t>rd</w:t>
            </w:r>
            <w:r>
              <w:rPr>
                <w:rFonts w:cs="Times New Roman"/>
                <w:sz w:val="20"/>
                <w:szCs w:val="20"/>
              </w:rPr>
              <w:t xml:space="preserve"> relapse treated with </w:t>
            </w:r>
            <w:proofErr w:type="spellStart"/>
            <w:r>
              <w:rPr>
                <w:rFonts w:cs="Times New Roman"/>
                <w:sz w:val="20"/>
                <w:szCs w:val="20"/>
              </w:rPr>
              <w:t>mPSL</w:t>
            </w:r>
            <w:proofErr w:type="spellEnd"/>
          </w:p>
        </w:tc>
      </w:tr>
      <w:tr w:rsidR="00CC1AC5" w14:paraId="30F6A50F"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21C783B6" w14:textId="77777777" w:rsidR="00CC1AC5" w:rsidRPr="0015063D" w:rsidRDefault="00000000">
            <w:pPr>
              <w:spacing w:after="0" w:line="240" w:lineRule="auto"/>
              <w:jc w:val="center"/>
              <w:rPr>
                <w:rFonts w:cs="Times New Roman"/>
                <w:sz w:val="20"/>
                <w:szCs w:val="20"/>
              </w:rPr>
            </w:pPr>
            <w:r w:rsidRPr="009E5CC5">
              <w:rPr>
                <w:rFonts w:cs="Times New Roman"/>
                <w:sz w:val="20"/>
                <w:szCs w:val="20"/>
              </w:rPr>
              <w:t>Mrabet, 2018 (23)</w:t>
            </w:r>
          </w:p>
        </w:tc>
        <w:tc>
          <w:tcPr>
            <w:tcW w:w="1175" w:type="dxa"/>
            <w:tcBorders>
              <w:top w:val="single" w:sz="4" w:space="0" w:color="7F7F7F" w:themeColor="text1" w:themeTint="80"/>
              <w:bottom w:val="single" w:sz="4" w:space="0" w:color="7F7F7F" w:themeColor="text1" w:themeTint="80"/>
            </w:tcBorders>
          </w:tcPr>
          <w:p w14:paraId="7E149B7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Borders>
              <w:top w:val="single" w:sz="4" w:space="0" w:color="7F7F7F" w:themeColor="text1" w:themeTint="80"/>
              <w:bottom w:val="single" w:sz="4" w:space="0" w:color="7F7F7F" w:themeColor="text1" w:themeTint="80"/>
            </w:tcBorders>
          </w:tcPr>
          <w:p w14:paraId="779CB62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29 d</w:t>
            </w:r>
          </w:p>
        </w:tc>
        <w:tc>
          <w:tcPr>
            <w:tcW w:w="1559" w:type="dxa"/>
            <w:tcBorders>
              <w:top w:val="single" w:sz="4" w:space="0" w:color="7F7F7F" w:themeColor="text1" w:themeTint="80"/>
              <w:bottom w:val="single" w:sz="4" w:space="0" w:color="7F7F7F" w:themeColor="text1" w:themeTint="80"/>
            </w:tcBorders>
          </w:tcPr>
          <w:p w14:paraId="5204467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UTI, </w:t>
            </w:r>
            <w:r>
              <w:rPr>
                <w:rFonts w:cs="Times New Roman"/>
                <w:i/>
                <w:iCs/>
                <w:sz w:val="20"/>
                <w:szCs w:val="20"/>
              </w:rPr>
              <w:t xml:space="preserve">S. </w:t>
            </w:r>
            <w:proofErr w:type="spellStart"/>
            <w:r>
              <w:rPr>
                <w:rFonts w:cs="Times New Roman"/>
                <w:i/>
                <w:iCs/>
                <w:sz w:val="20"/>
                <w:szCs w:val="20"/>
              </w:rPr>
              <w:t>hemolyticus</w:t>
            </w:r>
            <w:proofErr w:type="spellEnd"/>
            <w:r>
              <w:rPr>
                <w:rFonts w:cs="Times New Roman"/>
                <w:i/>
                <w:iCs/>
                <w:sz w:val="20"/>
                <w:szCs w:val="20"/>
              </w:rPr>
              <w:t xml:space="preserve"> </w:t>
            </w:r>
            <w:r>
              <w:rPr>
                <w:rFonts w:cs="Times New Roman"/>
                <w:sz w:val="20"/>
                <w:szCs w:val="20"/>
              </w:rPr>
              <w:t>sepsis; progressive proteinuria of nephrotic range</w:t>
            </w:r>
          </w:p>
        </w:tc>
        <w:tc>
          <w:tcPr>
            <w:tcW w:w="818" w:type="dxa"/>
            <w:tcBorders>
              <w:top w:val="single" w:sz="4" w:space="0" w:color="7F7F7F" w:themeColor="text1" w:themeTint="80"/>
              <w:bottom w:val="single" w:sz="4" w:space="0" w:color="7F7F7F" w:themeColor="text1" w:themeTint="80"/>
            </w:tcBorders>
          </w:tcPr>
          <w:p w14:paraId="090F1BEB"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23AEC90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Ab- negative</w:t>
            </w:r>
          </w:p>
        </w:tc>
        <w:tc>
          <w:tcPr>
            <w:tcW w:w="3828" w:type="dxa"/>
            <w:tcBorders>
              <w:top w:val="single" w:sz="4" w:space="0" w:color="7F7F7F" w:themeColor="text1" w:themeTint="80"/>
              <w:bottom w:val="single" w:sz="4" w:space="0" w:color="7F7F7F" w:themeColor="text1" w:themeTint="80"/>
            </w:tcBorders>
          </w:tcPr>
          <w:p w14:paraId="0364114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RAAS; PS 1 mg/kg/d; CR</w:t>
            </w:r>
          </w:p>
        </w:tc>
      </w:tr>
      <w:tr w:rsidR="00CC1AC5" w14:paraId="4B9B72E1"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0126FE01" w14:textId="1948B1F5"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t>Nergizoglu</w:t>
            </w:r>
            <w:proofErr w:type="spellEnd"/>
            <w:r w:rsidRPr="009E5CC5">
              <w:rPr>
                <w:rFonts w:cs="Times New Roman"/>
                <w:sz w:val="20"/>
                <w:szCs w:val="20"/>
              </w:rPr>
              <w:t xml:space="preserve">, 1999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PMID":"10528673","author":[{"dropping-particle":"","family":"Nergizoglu","given":"Gokhan","non-dropping-particle":"","parse-names":false,"suffix":""},{"dropping-particle":"","family":"Keven","given":"Kenan","non-dropping-particle":"","parse-names":false,"suffix":""},{"dropping-particle":"","family":"Ates","given":"Kenan","non-dropping-particle":"","parse-names":false,"suffix":""},{"dropping-particle":"","family":"Ustun","given":"Celaletttin","non-dropping-particle":"","parse-names":false,"suffix":""},{"dropping-particle":"","family":"Tulunay","given":"Ozden","non-dropping-particle":"","parse-names":false,"suffix":""},{"dropping-particle":"","family":"Beksac","given":"Meral","non-dropping-particle":"","parse-names":false,"suffix":""},{"dropping-particle":"","family":"Karatan","given":"Oktay","non-dropping-particle":"","parse-names":false,"suffix":""},{"dropping-particle":"","family":"Ergun Ertug","given":"A.","non-dropping-particle":"","parse-names":false,"suffix":""}],"container-title":"Nephrology Dialysis Transplantation","id":"ITEM-1","issued":{"date-parts":[["1999"]]},"page":"2461-2463","title":"Chronic graft-versus-host disease complicated by membranous glomerulonephritis","type":"article-journal","volume":"14"},"uris":["http://www.mendeley.com/documents/?uuid=23f83c07-aa46-47a2-af13-a0aca93b34dc"]}],"mendeley":{"formattedCitation":"(16)","plainTextFormattedCitation":"(16)","previouslyFormattedCitation":"(16)"},"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(24)</w:t>
            </w:r>
            <w:r w:rsidRPr="0015063D">
              <w:rPr>
                <w:rFonts w:cs="Times New Roman"/>
                <w:b w:val="0"/>
                <w:bCs w:val="0"/>
                <w:sz w:val="20"/>
                <w:szCs w:val="20"/>
              </w:rPr>
              <w:fldChar w:fldCharType="end"/>
            </w:r>
          </w:p>
        </w:tc>
        <w:tc>
          <w:tcPr>
            <w:tcW w:w="1175" w:type="dxa"/>
          </w:tcPr>
          <w:p w14:paraId="4FEB1FC3"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(female)</w:t>
            </w:r>
          </w:p>
        </w:tc>
        <w:tc>
          <w:tcPr>
            <w:tcW w:w="1313" w:type="dxa"/>
          </w:tcPr>
          <w:p w14:paraId="0A2E6CE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21 </w:t>
            </w:r>
            <w:proofErr w:type="spellStart"/>
            <w:r>
              <w:rPr>
                <w:rFonts w:cs="Times New Roman"/>
                <w:sz w:val="20"/>
                <w:szCs w:val="20"/>
              </w:rPr>
              <w:t>mo</w:t>
            </w:r>
            <w:proofErr w:type="spellEnd"/>
          </w:p>
        </w:tc>
        <w:tc>
          <w:tcPr>
            <w:tcW w:w="1559" w:type="dxa"/>
          </w:tcPr>
          <w:p w14:paraId="3214E94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Bilateral ankle edema, diarrhea; proteinuria 9.9 g/d</w:t>
            </w:r>
          </w:p>
        </w:tc>
        <w:tc>
          <w:tcPr>
            <w:tcW w:w="818" w:type="dxa"/>
          </w:tcPr>
          <w:p w14:paraId="67454EC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68ED4020"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Pr>
          <w:p w14:paraId="70C1FF2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CS 8 mg/d, </w:t>
            </w:r>
            <w:proofErr w:type="spellStart"/>
            <w:r>
              <w:rPr>
                <w:rFonts w:cs="Times New Roman"/>
                <w:sz w:val="20"/>
                <w:szCs w:val="20"/>
              </w:rPr>
              <w:t>CsA</w:t>
            </w:r>
            <w:proofErr w:type="spellEnd"/>
            <w:r>
              <w:rPr>
                <w:rFonts w:cs="Times New Roman"/>
                <w:sz w:val="20"/>
                <w:szCs w:val="20"/>
              </w:rPr>
              <w:t xml:space="preserve"> 275 mg/d; PR</w:t>
            </w:r>
          </w:p>
        </w:tc>
      </w:tr>
      <w:tr w:rsidR="00CC1AC5" w14:paraId="16CB848D"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25930459" w14:textId="65A2DA73"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t>Numata</w:t>
            </w:r>
            <w:proofErr w:type="spellEnd"/>
            <w:r w:rsidRPr="009E5CC5">
              <w:rPr>
                <w:rFonts w:cs="Times New Roman"/>
                <w:sz w:val="20"/>
                <w:szCs w:val="20"/>
              </w:rPr>
              <w:t xml:space="preserve">, 2013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{"citationItems":[{"id":"ITEM-1","itemData":{"DOI":"10.6002/ect.2012.0078","ISSN":"13040855","PMID":"22809119","abstract":"We report membranous nephropathy in a 61-yearold man after allogeneic hematopoietic stem cell transplant without chronic graft-versus-host disease. A diagnosis of acute myeloid leukemia was made, and the patient received hematopoietic stem cell transplants, twice, from different donors. The first donor was his brother and the second donor was an unrelated man. Human leukocyte antigens between donors and recipient were fully matched. His clinical course was stable without acute or chronic graft-versus-host disease or relapse of acute myeloid leukemia with tacrolimus after the second hematopoietic stem cell transplant. Six months after the second hematopoietic stem cell transplant, tacrolimus was decreased gradually and discontinued because of tacrolimus-induced liver dysfunction. Three months after discontinuing the tacrolimus, the patient developed edema in his leg. The results of a blood analysis showed that plasma albumin level was 21 g/L and plasma total cholesterol level was 11.5 mmol/L, while results from a urinalysis showed proteinuria of 5.6 g/d without hematuria. No abnormalities in the skin, mucosal tissues, and other organs suggestive of chronic graft-versus-host disease were seen. A renal biopsy was done to investigate the cause, which revealed renal disease. Electron microscopic analysis showed dense deposits in the subepithelial region in all glomeruli. Immunofluorescence analysis showed the deposition of IgG4 and C3c in the subepithelial space of all glomeruli. Membranous nephropathy was diagnosed. He then was administered prednisolone at a dosage of 45 mg/d (0.7 mg/kg/d). After prednisolone treatment, urine protein and hypoalbuminemia were markedly improved, and his leg edema disappeared. These results suggest that this membranous nephropathy may have been de novo membranous nephropathy after hematopoietic stem cell transplant because it developed after hematopoietic stem cell transplants without chronic graft-versus-host disease. © Başkent University 2013 Printed in Turkey. All Rights Reserved.","author":[{"dropping-particle":"","family":"Numata","given":"Akihiko","non-dropping-particle":"","parse-names":false,"suffix":""},{"dropping-particle":"","family":"Morishita","given":"Yoshiyuki","non-dropping-particle":"","parse-names":false,"suffix":""},{"dropping-particle":"","family":"Mori","given":"Masaki","non-dropping-particle":"","parse-names":false,"suffix":""},{"dropping-particle":"","family":"Saito","given":"Osamu","non-dropping-particle":"","parse-names":false,"suffix":""},{"dropping-particle":"","family":"Takemoto","given":"Fumi","non-dropping-particle":"","parse-names":false,"suffix":""},{"dropping-particle":"","family":"Ando","given":"Yasuhiro","non-dropping-particle":"","parse-names":false,"suffix":""},{"dropping-particle":"","family":"Muto","given":"Shigeaki","non-dropping-particle":"","parse-names":false,"suffix":""},{"dropping-particle":"","family":"Yumura","given":"Wako","non-dropping-particle":"","parse-names":false,"suffix":""},{"dropping-particle":"","family":"Kusano","given":"Eiji","non-dropping-particle":"","parse-names":false,"suffix":""}],"container-title":"Experimental and Clinical Transplantation","id":"ITEM-1","issue":"1","issued":{"date-parts":[["2013"]]},"page":"75-78","title":"De novo postallogeneic hematopoietic stem cell transplant membranous nephropathy","type":"article-journal","volume":"11"},"uris":["http://www.mendeley.com/documents/?uuid=b2ec2536-fb87-4cc5-836f-867b02826000"]}],"mendeley":{"formattedCitation":"(17)","plainTextFormattedCitation":"(17)","previouslyFormattedCitation":"(17)"},"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(25)</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141A7F4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Borders>
              <w:top w:val="single" w:sz="4" w:space="0" w:color="7F7F7F" w:themeColor="text1" w:themeTint="80"/>
              <w:bottom w:val="single" w:sz="4" w:space="0" w:color="7F7F7F" w:themeColor="text1" w:themeTint="80"/>
            </w:tcBorders>
          </w:tcPr>
          <w:p w14:paraId="5792BD4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3 y 7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33746D3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Leg edema, proteinuria 5.6 g/d</w:t>
            </w:r>
          </w:p>
        </w:tc>
        <w:tc>
          <w:tcPr>
            <w:tcW w:w="818" w:type="dxa"/>
            <w:tcBorders>
              <w:top w:val="single" w:sz="4" w:space="0" w:color="7F7F7F" w:themeColor="text1" w:themeTint="80"/>
              <w:bottom w:val="single" w:sz="4" w:space="0" w:color="7F7F7F" w:themeColor="text1" w:themeTint="80"/>
            </w:tcBorders>
          </w:tcPr>
          <w:p w14:paraId="148EACB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40842113"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27F5ABC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PSL 45 mg/d; CR</w:t>
            </w:r>
          </w:p>
        </w:tc>
      </w:tr>
      <w:tr w:rsidR="00CC1AC5" w14:paraId="1F8C503F"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18A8E2DA" w14:textId="1B5B1A6D"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Pilar, 2013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{"citationItems":[{"id":"ITEM-1","itemData":{"DOI":"10.1111/ejh.12149","ISBN":"3492329136","ISSN":"16000609","PMID":"23710658","abstract":"Introduction: Allogenic hematopoietic stem cell transplant (allo-HSCT) is the treatment of choice for several hematological diseases. Although rare, patients could present nephrotic syndrome as a clinical feature of chronic graft-versus-host disease (cGVHD). The objective of our study is to screen patients with allo-HSCT to determine who developed a glomerular pathology in the context of cGVHD. Patients and methods: We studied patients who underwent allo-HSCT treatment in our center between October 1995 and October 2012 and who developed glomerular pathology. cGVHD was defined as a pathology when it appeared after 100 d post-allo-HSCT. Results: Five hundred eighty-three allo-HSCT were performed. The prevalence of cGVHD of the kidney was 1.03%. All patients with cGVHD of the kidney were hosts who received peripheral blood from an identical HLA match donor. GVHD prophylaxis with calcineurin inhibitors plus methotrexate was administered in five cases, and prophylaxis with sirolimus was used in another case. cGVHD of the kidney was seen to appear after the removal of the prophylaxis for GVHD, within 33 ± 11.54 months intervals after allo-HSCT in five patients and in another patient, it appeared despite immunosuppressive therapy being administered. All patients had proteinuria, within 11.82 ± 9.03 g/d ranges. The kidney biopsies revealed membranous glomerulonephritis (four patients), focal segmental glomerulonephritis (one patient) and lupus nephropathy class III (one patient). It seems, immunosuppressive therapy achieved complete remission, within the first year of treatment in four patients. Although in three of them, the proteinuria recurred when we tried to remove the therapy; two patients have recently started treatment, being in partial remission now. Conclusions: cGVHD of the kidney is a rare complication after allo-HSCT, related with the removal of the immunosuppression. Monitoring proteinuria in these patients may be useful. In our patients, a complete remission was achieved; although the removal of the immunosuppression may lead to the appearance of outbreaks. We must reconsider the treatment of glomerular pathology secondary to cGVHD. © 2013 John Wiley &amp; Sons A/S.","author":[{"dropping-particle":"","family":"Pilar","given":"Fraile","non-dropping-particle":"","parse-names":false,"suffix":""},{"dropping-particle":"","family":"Lourdes","given":"Vazquez","non-dropping-particle":"","parse-names":false,"suffix":""},{"dropping-particle":"","family":"Dolores","given":"Caballero","non-dropping-particle":"","parse-names":false,"suffix":""},{"dropping-particle":"","family":"Pedro","given":"Garcia Cosmes","non-dropping-particle":"","parse-names":false,"suffix":""},{"dropping-particle":"","family":"Lucia","given":"López","non-dropping-particle":"","parse-names":false,"suffix":""},{"dropping-particle":"","family":"Jesus","given":"San Miguel","non-dropping-particle":"","parse-names":false,"suffix":""},{"dropping-particle":"","family":"Jose Matias","given":"Tabernero","non-dropping-particle":"","parse-names":false,"suffix":""}],"container-title":"European Journal of Haematology","id":"ITEM-1","issue":"2","issued":{"date-parts":[["2013"]]},"page":"129-134","title":"Chronic graft-versus-host disease of the kidney in patients with allogenic hematopoietic stem cell transplant","type":"article-journal","volume":"91"},"uris":["http://www.mendeley.com/documents/?uuid=975068b8-d748-457a-aaa2-8600d4fb8c81"]}],"mendeley":{"formattedCitation":"(18)","plainTextFormattedCitation":"(18)","previouslyFormattedCitation":"(18)"},"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(26)</w:t>
            </w:r>
            <w:r w:rsidRPr="0015063D">
              <w:rPr>
                <w:rFonts w:cs="Times New Roman"/>
                <w:b w:val="0"/>
                <w:bCs w:val="0"/>
                <w:sz w:val="20"/>
                <w:szCs w:val="20"/>
              </w:rPr>
              <w:fldChar w:fldCharType="end"/>
            </w:r>
          </w:p>
        </w:tc>
        <w:tc>
          <w:tcPr>
            <w:tcW w:w="1175" w:type="dxa"/>
          </w:tcPr>
          <w:p w14:paraId="22137F91"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4 (2 male, 2 female)</w:t>
            </w:r>
          </w:p>
        </w:tc>
        <w:tc>
          <w:tcPr>
            <w:tcW w:w="1313" w:type="dxa"/>
          </w:tcPr>
          <w:p w14:paraId="6111A44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17 </w:t>
            </w:r>
            <w:proofErr w:type="spellStart"/>
            <w:r>
              <w:rPr>
                <w:rFonts w:cs="Times New Roman"/>
                <w:sz w:val="20"/>
                <w:szCs w:val="20"/>
              </w:rPr>
              <w:t>mo</w:t>
            </w:r>
            <w:proofErr w:type="spellEnd"/>
          </w:p>
          <w:p w14:paraId="7CD755D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26 </w:t>
            </w:r>
            <w:proofErr w:type="spellStart"/>
            <w:r>
              <w:rPr>
                <w:rFonts w:cs="Times New Roman"/>
                <w:sz w:val="20"/>
                <w:szCs w:val="20"/>
              </w:rPr>
              <w:t>mo</w:t>
            </w:r>
            <w:proofErr w:type="spellEnd"/>
          </w:p>
          <w:p w14:paraId="6C05C99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27 </w:t>
            </w:r>
            <w:proofErr w:type="spellStart"/>
            <w:r>
              <w:rPr>
                <w:rFonts w:cs="Times New Roman"/>
                <w:sz w:val="20"/>
                <w:szCs w:val="20"/>
              </w:rPr>
              <w:t>mo</w:t>
            </w:r>
            <w:proofErr w:type="spellEnd"/>
          </w:p>
          <w:p w14:paraId="35146D1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 45 </w:t>
            </w:r>
            <w:proofErr w:type="spellStart"/>
            <w:r>
              <w:rPr>
                <w:rFonts w:cs="Times New Roman"/>
                <w:sz w:val="20"/>
                <w:szCs w:val="20"/>
              </w:rPr>
              <w:t>mo</w:t>
            </w:r>
            <w:proofErr w:type="spellEnd"/>
          </w:p>
        </w:tc>
        <w:tc>
          <w:tcPr>
            <w:tcW w:w="1559" w:type="dxa"/>
          </w:tcPr>
          <w:p w14:paraId="6BA907B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r>
              <w:rPr>
                <w:rFonts w:cs="Times New Roman"/>
                <w:sz w:val="20"/>
                <w:szCs w:val="20"/>
              </w:rPr>
              <w:br/>
              <w:t>Pt1 – 12.3 g/d</w:t>
            </w:r>
          </w:p>
          <w:p w14:paraId="4E997F1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6.77 g/d</w:t>
            </w:r>
          </w:p>
          <w:p w14:paraId="71AEB67B"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14.2 g/d</w:t>
            </w:r>
          </w:p>
          <w:p w14:paraId="569B6DF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27 g/d</w:t>
            </w:r>
          </w:p>
        </w:tc>
        <w:tc>
          <w:tcPr>
            <w:tcW w:w="818" w:type="dxa"/>
          </w:tcPr>
          <w:p w14:paraId="23D587B3"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51C3AD00"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Pr>
          <w:p w14:paraId="5AD0C41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CS, </w:t>
            </w:r>
            <w:proofErr w:type="spellStart"/>
            <w:r>
              <w:rPr>
                <w:rFonts w:cs="Times New Roman"/>
                <w:sz w:val="20"/>
                <w:szCs w:val="20"/>
              </w:rPr>
              <w:t>CsA</w:t>
            </w:r>
            <w:proofErr w:type="spellEnd"/>
            <w:r>
              <w:rPr>
                <w:rFonts w:cs="Times New Roman"/>
                <w:sz w:val="20"/>
                <w:szCs w:val="20"/>
              </w:rPr>
              <w:t>; CR</w:t>
            </w:r>
          </w:p>
          <w:p w14:paraId="15FED609" w14:textId="00373D89"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CS,</w:t>
            </w:r>
            <w:r w:rsidR="00957A58">
              <w:rPr>
                <w:rFonts w:cs="Times New Roman"/>
                <w:sz w:val="20"/>
                <w:szCs w:val="20"/>
              </w:rPr>
              <w:t xml:space="preserve"> Tac</w:t>
            </w:r>
            <w:r>
              <w:rPr>
                <w:rFonts w:cs="Times New Roman"/>
                <w:sz w:val="20"/>
                <w:szCs w:val="20"/>
              </w:rPr>
              <w:t>; CR</w:t>
            </w:r>
          </w:p>
          <w:p w14:paraId="6C65D588" w14:textId="62405B7A"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CS, </w:t>
            </w:r>
            <w:r w:rsidR="00957A58">
              <w:rPr>
                <w:rFonts w:cs="Times New Roman"/>
                <w:sz w:val="20"/>
                <w:szCs w:val="20"/>
              </w:rPr>
              <w:t>Tac</w:t>
            </w:r>
            <w:r>
              <w:rPr>
                <w:rFonts w:cs="Times New Roman"/>
                <w:sz w:val="20"/>
                <w:szCs w:val="20"/>
              </w:rPr>
              <w:t>; PR</w:t>
            </w:r>
          </w:p>
          <w:p w14:paraId="19BDC070" w14:textId="5A0245B1"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 CS, </w:t>
            </w:r>
            <w:r w:rsidR="00957A58">
              <w:rPr>
                <w:rFonts w:cs="Times New Roman"/>
                <w:sz w:val="20"/>
                <w:szCs w:val="20"/>
              </w:rPr>
              <w:t>Tac</w:t>
            </w:r>
            <w:r>
              <w:rPr>
                <w:rFonts w:cs="Times New Roman"/>
                <w:sz w:val="20"/>
                <w:szCs w:val="20"/>
              </w:rPr>
              <w:t>; PR</w:t>
            </w:r>
          </w:p>
        </w:tc>
      </w:tr>
      <w:tr w:rsidR="00CC1AC5" w14:paraId="288ACAF2"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64EF4645" w14:textId="11117AB4"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Rao, 2005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{"citationItems":[{"id":"ITEM-1","itemData":{"DOI":"10.1053/j.ajkd.2005.01.003","ISSN":"02726386","PMID":"15806483","abstract":"Nephrotic syndrome occurs as a complication of CGVHD in the setting of PSCT. With increasing use of PSCT, an increasing incidence of this complication is likely. Nephrotic syndrome responds well to immunosuppression with prednisone and cyclosporine. Rituximab, a monoclonal anti-CD20 antibody, could be considered an important alternative for treatment. © 2005 by the National Kidney Foundation, Inc.","author":[{"dropping-particle":"","family":"Rao","given":"Panduranga S.","non-dropping-particle":"","parse-names":false,"suffix":""}],"container-title":"American Journal of Kidney Diseases","id":"ITEM-1","issue":"4","issued":{"date-parts":[["2005"]]},"page":"780-785","title":"Nephrotic syndrome in patients with peripheral blood stem cell transplant","type":"article-journal","volume":"45"},"uris":["http://www.mendeley.com/documents/?uuid=c1050303-e1bf-41e7-99f2-02e0ca7652f5"]}],"mendeley":{"formattedCitation":"(19)","plainTextFormattedCitation":"(19)"},"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(27)</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4A67A68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2 (both male)</w:t>
            </w:r>
          </w:p>
        </w:tc>
        <w:tc>
          <w:tcPr>
            <w:tcW w:w="1313" w:type="dxa"/>
            <w:tcBorders>
              <w:top w:val="single" w:sz="4" w:space="0" w:color="7F7F7F" w:themeColor="text1" w:themeTint="80"/>
              <w:bottom w:val="single" w:sz="4" w:space="0" w:color="7F7F7F" w:themeColor="text1" w:themeTint="80"/>
            </w:tcBorders>
          </w:tcPr>
          <w:p w14:paraId="056D2EC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12 </w:t>
            </w:r>
            <w:proofErr w:type="spellStart"/>
            <w:r>
              <w:rPr>
                <w:rFonts w:cs="Times New Roman"/>
                <w:sz w:val="20"/>
                <w:szCs w:val="20"/>
              </w:rPr>
              <w:t>mo</w:t>
            </w:r>
            <w:proofErr w:type="spellEnd"/>
          </w:p>
          <w:p w14:paraId="48A7C9E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14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67F88AD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pedal and facial edema</w:t>
            </w:r>
          </w:p>
          <w:p w14:paraId="44F231B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conjunctival dryness, diarrhea, </w:t>
            </w:r>
            <w:r>
              <w:rPr>
                <w:rFonts w:cs="Times New Roman"/>
                <w:sz w:val="20"/>
                <w:szCs w:val="20"/>
              </w:rPr>
              <w:lastRenderedPageBreak/>
              <w:t xml:space="preserve">progressively increasing </w:t>
            </w:r>
            <w:proofErr w:type="gramStart"/>
            <w:r>
              <w:rPr>
                <w:rFonts w:cs="Times New Roman"/>
                <w:sz w:val="20"/>
                <w:szCs w:val="20"/>
              </w:rPr>
              <w:t>edema</w:t>
            </w:r>
            <w:proofErr w:type="gramEnd"/>
          </w:p>
          <w:p w14:paraId="1A6B1A3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Proteinuria: </w:t>
            </w:r>
          </w:p>
          <w:p w14:paraId="19DA9CA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6 g/d</w:t>
            </w:r>
          </w:p>
          <w:p w14:paraId="72B8B49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13 g/d</w:t>
            </w:r>
          </w:p>
          <w:p w14:paraId="32F503B6" w14:textId="77777777" w:rsidR="00CC1AC5" w:rsidRDefault="00CC1AC5">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8" w:type="dxa"/>
            <w:tcBorders>
              <w:top w:val="single" w:sz="4" w:space="0" w:color="7F7F7F" w:themeColor="text1" w:themeTint="80"/>
              <w:bottom w:val="single" w:sz="4" w:space="0" w:color="7F7F7F" w:themeColor="text1" w:themeTint="80"/>
            </w:tcBorders>
          </w:tcPr>
          <w:p w14:paraId="7C9C2485"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lastRenderedPageBreak/>
              <w:t>ND</w:t>
            </w:r>
          </w:p>
        </w:tc>
        <w:tc>
          <w:tcPr>
            <w:tcW w:w="2442" w:type="dxa"/>
            <w:tcBorders>
              <w:top w:val="single" w:sz="4" w:space="0" w:color="7F7F7F" w:themeColor="text1" w:themeTint="80"/>
              <w:bottom w:val="single" w:sz="4" w:space="0" w:color="7F7F7F" w:themeColor="text1" w:themeTint="80"/>
            </w:tcBorders>
          </w:tcPr>
          <w:p w14:paraId="0D32067E"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532FD322" w14:textId="24386E85"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PS 1 mg/kg and </w:t>
            </w:r>
            <w:r w:rsidR="00957A58">
              <w:rPr>
                <w:rFonts w:cs="Times New Roman"/>
                <w:sz w:val="20"/>
                <w:szCs w:val="20"/>
              </w:rPr>
              <w:t xml:space="preserve">RTX </w:t>
            </w:r>
            <w:r>
              <w:rPr>
                <w:rFonts w:cs="Times New Roman"/>
                <w:sz w:val="20"/>
                <w:szCs w:val="20"/>
              </w:rPr>
              <w:t xml:space="preserve">375 mg/m2 weekly for 4 doses; additionally added diuretics and </w:t>
            </w:r>
            <w:proofErr w:type="spellStart"/>
            <w:r>
              <w:rPr>
                <w:rFonts w:cs="Times New Roman"/>
                <w:sz w:val="20"/>
                <w:szCs w:val="20"/>
              </w:rPr>
              <w:t>ACEi</w:t>
            </w:r>
            <w:proofErr w:type="spellEnd"/>
            <w:r>
              <w:rPr>
                <w:rFonts w:cs="Times New Roman"/>
                <w:sz w:val="20"/>
                <w:szCs w:val="20"/>
              </w:rPr>
              <w:t>; declined last 2 doses of rituximab; PS tapered to 10 mg/</w:t>
            </w:r>
            <w:proofErr w:type="spellStart"/>
            <w:r>
              <w:rPr>
                <w:rFonts w:cs="Times New Roman"/>
                <w:sz w:val="20"/>
                <w:szCs w:val="20"/>
              </w:rPr>
              <w:t>mo</w:t>
            </w:r>
            <w:proofErr w:type="spellEnd"/>
            <w:r>
              <w:rPr>
                <w:rFonts w:cs="Times New Roman"/>
                <w:sz w:val="20"/>
                <w:szCs w:val="20"/>
              </w:rPr>
              <w:t xml:space="preserve">; </w:t>
            </w:r>
            <w:proofErr w:type="gramStart"/>
            <w:r>
              <w:rPr>
                <w:rFonts w:cs="Times New Roman"/>
                <w:sz w:val="20"/>
                <w:szCs w:val="20"/>
              </w:rPr>
              <w:t>PR</w:t>
            </w:r>
            <w:proofErr w:type="gramEnd"/>
          </w:p>
          <w:p w14:paraId="6CC3A481" w14:textId="23F4A84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lastRenderedPageBreak/>
              <w:t xml:space="preserve">Pt2 – initial treatment with MMF and </w:t>
            </w:r>
            <w:proofErr w:type="spellStart"/>
            <w:r>
              <w:rPr>
                <w:rFonts w:cs="Times New Roman"/>
                <w:sz w:val="20"/>
                <w:szCs w:val="20"/>
              </w:rPr>
              <w:t>ACEi</w:t>
            </w:r>
            <w:proofErr w:type="spellEnd"/>
            <w:r>
              <w:rPr>
                <w:rFonts w:cs="Times New Roman"/>
                <w:sz w:val="20"/>
                <w:szCs w:val="20"/>
              </w:rPr>
              <w:t xml:space="preserve"> with no benefit; switched to </w:t>
            </w:r>
            <w:r w:rsidR="00957A58">
              <w:rPr>
                <w:rFonts w:cs="Times New Roman"/>
                <w:sz w:val="20"/>
                <w:szCs w:val="20"/>
              </w:rPr>
              <w:t xml:space="preserve">RTX </w:t>
            </w:r>
            <w:r>
              <w:rPr>
                <w:rFonts w:cs="Times New Roman"/>
                <w:sz w:val="20"/>
                <w:szCs w:val="20"/>
              </w:rPr>
              <w:t>375 mg/m2 weekly for 4 doses; CR</w:t>
            </w:r>
          </w:p>
        </w:tc>
      </w:tr>
      <w:tr w:rsidR="00CC1AC5" w14:paraId="2F6ECC13"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6F9876E9" w14:textId="2F382457" w:rsidR="00CC1AC5" w:rsidRPr="0015063D" w:rsidRDefault="00000000">
            <w:pPr>
              <w:spacing w:after="0" w:line="240" w:lineRule="auto"/>
              <w:ind w:right="-68"/>
              <w:jc w:val="center"/>
              <w:rPr>
                <w:rFonts w:cs="Times New Roman"/>
                <w:sz w:val="20"/>
                <w:szCs w:val="20"/>
              </w:rPr>
            </w:pPr>
            <w:proofErr w:type="spellStart"/>
            <w:r w:rsidRPr="009E5CC5">
              <w:rPr>
                <w:rFonts w:cs="Times New Roman"/>
                <w:sz w:val="20"/>
                <w:szCs w:val="20"/>
              </w:rPr>
              <w:lastRenderedPageBreak/>
              <w:t>Ratanatharathorn</w:t>
            </w:r>
            <w:proofErr w:type="spellEnd"/>
            <w:r w:rsidRPr="009E5CC5">
              <w:rPr>
                <w:rFonts w:cs="Times New Roman"/>
                <w:sz w:val="20"/>
                <w:szCs w:val="20"/>
              </w:rPr>
              <w:t xml:space="preserve">, 2003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{"citationItems":[{"id":"ITEM-1","itemData":{"DOI":"10.1016/S1083-8791(03)00216-7","ISSN":"10838791","PMID":"12931119","abstract":"We reviewed the clinical outcome of 8 patients with steroid-refractory chronic graft-versus-host disease (GVHD) who received an anti-CD20 chimeric monoclonal antibody (rituximab). Rituximab was given by intravenous infusion at a weekly dose of 375 mg/m2 for 4 weeks. All patients had received extensive treatment with various immunosuppressive agents; 6 patients had also received extracorporeal photopheresis. All patients had extensive chronic GVHD with diffuse or localized sclerodermoid GVHD and xerophthalmia. Other extracutaneous involvements included cold agglutinin disease with the Raynaud phenomenon, membranous glomerulonephritis, and restrictive or obstructive lung disease. Four patients responded to treatment with ongoing resolution or improvement ranging from 265 to 846 days after therapy, despite recovery of B cells in 3 patients. Rituximab seems to have significant activity in the treatment of refractory chronic GVHD and should be considered for further study in patients with early disease. This study suggests a participating role of B cells in the pathogenesis of chronic GVHD. © 2003 American Society for Blood and Marrow Transplantation.","author":[{"dropping-particle":"","family":"Ratanatharathorn","given":"Voravit","non-dropping-particle":"","parse-names":false,"suffix":""},{"dropping-particle":"","family":"Ayash","given":"Lois","non-dropping-particle":"","parse-names":false,"suffix":""},{"dropping-particle":"","family":"Reynolds","given":"Christopher","non-dropping-particle":"","parse-names":false,"suffix":""},{"dropping-particle":"","family":"Silver","given":"Samuel","non-dropping-particle":"","parse-names":false,"suffix":""},{"dropping-particle":"","family":"Reddy","given":"Pavan","non-dropping-particle":"","parse-names":false,"suffix":""},{"dropping-particle":"","family":"Becker","given":"Michael","non-dropping-particle":"","parse-names":false,"suffix":""},{"dropping-particle":"","family":"Ferrara","given":"James L.M.","non-dropping-particle":"","parse-names":false,"suffix":""},{"dropping-particle":"","family":"Uberti","given":"Joseph P.","non-dropping-particle":"","parse-names":false,"suffix":""}],"container-title":"Biology of Blood and Marrow Transplantation","id":"ITEM-1","issue":"8","issued":{"date-parts":[["2003"]]},"page":"505-511","title":"Treatment of chronic graft-versus-host disease with anti-CD20 chimeric monoclonal antibody","type":"article-journal","volume":"9"},"uris":["http://www.mendeley.com/documents/?uuid=97b9767d-9d89-4238-8a3e-07fd0f34f9a6"]}],"mendeley":{"formattedCitation":"(20)","plainTextFormattedCitation":"(20)","previouslyFormattedCitation":"(19)"},"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(28)</w:t>
            </w:r>
            <w:r w:rsidRPr="0015063D">
              <w:rPr>
                <w:rFonts w:cs="Times New Roman"/>
                <w:b w:val="0"/>
                <w:bCs w:val="0"/>
                <w:sz w:val="20"/>
                <w:szCs w:val="20"/>
              </w:rPr>
              <w:fldChar w:fldCharType="end"/>
            </w:r>
          </w:p>
        </w:tc>
        <w:tc>
          <w:tcPr>
            <w:tcW w:w="1175" w:type="dxa"/>
          </w:tcPr>
          <w:p w14:paraId="4716B00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Pr>
          <w:p w14:paraId="4C6C894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y</w:t>
            </w:r>
          </w:p>
        </w:tc>
        <w:tc>
          <w:tcPr>
            <w:tcW w:w="1559" w:type="dxa"/>
          </w:tcPr>
          <w:p w14:paraId="7ADC8A7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 20 g/d</w:t>
            </w:r>
            <w:r>
              <w:rPr>
                <w:rFonts w:cs="Times New Roman"/>
                <w:sz w:val="20"/>
                <w:szCs w:val="20"/>
              </w:rPr>
              <w:br/>
            </w:r>
          </w:p>
        </w:tc>
        <w:tc>
          <w:tcPr>
            <w:tcW w:w="818" w:type="dxa"/>
          </w:tcPr>
          <w:p w14:paraId="79B7FCB8"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22671FC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Pr>
          <w:p w14:paraId="693B9FD0" w14:textId="20E89A35"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Increased immunosuppression with </w:t>
            </w:r>
            <w:proofErr w:type="spellStart"/>
            <w:r>
              <w:rPr>
                <w:rFonts w:cs="Times New Roman"/>
                <w:sz w:val="20"/>
                <w:szCs w:val="20"/>
              </w:rPr>
              <w:t>mPSL</w:t>
            </w:r>
            <w:proofErr w:type="spellEnd"/>
            <w:r>
              <w:rPr>
                <w:rFonts w:cs="Times New Roman"/>
                <w:sz w:val="20"/>
                <w:szCs w:val="20"/>
              </w:rPr>
              <w:t xml:space="preserve"> </w:t>
            </w:r>
            <w:proofErr w:type="spellStart"/>
            <w:r>
              <w:rPr>
                <w:rFonts w:cs="Times New Roman"/>
                <w:sz w:val="20"/>
                <w:szCs w:val="20"/>
              </w:rPr>
              <w:t>with</w:t>
            </w:r>
            <w:r w:rsidR="00957A58">
              <w:rPr>
                <w:rFonts w:cs="Times New Roman"/>
                <w:sz w:val="20"/>
                <w:szCs w:val="20"/>
              </w:rPr>
              <w:t>Tac</w:t>
            </w:r>
            <w:proofErr w:type="spellEnd"/>
            <w:r>
              <w:rPr>
                <w:rFonts w:cs="Times New Roman"/>
                <w:sz w:val="20"/>
                <w:szCs w:val="20"/>
              </w:rPr>
              <w:t xml:space="preserve"> and MMF; NR after 3- and 5-months follow-up; added </w:t>
            </w:r>
            <w:r w:rsidR="00957A58">
              <w:rPr>
                <w:rFonts w:cs="Times New Roman"/>
                <w:sz w:val="20"/>
                <w:szCs w:val="20"/>
              </w:rPr>
              <w:t>RTX</w:t>
            </w:r>
            <w:r>
              <w:rPr>
                <w:rFonts w:cs="Times New Roman"/>
                <w:sz w:val="20"/>
                <w:szCs w:val="20"/>
              </w:rPr>
              <w:t>; PR</w:t>
            </w:r>
          </w:p>
        </w:tc>
      </w:tr>
      <w:tr w:rsidR="00CC1AC5" w14:paraId="288953C3"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4897C2C1" w14:textId="2ADA395E"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Reddy, 2006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{"citationItems":[{"id":"ITEM-1","itemData":{"DOI":"10.1038/sj.bmt.1705446","ISSN":"02683369","PMID":"16862167","abstract":"Chronic graft-versus-host disease (cGVHD) is the most common late complication of allogeneic hematopoietic cell transplantation (HCT) causing significant morbidity and mortality. The kidneys are not considered a target organ for cGVHD in humans, although animal models show renal damage. Renal involvement in patients with cGVHD, presenting as nephrotic syndrome (NS), has rarely been reported in patients who received allogeneic transplantation. Herein we describe, by far, the largest series of nine patients with NS associated with cGVHD, including two patients who received a reduced-intensity regimen. Pathological features of membranous nephropathy were the most common finding on renal biopsy. The clinical course of the NS was temporally associated with the classical features of cGVHD in all but one of the nine cases. The clinicopathologic features of NS in our series as well as reports in the literature demonstrate an immunopathologic process typical of antibody-mediated damage consistent with cGVHD. Treatment directed against antibody-mediated damage, such as anti-B-cell antibody may play an important role in ameliorating NS associated with cGVHD. © 2006 Nature Publishing Group.","author":[{"dropping-particle":"","family":"Reddy","given":"P.","non-dropping-particle":"","parse-names":false,"suffix":""},{"dropping-particle":"","family":"Johnson","given":"K.","non-dropping-particle":"","parse-names":false,"suffix":""},{"dropping-particle":"","family":"Uberti","given":"J. P.","non-dropping-particle":"","parse-names":false,"suffix":""},{"dropping-particle":"","family":"Reynolds","given":"C.","non-dropping-particle":"","parse-names":false,"suffix":""},{"dropping-particle":"","family":"Silver","given":"S.","non-dropping-particle":"","parse-names":false,"suffix":""},{"dropping-particle":"","family":"Ayash","given":"L.","non-dropping-particle":"","parse-names":false,"suffix":""},{"dropping-particle":"","family":"Braun","given":"T. M.","non-dropping-particle":"","parse-names":false,"suffix":""},{"dropping-particle":"","family":"Ratanatharathorn","given":"V.","non-dropping-particle":"","parse-names":false,"suffix":""}],"container-title":"Bone Marrow Transplantation","id":"ITEM-1","issue":"5","issued":{"date-parts":[["2006"]]},"page":"351-357","title":"Nephrotic syndrome associated with chronic graft-versus-host disease after allogeneic hematopoietic stem cell transplantation","type":"article-journal","volume":"38"},"uris":["http://www.mendeley.com/documents/?uuid=379431d9-54f1-4acb-aa91-03f9d6901263"]}],"mendeley":{"formattedCitation":"(21)","plainTextFormattedCitation":"(21)","previouslyFormattedCitation":"(20)"},"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(29)</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0117356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5 (4 male, 1 female)</w:t>
            </w:r>
          </w:p>
        </w:tc>
        <w:tc>
          <w:tcPr>
            <w:tcW w:w="1313" w:type="dxa"/>
            <w:tcBorders>
              <w:top w:val="single" w:sz="4" w:space="0" w:color="7F7F7F" w:themeColor="text1" w:themeTint="80"/>
              <w:bottom w:val="single" w:sz="4" w:space="0" w:color="7F7F7F" w:themeColor="text1" w:themeTint="80"/>
            </w:tcBorders>
          </w:tcPr>
          <w:p w14:paraId="7267F78B"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1278 d</w:t>
            </w:r>
            <w:r>
              <w:rPr>
                <w:rFonts w:cs="Times New Roman"/>
                <w:sz w:val="20"/>
                <w:szCs w:val="20"/>
              </w:rPr>
              <w:br/>
              <w:t>Pt2 – 487 d</w:t>
            </w:r>
            <w:r>
              <w:rPr>
                <w:rFonts w:cs="Times New Roman"/>
                <w:sz w:val="20"/>
                <w:szCs w:val="20"/>
              </w:rPr>
              <w:br/>
              <w:t>Pt3 – 738 d</w:t>
            </w:r>
            <w:r>
              <w:rPr>
                <w:rFonts w:cs="Times New Roman"/>
                <w:sz w:val="20"/>
                <w:szCs w:val="20"/>
              </w:rPr>
              <w:br/>
              <w:t>Pt4 – 400 d</w:t>
            </w:r>
          </w:p>
          <w:p w14:paraId="199094D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 385 d</w:t>
            </w:r>
          </w:p>
        </w:tc>
        <w:tc>
          <w:tcPr>
            <w:tcW w:w="1559" w:type="dxa"/>
            <w:tcBorders>
              <w:top w:val="single" w:sz="4" w:space="0" w:color="7F7F7F" w:themeColor="text1" w:themeTint="80"/>
              <w:bottom w:val="single" w:sz="4" w:space="0" w:color="7F7F7F" w:themeColor="text1" w:themeTint="80"/>
            </w:tcBorders>
          </w:tcPr>
          <w:p w14:paraId="5AABFA5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12AEBDF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18 g/d</w:t>
            </w:r>
          </w:p>
          <w:p w14:paraId="54BA334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5.7 g/d</w:t>
            </w:r>
            <w:r>
              <w:rPr>
                <w:rFonts w:cs="Times New Roman"/>
                <w:sz w:val="20"/>
                <w:szCs w:val="20"/>
              </w:rPr>
              <w:br/>
              <w:t>Pt3 – 9.1 g/d</w:t>
            </w:r>
          </w:p>
          <w:p w14:paraId="064CF08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22 g/d</w:t>
            </w:r>
          </w:p>
          <w:p w14:paraId="50B4091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 8 g/d</w:t>
            </w:r>
          </w:p>
        </w:tc>
        <w:tc>
          <w:tcPr>
            <w:tcW w:w="818" w:type="dxa"/>
            <w:tcBorders>
              <w:top w:val="single" w:sz="4" w:space="0" w:color="7F7F7F" w:themeColor="text1" w:themeTint="80"/>
              <w:bottom w:val="single" w:sz="4" w:space="0" w:color="7F7F7F" w:themeColor="text1" w:themeTint="80"/>
            </w:tcBorders>
          </w:tcPr>
          <w:p w14:paraId="25CD8AFA"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59596792"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55E7223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w:t>
            </w:r>
            <w:proofErr w:type="spellStart"/>
            <w:r>
              <w:rPr>
                <w:rFonts w:cs="Times New Roman"/>
                <w:sz w:val="20"/>
                <w:szCs w:val="20"/>
              </w:rPr>
              <w:t>mPSL</w:t>
            </w:r>
            <w:proofErr w:type="spellEnd"/>
            <w:r>
              <w:rPr>
                <w:rFonts w:cs="Times New Roman"/>
                <w:sz w:val="20"/>
                <w:szCs w:val="20"/>
              </w:rPr>
              <w:t xml:space="preserve"> + MMF; CR</w:t>
            </w:r>
          </w:p>
          <w:p w14:paraId="1F1820C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w:t>
            </w:r>
            <w:proofErr w:type="spellStart"/>
            <w:r>
              <w:rPr>
                <w:rFonts w:cs="Times New Roman"/>
                <w:sz w:val="20"/>
                <w:szCs w:val="20"/>
              </w:rPr>
              <w:t>mPSL</w:t>
            </w:r>
            <w:proofErr w:type="spellEnd"/>
            <w:r>
              <w:rPr>
                <w:rFonts w:cs="Times New Roman"/>
                <w:sz w:val="20"/>
                <w:szCs w:val="20"/>
              </w:rPr>
              <w:t xml:space="preserve"> + MMF; CR</w:t>
            </w:r>
          </w:p>
          <w:p w14:paraId="7BAD22E3" w14:textId="10D78B11"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w:t>
            </w:r>
            <w:proofErr w:type="spellStart"/>
            <w:r>
              <w:rPr>
                <w:rFonts w:cs="Times New Roman"/>
                <w:sz w:val="20"/>
                <w:szCs w:val="20"/>
              </w:rPr>
              <w:t>CsA</w:t>
            </w:r>
            <w:proofErr w:type="spellEnd"/>
            <w:r>
              <w:rPr>
                <w:rFonts w:cs="Times New Roman"/>
                <w:sz w:val="20"/>
                <w:szCs w:val="20"/>
              </w:rPr>
              <w:t xml:space="preserve">, </w:t>
            </w:r>
            <w:proofErr w:type="spellStart"/>
            <w:r>
              <w:rPr>
                <w:rFonts w:cs="Times New Roman"/>
                <w:sz w:val="20"/>
                <w:szCs w:val="20"/>
              </w:rPr>
              <w:t>mPSL</w:t>
            </w:r>
            <w:proofErr w:type="spellEnd"/>
            <w:r>
              <w:rPr>
                <w:rFonts w:cs="Times New Roman"/>
                <w:sz w:val="20"/>
                <w:szCs w:val="20"/>
              </w:rPr>
              <w:t>, MMF, CP; CR</w:t>
            </w:r>
          </w:p>
          <w:p w14:paraId="3C20670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 </w:t>
            </w:r>
            <w:proofErr w:type="spellStart"/>
            <w:r>
              <w:rPr>
                <w:rFonts w:cs="Times New Roman"/>
                <w:sz w:val="20"/>
                <w:szCs w:val="20"/>
              </w:rPr>
              <w:t>mPSL</w:t>
            </w:r>
            <w:proofErr w:type="spellEnd"/>
            <w:r>
              <w:rPr>
                <w:rFonts w:cs="Times New Roman"/>
                <w:sz w:val="20"/>
                <w:szCs w:val="20"/>
              </w:rPr>
              <w:t>, MMF, sirolimus; PR</w:t>
            </w:r>
          </w:p>
          <w:p w14:paraId="421E8962" w14:textId="1670B740"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Pt5 – </w:t>
            </w:r>
            <w:proofErr w:type="spellStart"/>
            <w:r>
              <w:rPr>
                <w:rFonts w:cs="Times New Roman"/>
                <w:sz w:val="20"/>
                <w:szCs w:val="20"/>
              </w:rPr>
              <w:t>mPSL</w:t>
            </w:r>
            <w:proofErr w:type="spellEnd"/>
            <w:r w:rsidR="00957A58">
              <w:rPr>
                <w:rFonts w:cs="Times New Roman"/>
                <w:sz w:val="20"/>
                <w:szCs w:val="20"/>
              </w:rPr>
              <w:t xml:space="preserve"> RTX</w:t>
            </w:r>
            <w:r>
              <w:rPr>
                <w:rFonts w:cs="Times New Roman"/>
                <w:sz w:val="20"/>
                <w:szCs w:val="20"/>
              </w:rPr>
              <w:t>; CR</w:t>
            </w:r>
          </w:p>
        </w:tc>
      </w:tr>
      <w:tr w:rsidR="00CC1AC5" w14:paraId="2A7A9327"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375F2D8B" w14:textId="428BC259"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Roy, 2023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{"citationItems":[{"id":"ITEM-1","itemData":{"DOI":"10.1016/j.xkme.2023.100674","ISSN":"25900595","abstract":"Rationale and Objective: The incidence of kidney disease is high in patients after allogeneic hematopoietic cell transplantation (aHCT). Although rarely performed, kidney biopsy may be useful to make a precise diagnosis because several mechanisms and risk factors can be involved, and to adjust the treatment accordingly. This case series aimed to report the spectrum of biopsy findings from patients with kidney injury after aHCT. Study Design: Single-center retrospective case series. Setting and Participants: All individuals who underwent a native kidney biopsy, among all adult patients who received aHCT in a tertiary hospital in Montreal (Canada) from January 1, 2010, to December 31, 2020, were identified, and the clinical data were extracted from their medical records. Results: A total of 17 patients were included. Indications for biopsy included acute kidney injury (n=6), chronic kidney disease (n=5), nephrotic syndrome (n=4), and subnephrotic proteinuria (n=2). Pathologic findings from the kidney biopsy were heterogenous: 10 patients showed evidence of thrombotic microangiopathy (TMA), 5 of acute tubular injury, and 4 of membranous nephropathy. Cases of acute interstitial nephritis, BK virus nephropathy, immune complex nephropathy, focal and segmental glomerulosclerosis, minimal change disease, and karyomegalic-like interstitial nephritis were also described. Limitations: There was no systematic kidney biopsy performed for all patients with kidney injury after aHCT. Only a small proportion of patients with kidney damage underwent biopsy, making the results less generalizable. Conclusions: Kidney biopsy is useful in patients with kidney disease after aHCT to make a precise diagnosis and tailor therapy accordingly. This series is one of the few published studies describing pathologic findings of biopsies performed after aHCT in the context of acute kidney injury and chronic kidney disease. TMA was widely present on biopsy even when there was no clinical suspicion of such a diagnosis, suggesting that the current clinical criteria for a diagnosis of TMA are not sensitive enough for kidney-limited TMA.","author":[{"dropping-particle":"","family":"Roy","given":"Guillaume","non-dropping-particle":"","parse-names":false,"suffix":""},{"dropping-particle":"","family":"Iordachescu","given":"Ilinca","non-dropping-particle":"","parse-names":false,"suffix":""},{"dropping-particle":"","family":"Royal","given":"Virginie","non-dropping-particle":"","parse-names":false,"suffix":""},{"dropping-particle":"","family":"Lamarche","given":"Caroline","non-dropping-particle":"","parse-names":false,"suffix":""},{"dropping-particle":"","family":"Ahmad","given":"Imran","non-dropping-particle":"","parse-names":false,"suffix":""},{"dropping-particle":"","family":"Nadeau-Fredette","given":"Annie Claire","non-dropping-particle":"","parse-names":false,"suffix":""},{"dropping-particle":"","family":"Laurin","given":"Louis Philippe","non-dropping-particle":"","parse-names":false,"suffix":""}],"container-title":"Kidney Medicine","id":"ITEM-1","issue":"7","issued":{"date-parts":[["2023"]]},"page":"100674","publisher":"The Authors","title":"Kidney Biopsy Findings Among Allogenic Hematopoietic Stem Cell Transplant Recipients With Kidney Injury: A Case Series","type":"article-journal","volume":"5"},"uris":["http://www.mendeley.com/documents/?uuid=6ced3d1b-fedb-47fe-a811-853121dd37da"]}],"mendeley":{"formattedCitation":"(22)","plainTextFormattedCitation":"(22)","previouslyFormattedCitation":"(21)"},"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(30)</w:t>
            </w:r>
            <w:r w:rsidRPr="0015063D">
              <w:rPr>
                <w:rFonts w:cs="Times New Roman"/>
                <w:b w:val="0"/>
                <w:bCs w:val="0"/>
                <w:sz w:val="20"/>
                <w:szCs w:val="20"/>
              </w:rPr>
              <w:fldChar w:fldCharType="end"/>
            </w:r>
          </w:p>
        </w:tc>
        <w:tc>
          <w:tcPr>
            <w:tcW w:w="1175" w:type="dxa"/>
          </w:tcPr>
          <w:p w14:paraId="5962EED5"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4 (3 male, 1 female)</w:t>
            </w:r>
          </w:p>
        </w:tc>
        <w:tc>
          <w:tcPr>
            <w:tcW w:w="1313" w:type="dxa"/>
          </w:tcPr>
          <w:p w14:paraId="43714A3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24 </w:t>
            </w:r>
            <w:proofErr w:type="spellStart"/>
            <w:r>
              <w:rPr>
                <w:rFonts w:cs="Times New Roman"/>
                <w:sz w:val="20"/>
                <w:szCs w:val="20"/>
              </w:rPr>
              <w:t>mo</w:t>
            </w:r>
            <w:proofErr w:type="spellEnd"/>
            <w:r>
              <w:rPr>
                <w:rFonts w:cs="Times New Roman"/>
                <w:sz w:val="20"/>
                <w:szCs w:val="20"/>
              </w:rPr>
              <w:br/>
              <w:t xml:space="preserve">Pt2 – 18 </w:t>
            </w:r>
            <w:proofErr w:type="spellStart"/>
            <w:r>
              <w:rPr>
                <w:rFonts w:cs="Times New Roman"/>
                <w:sz w:val="20"/>
                <w:szCs w:val="20"/>
              </w:rPr>
              <w:t>mo</w:t>
            </w:r>
            <w:proofErr w:type="spellEnd"/>
          </w:p>
          <w:p w14:paraId="6C388B2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25 </w:t>
            </w:r>
            <w:proofErr w:type="spellStart"/>
            <w:r>
              <w:rPr>
                <w:rFonts w:cs="Times New Roman"/>
                <w:sz w:val="20"/>
                <w:szCs w:val="20"/>
              </w:rPr>
              <w:t>mo</w:t>
            </w:r>
            <w:proofErr w:type="spellEnd"/>
            <w:r>
              <w:rPr>
                <w:rFonts w:cs="Times New Roman"/>
                <w:sz w:val="20"/>
                <w:szCs w:val="20"/>
              </w:rPr>
              <w:br/>
              <w:t xml:space="preserve">Pt4 – 15 </w:t>
            </w:r>
            <w:proofErr w:type="spellStart"/>
            <w:r>
              <w:rPr>
                <w:rFonts w:cs="Times New Roman"/>
                <w:sz w:val="20"/>
                <w:szCs w:val="20"/>
              </w:rPr>
              <w:t>mo</w:t>
            </w:r>
            <w:proofErr w:type="spellEnd"/>
          </w:p>
        </w:tc>
        <w:tc>
          <w:tcPr>
            <w:tcW w:w="1559" w:type="dxa"/>
          </w:tcPr>
          <w:p w14:paraId="503F1DF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206DCC5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30.77 g/d</w:t>
            </w:r>
          </w:p>
          <w:p w14:paraId="2F44511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3.85 g/d</w:t>
            </w:r>
          </w:p>
          <w:p w14:paraId="6AE7970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6.82 g/d</w:t>
            </w:r>
          </w:p>
          <w:p w14:paraId="5199BFC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3.14 g/d</w:t>
            </w:r>
          </w:p>
        </w:tc>
        <w:tc>
          <w:tcPr>
            <w:tcW w:w="818" w:type="dxa"/>
          </w:tcPr>
          <w:p w14:paraId="1260412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11AFCCD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PLA2R negative; Ab negative in pts 1 and 4</w:t>
            </w:r>
          </w:p>
        </w:tc>
        <w:tc>
          <w:tcPr>
            <w:tcW w:w="3828" w:type="dxa"/>
          </w:tcPr>
          <w:p w14:paraId="2052D20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treatment unknown</w:t>
            </w:r>
          </w:p>
          <w:p w14:paraId="2450935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repeated CS therapy due to two relapses; CR</w:t>
            </w:r>
          </w:p>
          <w:p w14:paraId="4232266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treatment unknown</w:t>
            </w:r>
          </w:p>
          <w:p w14:paraId="18F94D63" w14:textId="7D32DD79"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 MMF + </w:t>
            </w:r>
            <w:r w:rsidR="00957A58">
              <w:rPr>
                <w:rFonts w:cs="Times New Roman"/>
                <w:sz w:val="20"/>
                <w:szCs w:val="20"/>
              </w:rPr>
              <w:t>RTX</w:t>
            </w:r>
            <w:r>
              <w:rPr>
                <w:rFonts w:cs="Times New Roman"/>
                <w:sz w:val="20"/>
                <w:szCs w:val="20"/>
              </w:rPr>
              <w:t>; PR</w:t>
            </w:r>
          </w:p>
          <w:p w14:paraId="2F1A995F" w14:textId="77777777" w:rsidR="00CC1AC5" w:rsidRDefault="00CC1AC5">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CC1AC5" w14:paraId="60D88767"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3B6BF724" w14:textId="0480B694"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t>Saddadi</w:t>
            </w:r>
            <w:proofErr w:type="spellEnd"/>
            <w:r w:rsidRPr="009E5CC5">
              <w:rPr>
                <w:rFonts w:cs="Times New Roman"/>
                <w:sz w:val="20"/>
                <w:szCs w:val="20"/>
              </w:rPr>
              <w:t xml:space="preserve">, 2017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{"citationItems":[{"id":"ITEM-1","itemData":{"DOI":"10.6002/ect.mesot2016.O70","ISSN":"13040855","PMID":"28260442","abstract":"Objectives: Patients undergoing hematopoietic stem cell transplant have an elevated incidence of acute renal failure. However, the incidence of nephrotic syndrome due to graft-versus-host disease is growing and is independently associated with chronic renal disease after this procedure. Materials and Methods: We conducted a prospective study to examine the risk of chronic kidney disease in glomerulopathy patients following hematopoietic stem cell transplant with a follow-up of 10 years. Results: In our follow-up of 14 patients (4 men and 10 women) who were diagnosed with nephrotic syndrome after hematopoietic stem cell transplant, in 10 patients (71%), biopsy showed membranous nephropathy associated with graft-versus-host disease. The remaining 4 patients had focal segmental glomerulosclerosis, membranoproliferative glomerulonephritis, or minimal change disease. All patients were treated with angiotensin receptor blockers, cyclosporine (Neoral), and prednisolone. During follow-up, 6 patients (43%) had heavy proteinuria and a rise in serum creatinine, and 1 patient (7%) needed hemodialysis. Eleven patients (79%) achieved complete remission of nephrotic syndrome, 5 (36%) remained hypertensive, and 3 (21%) did not respond to therapy. Conclusions: The early diagnosis of nephrotic syndrome should be considered after hematopoietic stem cell transplant, and therapeutic outcome measures should be in place in advance. If this is done, we found that patients’ response to treatment can be optimal, and their renal function and overall survival can improve.","author":[{"dropping-particle":"","family":"Saddadi","given":"Fereshteh","non-dropping-particle":"","parse-names":false,"suffix":""},{"dropping-particle":"","family":"Alidadi","given":"Ali","non-dropping-particle":"","parse-names":false,"suffix":""},{"dropping-particle":"","family":"Hakemi","given":"Monir","non-dropping-particle":"","parse-names":false,"suffix":""},{"dropping-particle":"","family":"Bahar","given":"Babak","non-dropping-particle":"","parse-names":false,"suffix":""}],"container-title":"Experimental and Clinical Transplantation","id":"ITEM-1","issued":{"date-parts":[["2017"]]},"page":"90-92","title":"Nephrotic syndrome after hematopoietic stem cell transplant: Outcomes in Iran","type":"article-journal","volume":"15"},"uris":["http://www.mendeley.com/documents/?uuid=342c2525-e226-4642-ab0a-c44bc4994055"]}],"mendeley":{"formattedCitation":"(23)","plainTextFormattedCitation":"(23)","previouslyFormattedCitation":"(22)"},"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(31)</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37F4EDDB"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10 patients (sex unknown)</w:t>
            </w:r>
          </w:p>
        </w:tc>
        <w:tc>
          <w:tcPr>
            <w:tcW w:w="1313" w:type="dxa"/>
            <w:tcBorders>
              <w:top w:val="single" w:sz="4" w:space="0" w:color="7F7F7F" w:themeColor="text1" w:themeTint="80"/>
              <w:bottom w:val="single" w:sz="4" w:space="0" w:color="7F7F7F" w:themeColor="text1" w:themeTint="80"/>
            </w:tcBorders>
          </w:tcPr>
          <w:p w14:paraId="4A55B2D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Unknown</w:t>
            </w:r>
          </w:p>
        </w:tc>
        <w:tc>
          <w:tcPr>
            <w:tcW w:w="1559" w:type="dxa"/>
            <w:tcBorders>
              <w:top w:val="single" w:sz="4" w:space="0" w:color="7F7F7F" w:themeColor="text1" w:themeTint="80"/>
              <w:bottom w:val="single" w:sz="4" w:space="0" w:color="7F7F7F" w:themeColor="text1" w:themeTint="80"/>
            </w:tcBorders>
          </w:tcPr>
          <w:p w14:paraId="54BBACF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Unknown</w:t>
            </w:r>
          </w:p>
        </w:tc>
        <w:tc>
          <w:tcPr>
            <w:tcW w:w="818" w:type="dxa"/>
            <w:tcBorders>
              <w:top w:val="single" w:sz="4" w:space="0" w:color="7F7F7F" w:themeColor="text1" w:themeTint="80"/>
              <w:bottom w:val="single" w:sz="4" w:space="0" w:color="7F7F7F" w:themeColor="text1" w:themeTint="80"/>
            </w:tcBorders>
          </w:tcPr>
          <w:p w14:paraId="3EE8448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Unknown</w:t>
            </w:r>
          </w:p>
        </w:tc>
        <w:tc>
          <w:tcPr>
            <w:tcW w:w="2442" w:type="dxa"/>
            <w:tcBorders>
              <w:top w:val="single" w:sz="4" w:space="0" w:color="7F7F7F" w:themeColor="text1" w:themeTint="80"/>
              <w:bottom w:val="single" w:sz="4" w:space="0" w:color="7F7F7F" w:themeColor="text1" w:themeTint="80"/>
            </w:tcBorders>
          </w:tcPr>
          <w:p w14:paraId="6F9A722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Unknown</w:t>
            </w:r>
          </w:p>
        </w:tc>
        <w:tc>
          <w:tcPr>
            <w:tcW w:w="3828" w:type="dxa"/>
            <w:tcBorders>
              <w:top w:val="single" w:sz="4" w:space="0" w:color="7F7F7F" w:themeColor="text1" w:themeTint="80"/>
              <w:bottom w:val="single" w:sz="4" w:space="0" w:color="7F7F7F" w:themeColor="text1" w:themeTint="80"/>
            </w:tcBorders>
          </w:tcPr>
          <w:p w14:paraId="1319D3A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ARB, </w:t>
            </w:r>
            <w:proofErr w:type="spellStart"/>
            <w:r>
              <w:rPr>
                <w:rFonts w:cs="Times New Roman"/>
                <w:sz w:val="20"/>
                <w:szCs w:val="20"/>
              </w:rPr>
              <w:t>CsA</w:t>
            </w:r>
            <w:proofErr w:type="spellEnd"/>
            <w:r>
              <w:rPr>
                <w:rFonts w:cs="Times New Roman"/>
                <w:sz w:val="20"/>
                <w:szCs w:val="20"/>
              </w:rPr>
              <w:t>, PSL; specific outcomes unknown</w:t>
            </w:r>
          </w:p>
        </w:tc>
      </w:tr>
      <w:tr w:rsidR="00CC1AC5" w14:paraId="4A8F0D17"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6DCF51EF" w14:textId="0054FF84"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Sakai, 2023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{"citationItems":[{"id":"ITEM-1","itemData":{"DOI":"10.2169/internalmedicine.9655-22","ISSN":"13497235","PMID":"35732451","abstract":"A 67-year-old woman who had undergone bone marrow transplantation 2 years previously for acute myeloid leukemia (AML) developed complications of chronic graft-versus-host disease (cGVHD). She thereafter also developed nephrotic syndrome, and membranous nephropathy (MN) was diagnosed by a renal biopsy. Although the causative antigens of the MN were not detected, immunofluorescence staining showed codominant deposition of immunoglobulins G2 and G3, a finding indicating secondary MN, thereby suggesting an association between MN and cGVHD. Rituximab treatment was initiated, and her nephrotic syndrome gradually improved without relapse of AML. Our present case suggests that rituximab is a safe and effective therapeutic option for cGVHD-associated MN.","author":[{"dropping-particle":"","family":"Sakai","given":"Takashi","non-dropping-particle":"","parse-names":false,"suffix":""},{"dropping-particle":"","family":"Uchida","given":"Takahiro","non-dropping-particle":"","parse-names":false,"suffix":""},{"dropping-particle":"","family":"Iwama","given":"Sachiko","non-dropping-particle":"","parse-names":false,"suffix":""},{"dropping-particle":"","family":"Sugisaki","given":"Kentaro","non-dropping-particle":"","parse-names":false,"suffix":""},{"dropping-particle":"","family":"Yamada","given":"Muneharu","non-dropping-particle":"","parse-names":false,"suffix":""},{"dropping-particle":"","family":"Inamoto","given":"Yoshihiro","non-dropping-particle":"","parse-names":false,"suffix":""},{"dropping-particle":"","family":"Oda","given":"Takashi","non-dropping-particle":"","parse-names":false,"suffix":""}],"container-title":"Internal Medicine","id":"ITEM-1","issue":"2","issued":{"date-parts":[["2023"]]},"page":"269-273","title":"Chronic Graft-versus-host Disease-associated Membranous Nephropathy Following Bone Marrow Transplantation, Successfully Treated with Rituximab","type":"article-journal","volume":"62"},"uris":["http://www.mendeley.com/documents/?uuid=586fb306-7877-44dc-b22b-b7a74fb3fca5"]}],"mendeley":{"formattedCitation":"(24)","plainTextFormattedCitation":"(24)","previouslyFormattedCitation":"(23)"},"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(32)</w:t>
            </w:r>
            <w:r w:rsidRPr="0015063D">
              <w:rPr>
                <w:rFonts w:cs="Times New Roman"/>
                <w:b w:val="0"/>
                <w:bCs w:val="0"/>
                <w:sz w:val="20"/>
                <w:szCs w:val="20"/>
              </w:rPr>
              <w:fldChar w:fldCharType="end"/>
            </w:r>
          </w:p>
        </w:tc>
        <w:tc>
          <w:tcPr>
            <w:tcW w:w="1175" w:type="dxa"/>
          </w:tcPr>
          <w:p w14:paraId="45871DA8"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(female)</w:t>
            </w:r>
          </w:p>
        </w:tc>
        <w:tc>
          <w:tcPr>
            <w:tcW w:w="1313" w:type="dxa"/>
          </w:tcPr>
          <w:p w14:paraId="6B899C2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2 y</w:t>
            </w:r>
          </w:p>
        </w:tc>
        <w:tc>
          <w:tcPr>
            <w:tcW w:w="1559" w:type="dxa"/>
          </w:tcPr>
          <w:p w14:paraId="19389A7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Legs edema, proteinuria 6.65 g/d</w:t>
            </w:r>
          </w:p>
        </w:tc>
        <w:tc>
          <w:tcPr>
            <w:tcW w:w="818" w:type="dxa"/>
          </w:tcPr>
          <w:p w14:paraId="2B8AFC2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0DF963F4"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Ab – </w:t>
            </w:r>
            <w:proofErr w:type="gramStart"/>
            <w:r>
              <w:rPr>
                <w:rFonts w:cs="Times New Roman"/>
                <w:sz w:val="20"/>
                <w:szCs w:val="20"/>
              </w:rPr>
              <w:t>negative;</w:t>
            </w:r>
            <w:proofErr w:type="gramEnd"/>
          </w:p>
          <w:p w14:paraId="337C490E"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IF negative</w:t>
            </w:r>
          </w:p>
        </w:tc>
        <w:tc>
          <w:tcPr>
            <w:tcW w:w="3828" w:type="dxa"/>
          </w:tcPr>
          <w:p w14:paraId="420B6784" w14:textId="2367793F"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PS 5 mg/d, </w:t>
            </w:r>
            <w:r w:rsidR="00957A58">
              <w:rPr>
                <w:rFonts w:cs="Times New Roman"/>
                <w:sz w:val="20"/>
                <w:szCs w:val="20"/>
              </w:rPr>
              <w:t xml:space="preserve">RTX </w:t>
            </w:r>
            <w:r>
              <w:rPr>
                <w:rFonts w:cs="Times New Roman"/>
                <w:sz w:val="20"/>
                <w:szCs w:val="20"/>
              </w:rPr>
              <w:t>375 mg/m</w:t>
            </w:r>
            <w:r>
              <w:rPr>
                <w:rFonts w:cs="Times New Roman"/>
                <w:sz w:val="20"/>
                <w:szCs w:val="20"/>
                <w:vertAlign w:val="superscript"/>
              </w:rPr>
              <w:t>2</w:t>
            </w:r>
            <w:r>
              <w:rPr>
                <w:rFonts w:cs="Times New Roman"/>
                <w:sz w:val="20"/>
                <w:szCs w:val="20"/>
              </w:rPr>
              <w:t xml:space="preserve"> twice; PR</w:t>
            </w:r>
          </w:p>
        </w:tc>
      </w:tr>
      <w:tr w:rsidR="00CC1AC5" w14:paraId="27BA9498"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6CF618E6" w14:textId="77777777" w:rsidR="00CC1AC5" w:rsidRPr="0015063D" w:rsidRDefault="00000000">
            <w:pPr>
              <w:spacing w:after="0" w:line="240" w:lineRule="auto"/>
              <w:jc w:val="center"/>
              <w:rPr>
                <w:rFonts w:cs="Times New Roman"/>
                <w:sz w:val="20"/>
                <w:szCs w:val="20"/>
              </w:rPr>
            </w:pPr>
            <w:r w:rsidRPr="009E5CC5">
              <w:rPr>
                <w:rFonts w:cs="Times New Roman"/>
                <w:sz w:val="20"/>
                <w:szCs w:val="20"/>
              </w:rPr>
              <w:t>Sethi, 2022 (33)</w:t>
            </w:r>
          </w:p>
        </w:tc>
        <w:tc>
          <w:tcPr>
            <w:tcW w:w="1175" w:type="dxa"/>
            <w:tcBorders>
              <w:top w:val="single" w:sz="4" w:space="0" w:color="7F7F7F" w:themeColor="text1" w:themeTint="80"/>
              <w:bottom w:val="single" w:sz="4" w:space="0" w:color="7F7F7F" w:themeColor="text1" w:themeTint="80"/>
            </w:tcBorders>
          </w:tcPr>
          <w:p w14:paraId="38261ED3"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14 (5 female, 9 male)</w:t>
            </w:r>
          </w:p>
        </w:tc>
        <w:tc>
          <w:tcPr>
            <w:tcW w:w="1313" w:type="dxa"/>
            <w:tcBorders>
              <w:top w:val="single" w:sz="4" w:space="0" w:color="7F7F7F" w:themeColor="text1" w:themeTint="80"/>
              <w:bottom w:val="single" w:sz="4" w:space="0" w:color="7F7F7F" w:themeColor="text1" w:themeTint="80"/>
            </w:tcBorders>
          </w:tcPr>
          <w:p w14:paraId="2979547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Pt1 -1.5 y</w:t>
            </w:r>
          </w:p>
          <w:p w14:paraId="2EA9AAC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Pt2 - 4 y</w:t>
            </w:r>
          </w:p>
          <w:p w14:paraId="3E09567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Pt3 - 2 y</w:t>
            </w:r>
          </w:p>
          <w:p w14:paraId="074688E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Pt4 - 3 y</w:t>
            </w:r>
          </w:p>
          <w:p w14:paraId="37FE6A1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 NA</w:t>
            </w:r>
          </w:p>
          <w:p w14:paraId="3639F23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Pt6 - 3 y</w:t>
            </w:r>
          </w:p>
          <w:p w14:paraId="680D0DD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Pt7 - 2 y</w:t>
            </w:r>
          </w:p>
          <w:p w14:paraId="57D94C0B"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Pt8 - 2 y</w:t>
            </w:r>
          </w:p>
          <w:p w14:paraId="464738C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Pt9 - 2 y</w:t>
            </w:r>
          </w:p>
          <w:p w14:paraId="3559407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Pt10 - 2 y</w:t>
            </w:r>
          </w:p>
          <w:p w14:paraId="3C0C0FB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Pt11 - 4 y</w:t>
            </w:r>
          </w:p>
          <w:p w14:paraId="35C2E50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Pt12 - 2 y</w:t>
            </w:r>
          </w:p>
          <w:p w14:paraId="10D9DED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lastRenderedPageBreak/>
              <w:t>Pt13 - 2 y</w:t>
            </w:r>
          </w:p>
          <w:p w14:paraId="1146C40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Pt14 - 2y</w:t>
            </w:r>
          </w:p>
        </w:tc>
        <w:tc>
          <w:tcPr>
            <w:tcW w:w="1559" w:type="dxa"/>
            <w:tcBorders>
              <w:top w:val="single" w:sz="4" w:space="0" w:color="7F7F7F" w:themeColor="text1" w:themeTint="80"/>
              <w:bottom w:val="single" w:sz="4" w:space="0" w:color="7F7F7F" w:themeColor="text1" w:themeTint="80"/>
            </w:tcBorders>
          </w:tcPr>
          <w:p w14:paraId="62DA5BC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lastRenderedPageBreak/>
              <w:t>Proteinuria:</w:t>
            </w:r>
          </w:p>
          <w:p w14:paraId="6DFF3C4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Pt1 - 3 g/d</w:t>
            </w:r>
          </w:p>
          <w:p w14:paraId="73B853F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Pt2 - 3.8 g/d</w:t>
            </w:r>
          </w:p>
          <w:p w14:paraId="017A4BC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Pt3 - 3.5 g/d</w:t>
            </w:r>
          </w:p>
          <w:p w14:paraId="4BB8EBE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Pt4 - 17 g/d</w:t>
            </w:r>
          </w:p>
          <w:p w14:paraId="103FC18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Pt5 - 22 g/d</w:t>
            </w:r>
          </w:p>
          <w:p w14:paraId="78EF786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Pt6 - 4.4 g/d</w:t>
            </w:r>
          </w:p>
          <w:p w14:paraId="15EC1CD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Pt7 - 7 g/d</w:t>
            </w:r>
          </w:p>
          <w:p w14:paraId="1E1BD20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Pt8 - 15 g/d</w:t>
            </w:r>
          </w:p>
          <w:p w14:paraId="2C543F0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Pt9 - 8 g/d</w:t>
            </w:r>
          </w:p>
          <w:p w14:paraId="370331D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Pt10 - 5.6 g/d</w:t>
            </w:r>
          </w:p>
          <w:p w14:paraId="109B91F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Pt11 - 9 g/d</w:t>
            </w:r>
          </w:p>
          <w:p w14:paraId="3B3CA06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lastRenderedPageBreak/>
              <w:t>Pt12 - 2 g/d</w:t>
            </w:r>
          </w:p>
          <w:p w14:paraId="1FE2752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Pt13 - 4 g/d</w:t>
            </w:r>
          </w:p>
          <w:p w14:paraId="4DB5E61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Pt14 - 5.4 g/d</w:t>
            </w:r>
          </w:p>
        </w:tc>
        <w:tc>
          <w:tcPr>
            <w:tcW w:w="818" w:type="dxa"/>
            <w:tcBorders>
              <w:top w:val="single" w:sz="4" w:space="0" w:color="7F7F7F" w:themeColor="text1" w:themeTint="80"/>
              <w:bottom w:val="single" w:sz="4" w:space="0" w:color="7F7F7F" w:themeColor="text1" w:themeTint="80"/>
            </w:tcBorders>
          </w:tcPr>
          <w:p w14:paraId="5648B04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lastRenderedPageBreak/>
              <w:t>Positive in all patients</w:t>
            </w:r>
          </w:p>
        </w:tc>
        <w:tc>
          <w:tcPr>
            <w:tcW w:w="2442" w:type="dxa"/>
            <w:tcBorders>
              <w:top w:val="single" w:sz="4" w:space="0" w:color="7F7F7F" w:themeColor="text1" w:themeTint="80"/>
              <w:bottom w:val="single" w:sz="4" w:space="0" w:color="7F7F7F" w:themeColor="text1" w:themeTint="80"/>
            </w:tcBorders>
          </w:tcPr>
          <w:p w14:paraId="3DA0AA21"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Negative in all patients</w:t>
            </w:r>
          </w:p>
        </w:tc>
        <w:tc>
          <w:tcPr>
            <w:tcW w:w="3828" w:type="dxa"/>
            <w:tcBorders>
              <w:top w:val="single" w:sz="4" w:space="0" w:color="7F7F7F" w:themeColor="text1" w:themeTint="80"/>
              <w:bottom w:val="single" w:sz="4" w:space="0" w:color="7F7F7F" w:themeColor="text1" w:themeTint="80"/>
            </w:tcBorders>
          </w:tcPr>
          <w:p w14:paraId="57AB8F4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4, 6, 8, 12 and 13 - achieved CR although Pt12 subsequently </w:t>
            </w:r>
            <w:proofErr w:type="gramStart"/>
            <w:r>
              <w:rPr>
                <w:rFonts w:cs="Times New Roman"/>
                <w:sz w:val="20"/>
                <w:szCs w:val="20"/>
              </w:rPr>
              <w:t>died</w:t>
            </w:r>
            <w:proofErr w:type="gramEnd"/>
          </w:p>
          <w:p w14:paraId="6BA36D3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Pt7, 10 and 14 achieved PR; Pt14 subsequently </w:t>
            </w:r>
            <w:proofErr w:type="gramStart"/>
            <w:r>
              <w:rPr>
                <w:rFonts w:cs="Times New Roman"/>
                <w:sz w:val="20"/>
                <w:szCs w:val="20"/>
              </w:rPr>
              <w:t>died</w:t>
            </w:r>
            <w:proofErr w:type="gramEnd"/>
          </w:p>
          <w:p w14:paraId="77A2483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2, 5, 9 and 11 - died before achieving remission</w:t>
            </w:r>
          </w:p>
        </w:tc>
      </w:tr>
      <w:tr w:rsidR="00CC1AC5" w14:paraId="47D440A5"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3BE360DD" w14:textId="0A45697E"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Srinivasan, 2005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{"citationItems":[{"id":"ITEM-1","itemData":{"DOI":"10.1111/j.1365-2141.2005.05728.x","ISSN":"00071048","PMID":"16173966","abstract":"Nephrotic syndrome (NS) is an extremely rare complication of myeloablative allogeneic haematopoietic cell transplantation (HCT) that usually occurs in association with chronic graft-versus-host disease (C-GVHD). We observed an unexpectedly high incidence of NS in a cohort of 163 consecutive patients undergoing non-myeloablative HCT from a related human leucocyte antigen-compatible donor. Seven patients developed NS at a median 318 d post-transplant (range 119-1203 d; cumulative incidence 6.1%). The median age at onset of NS was 46 years (range 33-59 years); three of the seven patients had no evidence of C-GVHD while four had accompanying limited C-GVHD. At diagnosis, median proteinuria was 16.5 g/24 h (range 3-24 g/24 h). Renal biopsy was performed in four cases and revealed membranous nephropathy. NS was not always associated with other symptoms of C-GVHD, and in contrast to previous reports, usually did not improve with the re-initiation of aggressive immunosuppression, resulting in progressive renal failure necessitating dialysis in three of seven cases. Membranous nephropathy resulting in NS is a previously unrecognised and clinically significant complication of non-myeloablative HCT. © 2005 Blackwell Publishing Ltd.","author":[{"dropping-particle":"","family":"Srinivasan","given":"R.","non-dropping-particle":"","parse-names":false,"suffix":""},{"dropping-particle":"","family":"Balow","given":"J. E.","non-dropping-particle":"","parse-names":false,"suffix":""},{"dropping-particle":"","family":"Sabnis","given":"S.","non-dropping-particle":"","parse-names":false,"suffix":""},{"dropping-particle":"","family":"Lundqvist","given":"A.","non-dropping-particle":"","parse-names":false,"suffix":""},{"dropping-particle":"","family":"Igarashi","given":"T.","non-dropping-particle":"","parse-names":false,"suffix":""},{"dropping-particle":"","family":"Takahashi","given":"Y.","non-dropping-particle":"","parse-names":false,"suffix":""},{"dropping-particle":"","family":"Austin","given":"H.","non-dropping-particle":"","parse-names":false,"suffix":""},{"dropping-particle":"","family":"Tisdale","given":"J.","non-dropping-particle":"","parse-names":false,"suffix":""},{"dropping-particle":"","family":"Barrett","given":"J.","non-dropping-particle":"","parse-names":false,"suffix":""},{"dropping-particle":"","family":"Geller","given":"N.","non-dropping-particle":"","parse-names":false,"suffix":""},{"dropping-particle":"","family":"Childs","given":"R.","non-dropping-particle":"","parse-names":false,"suffix":""}],"container-title":"British Journal of Haematology","id":"ITEM-1","issue":"1","issued":{"date-parts":[["2005"]]},"page":"74-79","title":"Nephrotic syndrome: An under-recognised immune-mediated complication of non-myeloablative allogeneic haematopoietic cell transplantation","type":"article-journal","volume":"131"},"uris":["http://www.mendeley.com/documents/?uuid=480e9e50-4fa3-4e84-9c28-a4f7508142aa"]}],"mendeley":{"formattedCitation":"(25)","plainTextFormattedCitation":"(25)","previouslyFormattedCitation":"(24)"},"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(34)</w:t>
            </w:r>
            <w:r w:rsidRPr="0015063D">
              <w:rPr>
                <w:rFonts w:cs="Times New Roman"/>
                <w:b w:val="0"/>
                <w:bCs w:val="0"/>
                <w:sz w:val="20"/>
                <w:szCs w:val="20"/>
              </w:rPr>
              <w:fldChar w:fldCharType="end"/>
            </w:r>
          </w:p>
        </w:tc>
        <w:tc>
          <w:tcPr>
            <w:tcW w:w="1175" w:type="dxa"/>
          </w:tcPr>
          <w:p w14:paraId="1D07C95E"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4 (2 male, 2 female)</w:t>
            </w:r>
          </w:p>
        </w:tc>
        <w:tc>
          <w:tcPr>
            <w:tcW w:w="1313" w:type="dxa"/>
          </w:tcPr>
          <w:p w14:paraId="4EC4CEC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318 d</w:t>
            </w:r>
            <w:r>
              <w:rPr>
                <w:rFonts w:cs="Times New Roman"/>
                <w:sz w:val="20"/>
                <w:szCs w:val="20"/>
              </w:rPr>
              <w:br/>
              <w:t>Pt2 – 326 d</w:t>
            </w:r>
            <w:r>
              <w:rPr>
                <w:rFonts w:cs="Times New Roman"/>
                <w:sz w:val="20"/>
                <w:szCs w:val="20"/>
              </w:rPr>
              <w:br/>
              <w:t>Pt3 – 816 d</w:t>
            </w:r>
            <w:r>
              <w:rPr>
                <w:rFonts w:cs="Times New Roman"/>
                <w:sz w:val="20"/>
                <w:szCs w:val="20"/>
              </w:rPr>
              <w:br/>
              <w:t>Pt4 – 1203 d</w:t>
            </w:r>
          </w:p>
        </w:tc>
        <w:tc>
          <w:tcPr>
            <w:tcW w:w="1559" w:type="dxa"/>
          </w:tcPr>
          <w:p w14:paraId="6F3D618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20D3BC4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30 g/d</w:t>
            </w:r>
            <w:r>
              <w:rPr>
                <w:rFonts w:cs="Times New Roman"/>
                <w:sz w:val="20"/>
                <w:szCs w:val="20"/>
              </w:rPr>
              <w:br/>
              <w:t>Pt2 – 22 g/d</w:t>
            </w:r>
          </w:p>
          <w:p w14:paraId="75EAE53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20 g/d</w:t>
            </w:r>
          </w:p>
          <w:p w14:paraId="4F67EDE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3.0 g/d</w:t>
            </w:r>
          </w:p>
        </w:tc>
        <w:tc>
          <w:tcPr>
            <w:tcW w:w="818" w:type="dxa"/>
          </w:tcPr>
          <w:p w14:paraId="611FAEFB"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1788C620"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p w14:paraId="75258586" w14:textId="77777777" w:rsidR="00CC1AC5" w:rsidRDefault="00CC1A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3828" w:type="dxa"/>
          </w:tcPr>
          <w:p w14:paraId="3B8065F5" w14:textId="6C06AB69"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w:t>
            </w:r>
            <w:proofErr w:type="spellStart"/>
            <w:r>
              <w:rPr>
                <w:rFonts w:cs="Times New Roman"/>
                <w:sz w:val="20"/>
                <w:szCs w:val="20"/>
              </w:rPr>
              <w:t>CsA</w:t>
            </w:r>
            <w:proofErr w:type="spellEnd"/>
            <w:r>
              <w:rPr>
                <w:rFonts w:cs="Times New Roman"/>
                <w:sz w:val="20"/>
                <w:szCs w:val="20"/>
              </w:rPr>
              <w:t>, PS; dialysis complication; died</w:t>
            </w:r>
            <w:r>
              <w:rPr>
                <w:rFonts w:cs="Times New Roman"/>
                <w:sz w:val="20"/>
                <w:szCs w:val="20"/>
              </w:rPr>
              <w:br/>
              <w:t xml:space="preserve">Pt2 – </w:t>
            </w:r>
            <w:proofErr w:type="spellStart"/>
            <w:r>
              <w:rPr>
                <w:rFonts w:cs="Times New Roman"/>
                <w:sz w:val="20"/>
                <w:szCs w:val="20"/>
              </w:rPr>
              <w:t>CsA</w:t>
            </w:r>
            <w:proofErr w:type="spellEnd"/>
            <w:r>
              <w:rPr>
                <w:rFonts w:cs="Times New Roman"/>
                <w:sz w:val="20"/>
                <w:szCs w:val="20"/>
              </w:rPr>
              <w:t xml:space="preserve">, PS, </w:t>
            </w:r>
            <w:r w:rsidR="00957A58">
              <w:rPr>
                <w:rFonts w:cs="Times New Roman"/>
                <w:sz w:val="20"/>
                <w:szCs w:val="20"/>
              </w:rPr>
              <w:t>RTX</w:t>
            </w:r>
            <w:r>
              <w:rPr>
                <w:rFonts w:cs="Times New Roman"/>
                <w:sz w:val="20"/>
                <w:szCs w:val="20"/>
              </w:rPr>
              <w:t>; dialysis complication; died</w:t>
            </w:r>
            <w:r>
              <w:rPr>
                <w:rFonts w:cs="Times New Roman"/>
                <w:sz w:val="20"/>
                <w:szCs w:val="20"/>
              </w:rPr>
              <w:br/>
              <w:t xml:space="preserve">Pt3 – </w:t>
            </w:r>
            <w:proofErr w:type="spellStart"/>
            <w:r>
              <w:rPr>
                <w:rFonts w:cs="Times New Roman"/>
                <w:sz w:val="20"/>
                <w:szCs w:val="20"/>
              </w:rPr>
              <w:t>CsA</w:t>
            </w:r>
            <w:proofErr w:type="spellEnd"/>
            <w:r>
              <w:rPr>
                <w:rFonts w:cs="Times New Roman"/>
                <w:sz w:val="20"/>
                <w:szCs w:val="20"/>
              </w:rPr>
              <w:t>, PE, PS</w:t>
            </w:r>
            <w:r w:rsidR="00957A58">
              <w:rPr>
                <w:rFonts w:cs="Times New Roman"/>
                <w:sz w:val="20"/>
                <w:szCs w:val="20"/>
              </w:rPr>
              <w:t>, RTX</w:t>
            </w:r>
            <w:r>
              <w:rPr>
                <w:rFonts w:cs="Times New Roman"/>
                <w:sz w:val="20"/>
                <w:szCs w:val="20"/>
              </w:rPr>
              <w:t>, IVIG; alive</w:t>
            </w:r>
            <w:r>
              <w:rPr>
                <w:rFonts w:cs="Times New Roman"/>
                <w:sz w:val="20"/>
                <w:szCs w:val="20"/>
              </w:rPr>
              <w:br/>
              <w:t>Pt4; developed TTP; died of ICH</w:t>
            </w:r>
          </w:p>
        </w:tc>
      </w:tr>
      <w:tr w:rsidR="00CC1AC5" w14:paraId="321926E8"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34C0CF36" w14:textId="77777777" w:rsidR="00CC1AC5" w:rsidRPr="0015063D" w:rsidRDefault="00000000">
            <w:pPr>
              <w:spacing w:after="0" w:line="240" w:lineRule="auto"/>
              <w:jc w:val="center"/>
              <w:rPr>
                <w:rFonts w:cs="Times New Roman"/>
                <w:sz w:val="20"/>
                <w:szCs w:val="20"/>
              </w:rPr>
            </w:pPr>
            <w:r w:rsidRPr="009E5CC5">
              <w:rPr>
                <w:rFonts w:cs="Times New Roman"/>
                <w:sz w:val="20"/>
                <w:szCs w:val="20"/>
              </w:rPr>
              <w:t>Stevenson, 2005 (35)</w:t>
            </w:r>
          </w:p>
        </w:tc>
        <w:tc>
          <w:tcPr>
            <w:tcW w:w="1175" w:type="dxa"/>
            <w:tcBorders>
              <w:top w:val="single" w:sz="4" w:space="0" w:color="7F7F7F" w:themeColor="text1" w:themeTint="80"/>
              <w:bottom w:val="single" w:sz="4" w:space="0" w:color="7F7F7F" w:themeColor="text1" w:themeTint="80"/>
            </w:tcBorders>
          </w:tcPr>
          <w:p w14:paraId="63DA1937"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2 (both male</w:t>
            </w:r>
          </w:p>
        </w:tc>
        <w:tc>
          <w:tcPr>
            <w:tcW w:w="1313" w:type="dxa"/>
            <w:tcBorders>
              <w:top w:val="single" w:sz="4" w:space="0" w:color="7F7F7F" w:themeColor="text1" w:themeTint="80"/>
              <w:bottom w:val="single" w:sz="4" w:space="0" w:color="7F7F7F" w:themeColor="text1" w:themeTint="80"/>
            </w:tcBorders>
          </w:tcPr>
          <w:p w14:paraId="4106419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22 </w:t>
            </w:r>
            <w:proofErr w:type="spellStart"/>
            <w:r>
              <w:rPr>
                <w:rFonts w:cs="Times New Roman"/>
                <w:sz w:val="20"/>
                <w:szCs w:val="20"/>
              </w:rPr>
              <w:t>mo</w:t>
            </w:r>
            <w:proofErr w:type="spellEnd"/>
          </w:p>
          <w:p w14:paraId="280E822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25 </w:t>
            </w:r>
            <w:proofErr w:type="spellStart"/>
            <w:r>
              <w:rPr>
                <w:rFonts w:cs="Times New Roman"/>
                <w:sz w:val="20"/>
                <w:szCs w:val="20"/>
              </w:rPr>
              <w:t>mo</w:t>
            </w:r>
            <w:proofErr w:type="spellEnd"/>
          </w:p>
        </w:tc>
        <w:tc>
          <w:tcPr>
            <w:tcW w:w="1559" w:type="dxa"/>
            <w:tcBorders>
              <w:top w:val="single" w:sz="4" w:space="0" w:color="7F7F7F" w:themeColor="text1" w:themeTint="80"/>
              <w:bottom w:val="single" w:sz="4" w:space="0" w:color="7F7F7F" w:themeColor="text1" w:themeTint="80"/>
            </w:tcBorders>
          </w:tcPr>
          <w:p w14:paraId="4FA35B7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48F8F3D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14.6 g/d</w:t>
            </w:r>
          </w:p>
          <w:p w14:paraId="11B06D5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13.8 g/d</w:t>
            </w:r>
          </w:p>
        </w:tc>
        <w:tc>
          <w:tcPr>
            <w:tcW w:w="818" w:type="dxa"/>
            <w:tcBorders>
              <w:top w:val="single" w:sz="4" w:space="0" w:color="7F7F7F" w:themeColor="text1" w:themeTint="80"/>
              <w:bottom w:val="single" w:sz="4" w:space="0" w:color="7F7F7F" w:themeColor="text1" w:themeTint="80"/>
            </w:tcBorders>
          </w:tcPr>
          <w:p w14:paraId="38601081"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5865F389"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5A3CC45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PS 1mg/kg/d, </w:t>
            </w:r>
            <w:proofErr w:type="spellStart"/>
            <w:r>
              <w:rPr>
                <w:rFonts w:cs="Times New Roman"/>
                <w:sz w:val="20"/>
                <w:szCs w:val="20"/>
              </w:rPr>
              <w:t>CsA</w:t>
            </w:r>
            <w:proofErr w:type="spellEnd"/>
            <w:r>
              <w:rPr>
                <w:rFonts w:cs="Times New Roman"/>
                <w:sz w:val="20"/>
                <w:szCs w:val="20"/>
              </w:rPr>
              <w:t xml:space="preserve"> 200 mg/d; died due to AML </w:t>
            </w:r>
            <w:proofErr w:type="gramStart"/>
            <w:r>
              <w:rPr>
                <w:rFonts w:cs="Times New Roman"/>
                <w:sz w:val="20"/>
                <w:szCs w:val="20"/>
              </w:rPr>
              <w:t>relapse</w:t>
            </w:r>
            <w:proofErr w:type="gramEnd"/>
          </w:p>
          <w:p w14:paraId="6844CA7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PSL 25 mg/d, </w:t>
            </w:r>
            <w:proofErr w:type="gramStart"/>
            <w:r>
              <w:rPr>
                <w:rFonts w:cs="Times New Roman"/>
                <w:sz w:val="20"/>
                <w:szCs w:val="20"/>
              </w:rPr>
              <w:t>perindopril</w:t>
            </w:r>
            <w:proofErr w:type="gramEnd"/>
            <w:r>
              <w:rPr>
                <w:rFonts w:cs="Times New Roman"/>
                <w:sz w:val="20"/>
                <w:szCs w:val="20"/>
              </w:rPr>
              <w:t xml:space="preserve"> and atorvastatin, </w:t>
            </w:r>
            <w:proofErr w:type="spellStart"/>
            <w:r>
              <w:rPr>
                <w:rFonts w:cs="Times New Roman"/>
                <w:sz w:val="20"/>
                <w:szCs w:val="20"/>
              </w:rPr>
              <w:t>CsA</w:t>
            </w:r>
            <w:proofErr w:type="spellEnd"/>
            <w:r>
              <w:rPr>
                <w:rFonts w:cs="Times New Roman"/>
                <w:sz w:val="20"/>
                <w:szCs w:val="20"/>
              </w:rPr>
              <w:t xml:space="preserve"> 200 mg/d, PR due to poor compliance</w:t>
            </w:r>
          </w:p>
        </w:tc>
      </w:tr>
      <w:tr w:rsidR="00CC1AC5" w14:paraId="3C672B18"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09F651AD" w14:textId="4EABB8A6"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Sugimoto, 2007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10.1093/ndt/gfm451","ISSN":"09310509","PMID":"17617648","author":[{"dropping-particle":"","family":"Sugimoto","given":"Toshiro","non-dropping-particle":"","parse-names":false,"suffix":""},{"dropping-particle":"","family":"Tanaka","given":"Yuki","non-dropping-particle":"","parse-names":false,"suffix":""},{"dropping-particle":"","family":"Sakaguchi","given":"Masayoshi","non-dropping-particle":"","parse-names":false,"suffix":""},{"dropping-particle":"","family":"Osawa","given":"Norihisa","non-dropping-particle":"","parse-names":false,"suffix":""},{"dropping-particle":"","family":"Tanaka","given":"Yuki","non-dropping-particle":"","parse-names":false,"suffix":""},{"dropping-particle":"","family":"Uzu","given":"Takashi","non-dropping-particle":"","parse-names":false,"suffix":""},{"dropping-particle":"","family":"Kashiwagi","given":"Atsunori","non-dropping-particle":"","parse-names":false,"suffix":""}],"container-title":"Nephrology Dialysis Transplantation","id":"ITEM-1","issue":"11","issued":{"date-parts":[["2007"]]},"page":"3360-3362","title":"A case of post-allogeneic haematopoietic stem cell transplantation membranous nephropathy","type":"article-journal","volume":"22"},"uris":["http://www.mendeley.com/documents/?uuid=cb40af1c-ee3a-4053-8ed1-8082d6160d1a"]}],"mendeley":{"formattedCitation":"(26)","plainTextFormattedCitation":"(26)","previouslyFormattedCitation":"(25)"},"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(36)</w:t>
            </w:r>
            <w:r w:rsidRPr="0015063D">
              <w:rPr>
                <w:rFonts w:cs="Times New Roman"/>
                <w:b w:val="0"/>
                <w:bCs w:val="0"/>
                <w:sz w:val="20"/>
                <w:szCs w:val="20"/>
              </w:rPr>
              <w:fldChar w:fldCharType="end"/>
            </w:r>
          </w:p>
        </w:tc>
        <w:tc>
          <w:tcPr>
            <w:tcW w:w="1175" w:type="dxa"/>
          </w:tcPr>
          <w:p w14:paraId="49A80096"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Pr>
          <w:p w14:paraId="4D2B50C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20 </w:t>
            </w:r>
            <w:proofErr w:type="spellStart"/>
            <w:r>
              <w:rPr>
                <w:rFonts w:cs="Times New Roman"/>
                <w:sz w:val="20"/>
                <w:szCs w:val="20"/>
              </w:rPr>
              <w:t>mo</w:t>
            </w:r>
            <w:proofErr w:type="spellEnd"/>
          </w:p>
        </w:tc>
        <w:tc>
          <w:tcPr>
            <w:tcW w:w="1559" w:type="dxa"/>
          </w:tcPr>
          <w:p w14:paraId="11C7F8A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 13.1 g/d</w:t>
            </w:r>
          </w:p>
        </w:tc>
        <w:tc>
          <w:tcPr>
            <w:tcW w:w="818" w:type="dxa"/>
          </w:tcPr>
          <w:p w14:paraId="3F9A13C0"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14F48FB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Pr>
          <w:p w14:paraId="053AD0C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PSL 40 mg/d; outcome unknown</w:t>
            </w:r>
          </w:p>
        </w:tc>
      </w:tr>
      <w:tr w:rsidR="00CC1AC5" w14:paraId="19D03E86"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5CED0D49" w14:textId="680DE495" w:rsidR="00CC1AC5" w:rsidRPr="0015063D" w:rsidRDefault="00000000">
            <w:pPr>
              <w:spacing w:after="0" w:line="240" w:lineRule="auto"/>
              <w:jc w:val="center"/>
              <w:rPr>
                <w:rFonts w:cs="Times New Roman"/>
                <w:sz w:val="20"/>
                <w:szCs w:val="20"/>
              </w:rPr>
            </w:pPr>
            <w:proofErr w:type="spellStart"/>
            <w:r w:rsidRPr="009E5CC5">
              <w:rPr>
                <w:rFonts w:cs="Times New Roman"/>
                <w:sz w:val="20"/>
                <w:szCs w:val="20"/>
              </w:rPr>
              <w:t>Tedjaseputra</w:t>
            </w:r>
            <w:proofErr w:type="spellEnd"/>
            <w:r w:rsidRPr="009E5CC5">
              <w:rPr>
                <w:rFonts w:cs="Times New Roman"/>
                <w:sz w:val="20"/>
                <w:szCs w:val="20"/>
              </w:rPr>
              <w:t xml:space="preserve">, 2018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10.1111/imj.13762","ISSN":"14455994","PMID":"29623981","author":[{"dropping-particle":"","family":"Tedjaseputra","given":"Aditya","non-dropping-particle":"","parse-names":false,"suffix":""},{"dropping-particle":"","family":"McLornan","given":"Donal","non-dropping-particle":"","parse-names":false,"suffix":""},{"dropping-particle":"","family":"McCormick","given":"Jill","non-dropping-particle":"","parse-names":false,"suffix":""},{"dropping-particle":"","family":"Raj","given":"Kavita","non-dropping-particle":"","parse-names":false,"suffix":""},{"dropping-particle":"","family":"Lavallade","given":"Hugues","non-dropping-particle":"de","parse-names":false,"suffix":""},{"dropping-particle":"","family":"Potter","given":"Victoria","non-dropping-particle":"","parse-names":false,"suffix":""},{"dropping-particle":"","family":"Kenyon","given":"Michelle","non-dropping-particle":"","parse-names":false,"suffix":""},{"dropping-particle":"","family":"Pagliuca","given":"Antonio","non-dropping-particle":"","parse-names":false,"suffix":""},{"dropping-particle":"","family":"Marsh","given":"Judith","non-dropping-particle":"","parse-names":false,"suffix":""},{"dropping-particle":"","family":"Mufti","given":"Ghulam","non-dropping-particle":"","parse-names":false,"suffix":""}],"container-title":"Internal Medicine Journal","id":"ITEM-1","issue":"4","issued":{"date-parts":[["2018"]]},"page":"481-483","title":"Anti-type M phospholipase A2 receptor antibody-positive membranous nephropathy as a part of multi-system autoimmune syndrome post-allogeneic stem cell transplantation","type":"article-journal","volume":"48"},"uris":["http://www.mendeley.com/documents/?uuid=c5db8754-a3ed-4638-af8c-2daed48615f7"]}],"mendeley":{"formattedCitation":"(27)","plainTextFormattedCitation":"(27)","previouslyFormattedCitation":"(26)"},"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(37)</w:t>
            </w:r>
            <w:r w:rsidRPr="0015063D">
              <w:rPr>
                <w:rFonts w:cs="Times New Roman"/>
                <w:b w:val="0"/>
                <w:bCs w:val="0"/>
                <w:sz w:val="20"/>
                <w:szCs w:val="20"/>
              </w:rPr>
              <w:fldChar w:fldCharType="end"/>
            </w:r>
            <w:r w:rsidRPr="009E5CC5">
              <w:rPr>
                <w:rFonts w:cs="Times New Roman"/>
                <w:sz w:val="20"/>
                <w:szCs w:val="20"/>
              </w:rPr>
              <w:t xml:space="preserve"> </w:t>
            </w:r>
          </w:p>
        </w:tc>
        <w:tc>
          <w:tcPr>
            <w:tcW w:w="1175" w:type="dxa"/>
            <w:tcBorders>
              <w:top w:val="single" w:sz="4" w:space="0" w:color="7F7F7F" w:themeColor="text1" w:themeTint="80"/>
              <w:bottom w:val="single" w:sz="4" w:space="0" w:color="7F7F7F" w:themeColor="text1" w:themeTint="80"/>
            </w:tcBorders>
          </w:tcPr>
          <w:p w14:paraId="0D2393F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1 (male)</w:t>
            </w:r>
          </w:p>
        </w:tc>
        <w:tc>
          <w:tcPr>
            <w:tcW w:w="1313" w:type="dxa"/>
            <w:tcBorders>
              <w:top w:val="single" w:sz="4" w:space="0" w:color="7F7F7F" w:themeColor="text1" w:themeTint="80"/>
              <w:bottom w:val="single" w:sz="4" w:space="0" w:color="7F7F7F" w:themeColor="text1" w:themeTint="80"/>
            </w:tcBorders>
          </w:tcPr>
          <w:p w14:paraId="28F1556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90 d</w:t>
            </w:r>
          </w:p>
        </w:tc>
        <w:tc>
          <w:tcPr>
            <w:tcW w:w="1559" w:type="dxa"/>
            <w:tcBorders>
              <w:top w:val="single" w:sz="4" w:space="0" w:color="7F7F7F" w:themeColor="text1" w:themeTint="80"/>
              <w:bottom w:val="single" w:sz="4" w:space="0" w:color="7F7F7F" w:themeColor="text1" w:themeTint="80"/>
            </w:tcBorders>
          </w:tcPr>
          <w:p w14:paraId="4D656FD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Gross peripheral edema (20 kg weight gain) and nephrotic syndrome; proteinuria over 15 g/d</w:t>
            </w:r>
          </w:p>
        </w:tc>
        <w:tc>
          <w:tcPr>
            <w:tcW w:w="818" w:type="dxa"/>
            <w:tcBorders>
              <w:top w:val="single" w:sz="4" w:space="0" w:color="7F7F7F" w:themeColor="text1" w:themeTint="80"/>
              <w:bottom w:val="single" w:sz="4" w:space="0" w:color="7F7F7F" w:themeColor="text1" w:themeTint="80"/>
            </w:tcBorders>
          </w:tcPr>
          <w:p w14:paraId="47803969"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1D2754BA"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Ab - positive</w:t>
            </w:r>
          </w:p>
        </w:tc>
        <w:tc>
          <w:tcPr>
            <w:tcW w:w="3828" w:type="dxa"/>
            <w:tcBorders>
              <w:top w:val="single" w:sz="4" w:space="0" w:color="7F7F7F" w:themeColor="text1" w:themeTint="80"/>
              <w:bottom w:val="single" w:sz="4" w:space="0" w:color="7F7F7F" w:themeColor="text1" w:themeTint="80"/>
            </w:tcBorders>
          </w:tcPr>
          <w:p w14:paraId="08EA2669" w14:textId="56EAC3BE" w:rsidR="00CC1AC5" w:rsidRDefault="00957A58">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RTX </w:t>
            </w:r>
            <w:r w:rsidR="00000000">
              <w:rPr>
                <w:rFonts w:cs="Times New Roman"/>
                <w:sz w:val="20"/>
                <w:szCs w:val="20"/>
              </w:rPr>
              <w:t>375 mg/m</w:t>
            </w:r>
            <w:r w:rsidR="00000000">
              <w:rPr>
                <w:rFonts w:cs="Times New Roman"/>
                <w:sz w:val="20"/>
                <w:szCs w:val="20"/>
                <w:vertAlign w:val="superscript"/>
              </w:rPr>
              <w:t xml:space="preserve">2 </w:t>
            </w:r>
            <w:r w:rsidR="00000000">
              <w:rPr>
                <w:rFonts w:cs="Times New Roman"/>
                <w:sz w:val="20"/>
                <w:szCs w:val="20"/>
              </w:rPr>
              <w:t>weekly for four weeks; CR at 8-month follow-up</w:t>
            </w:r>
          </w:p>
        </w:tc>
      </w:tr>
      <w:tr w:rsidR="00CC1AC5" w14:paraId="413CC5C3"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64FB4CE1" w14:textId="41A6A476"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Terrier, 2007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{"citationItems":[{"id":"ITEM-1","itemData":{"DOI":"10.1093/ndt/gfl795","ISSN":"09310509","PMID":"17255123","abstract":"Background. Post-allogeneic haematopoietic stem cell transplantation (HSCT) membranous nephropathy (MN), a rare complication of HSCT, remains an ill-defined entity. We describe the clinical and biological characteristics and outcome of five patients with post-HSCT MN, review the previously reported cases and discuss the pathogenic aspects of this nephropathy. Methods. Cases were identified by using a questionnaire sent to nephrologists and pathologists in French university and general hospitals. Medical records and kidney biopsy specimens were reviewed and relevant data were collected. Moreover, the IgG subclasses in glomerular deposits and the presence of chimeric renal cells were studied. Results. Five patients were identified. All had a history of chronic graft-vs-host disease (cGVHD) and all had active manifestations of cGVHD at MN diagnosis. Mean time between HSCT and diagnosis of MN was 24.4 months. Renal insufficiency was present in four patients. Renal biopsy examination showed typical features of MN in all patients. IgG1 and IgG4 were the predominant IgG subclasses in the glomerular deposits. No chimeric glomerular cell was detected. Initial treatment for MN consisted in corticosteroids and immunosuppressors (ciclosporin, mycophenolate mofetil, rituximab, chlorambucil) in all patients. Complete remission of nephrotic syndrome (NS) occurred in two patients, partial remission in one patient, while treatment was inefficacious in one (data not available for one patient). Most interestingly, the evolution of NS paralleled the evolution of cGVHD in all patients. Conclusion. Our data suggest an association between cGVHD and post-HSCT MN. Treatment, mainly steroids and ciclosporin, should be aimed at the control of acute manifestations of cGVHD. © The Author [2007]. Published by Oxford University Press on behalf of ERA-EDTA. All rights reserved.","author":[{"dropping-particle":"","family":"Terrier","given":"Benjamin","non-dropping-particle":"","parse-names":false,"suffix":""},{"dropping-particle":"","family":"Delmas","given":"Yahsou","non-dropping-particle":"","parse-names":false,"suffix":""},{"dropping-particle":"","family":"Hummel","given":"Aurélie","non-dropping-particle":"","parse-names":false,"suffix":""},{"dropping-particle":"","family":"Presne","given":"Claire","non-dropping-particle":"","parse-names":false,"suffix":""},{"dropping-particle":"","family":"Glowacki","given":"Francois","non-dropping-particle":"","parse-names":false,"suffix":""},{"dropping-particle":"","family":"Knebelmann","given":"Bertrand","non-dropping-particle":"","parse-names":false,"suffix":""},{"dropping-particle":"","family":"Combe","given":"Christian","non-dropping-particle":"","parse-names":false,"suffix":""},{"dropping-particle":"","family":"Lesavre","given":"Philippe","non-dropping-particle":"","parse-names":false,"suffix":""},{"dropping-particle":"","family":"Maillard","given":"Natacha","non-dropping-particle":"","parse-names":false,"suffix":""},{"dropping-particle":"","family":"Noël","given":"Laure Hélène","non-dropping-particle":"","parse-names":false,"suffix":""},{"dropping-particle":"","family":"Patey-Mariaud de Serre","given":"Natahlie","non-dropping-particle":"","parse-names":false,"suffix":""},{"dropping-particle":"","family":"Nusbaum","given":"Sylvie","non-dropping-particle":"","parse-names":false,"suffix":""},{"dropping-particle":"","family":"Radford","given":"Isabelle","non-dropping-particle":"","parse-names":false,"suffix":""},{"dropping-particle":"","family":"Buzyn","given":"Agnès","non-dropping-particle":"","parse-names":false,"suffix":""},{"dropping-particle":"","family":"Fakhouri","given":"Fadi","non-dropping-particle":"","parse-names":false,"suffix":""}],"container-title":"Nephrology Dialysis Transplantation","id":"ITEM-1","issue":"5","issued":{"date-parts":[["2007"]]},"page":"1369-1376","title":"Post-allogeneic haematopoietic stem cell transplantation membranous nephropathy: Clinical presentation, outcome and pathogenic aspects","type":"article-journal","volume":"22"},"uris":["http://www.mendeley.com/documents/?uuid=57271e3a-00a5-4aa1-b37b-da9d03409805"]}],"mendeley":{"formattedCitation":"(28)","plainTextFormattedCitation":"(28)","previouslyFormattedCitation":"(27)"},"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(38)</w:t>
            </w:r>
            <w:r w:rsidRPr="0015063D">
              <w:rPr>
                <w:rFonts w:cs="Times New Roman"/>
                <w:b w:val="0"/>
                <w:bCs w:val="0"/>
                <w:sz w:val="20"/>
                <w:szCs w:val="20"/>
              </w:rPr>
              <w:fldChar w:fldCharType="end"/>
            </w:r>
          </w:p>
        </w:tc>
        <w:tc>
          <w:tcPr>
            <w:tcW w:w="1175" w:type="dxa"/>
          </w:tcPr>
          <w:p w14:paraId="17C14868"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5 (3 female, 2 male)</w:t>
            </w:r>
          </w:p>
        </w:tc>
        <w:tc>
          <w:tcPr>
            <w:tcW w:w="1313" w:type="dxa"/>
          </w:tcPr>
          <w:p w14:paraId="6D036A2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33 </w:t>
            </w:r>
            <w:proofErr w:type="spellStart"/>
            <w:r>
              <w:rPr>
                <w:rFonts w:cs="Times New Roman"/>
                <w:sz w:val="20"/>
                <w:szCs w:val="20"/>
              </w:rPr>
              <w:t>mo</w:t>
            </w:r>
            <w:proofErr w:type="spellEnd"/>
          </w:p>
          <w:p w14:paraId="370BAEE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17 </w:t>
            </w:r>
            <w:proofErr w:type="spellStart"/>
            <w:r>
              <w:rPr>
                <w:rFonts w:cs="Times New Roman"/>
                <w:sz w:val="20"/>
                <w:szCs w:val="20"/>
              </w:rPr>
              <w:t>mo</w:t>
            </w:r>
            <w:proofErr w:type="spellEnd"/>
          </w:p>
          <w:p w14:paraId="5642E82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14 </w:t>
            </w:r>
            <w:proofErr w:type="spellStart"/>
            <w:r>
              <w:rPr>
                <w:rFonts w:cs="Times New Roman"/>
                <w:sz w:val="20"/>
                <w:szCs w:val="20"/>
              </w:rPr>
              <w:t>mo</w:t>
            </w:r>
            <w:proofErr w:type="spellEnd"/>
          </w:p>
          <w:p w14:paraId="5FD11E7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 21 </w:t>
            </w:r>
            <w:proofErr w:type="spellStart"/>
            <w:r>
              <w:rPr>
                <w:rFonts w:cs="Times New Roman"/>
                <w:sz w:val="20"/>
                <w:szCs w:val="20"/>
              </w:rPr>
              <w:t>mo</w:t>
            </w:r>
            <w:proofErr w:type="spellEnd"/>
          </w:p>
          <w:p w14:paraId="748BD16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Pt5 – 37 </w:t>
            </w:r>
            <w:proofErr w:type="spellStart"/>
            <w:r>
              <w:rPr>
                <w:rFonts w:cs="Times New Roman"/>
                <w:sz w:val="20"/>
                <w:szCs w:val="20"/>
              </w:rPr>
              <w:t>mo</w:t>
            </w:r>
            <w:proofErr w:type="spellEnd"/>
          </w:p>
        </w:tc>
        <w:tc>
          <w:tcPr>
            <w:tcW w:w="1559" w:type="dxa"/>
          </w:tcPr>
          <w:p w14:paraId="32EDC33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6666406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16.2 g/d</w:t>
            </w:r>
          </w:p>
          <w:p w14:paraId="7BC0ED0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8.5 g/d</w:t>
            </w:r>
          </w:p>
          <w:p w14:paraId="3352284B"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8.2 g/d</w:t>
            </w:r>
          </w:p>
          <w:p w14:paraId="71E09DBC"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7.9 g/d</w:t>
            </w:r>
          </w:p>
          <w:p w14:paraId="511022F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 11 g/d</w:t>
            </w:r>
          </w:p>
        </w:tc>
        <w:tc>
          <w:tcPr>
            <w:tcW w:w="818" w:type="dxa"/>
          </w:tcPr>
          <w:p w14:paraId="731B411D"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779DE361"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Pr>
          <w:p w14:paraId="7F28E52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CS, </w:t>
            </w:r>
            <w:proofErr w:type="spellStart"/>
            <w:r>
              <w:rPr>
                <w:rFonts w:cs="Times New Roman"/>
                <w:sz w:val="20"/>
                <w:szCs w:val="20"/>
              </w:rPr>
              <w:t>CsA</w:t>
            </w:r>
            <w:proofErr w:type="spellEnd"/>
            <w:r>
              <w:rPr>
                <w:rFonts w:cs="Times New Roman"/>
                <w:sz w:val="20"/>
                <w:szCs w:val="20"/>
              </w:rPr>
              <w:t xml:space="preserve">; CR with relapse after discontinuation; CR after reintroduction of CS and </w:t>
            </w:r>
            <w:proofErr w:type="spellStart"/>
            <w:r>
              <w:rPr>
                <w:rFonts w:cs="Times New Roman"/>
                <w:sz w:val="20"/>
                <w:szCs w:val="20"/>
              </w:rPr>
              <w:t>CsA</w:t>
            </w:r>
            <w:proofErr w:type="spellEnd"/>
            <w:r>
              <w:rPr>
                <w:rFonts w:cs="Times New Roman"/>
                <w:sz w:val="20"/>
                <w:szCs w:val="20"/>
              </w:rPr>
              <w:br/>
              <w:t xml:space="preserve">Pt2 – CS, AZA; Died due to septic </w:t>
            </w:r>
            <w:proofErr w:type="gramStart"/>
            <w:r>
              <w:rPr>
                <w:rFonts w:cs="Times New Roman"/>
                <w:sz w:val="20"/>
                <w:szCs w:val="20"/>
              </w:rPr>
              <w:t>shock</w:t>
            </w:r>
            <w:proofErr w:type="gramEnd"/>
          </w:p>
          <w:p w14:paraId="5EEC6FDF" w14:textId="07643FBF"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CS, MMF, </w:t>
            </w:r>
            <w:r w:rsidR="00957A58">
              <w:rPr>
                <w:rFonts w:cs="Times New Roman"/>
                <w:sz w:val="20"/>
                <w:szCs w:val="20"/>
              </w:rPr>
              <w:t>RTX</w:t>
            </w:r>
            <w:r>
              <w:rPr>
                <w:rFonts w:cs="Times New Roman"/>
                <w:sz w:val="20"/>
                <w:szCs w:val="20"/>
              </w:rPr>
              <w:t xml:space="preserve">, </w:t>
            </w:r>
            <w:proofErr w:type="spellStart"/>
            <w:r>
              <w:rPr>
                <w:rFonts w:cs="Times New Roman"/>
                <w:sz w:val="20"/>
                <w:szCs w:val="20"/>
              </w:rPr>
              <w:t>CsA</w:t>
            </w:r>
            <w:proofErr w:type="spellEnd"/>
            <w:r>
              <w:rPr>
                <w:rFonts w:cs="Times New Roman"/>
                <w:sz w:val="20"/>
                <w:szCs w:val="20"/>
              </w:rPr>
              <w:t>; NR, deterioration of renal function</w:t>
            </w:r>
            <w:r>
              <w:rPr>
                <w:rFonts w:cs="Times New Roman"/>
                <w:sz w:val="20"/>
                <w:szCs w:val="20"/>
              </w:rPr>
              <w:br/>
              <w:t>Pt4 – CS, CHL; CR</w:t>
            </w:r>
          </w:p>
          <w:p w14:paraId="2F8CA25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 5 – CS, </w:t>
            </w:r>
            <w:proofErr w:type="spellStart"/>
            <w:r>
              <w:rPr>
                <w:rFonts w:cs="Times New Roman"/>
                <w:sz w:val="20"/>
                <w:szCs w:val="20"/>
              </w:rPr>
              <w:t>CsA</w:t>
            </w:r>
            <w:proofErr w:type="spellEnd"/>
            <w:r>
              <w:rPr>
                <w:rFonts w:cs="Times New Roman"/>
                <w:sz w:val="20"/>
                <w:szCs w:val="20"/>
              </w:rPr>
              <w:t>; PR with maintenance therapy</w:t>
            </w:r>
          </w:p>
        </w:tc>
      </w:tr>
      <w:tr w:rsidR="00CC1AC5" w14:paraId="723CCC3A"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537BA1BB" w14:textId="31002181"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Troxell, 2008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{"citationItems":[{"id":"ITEM-1","itemData":{"DOI":"10.1038/modpathol.3801011","ISSN":"08933952","PMID":"18223556","abstract":"Hematopoietic cell transplantation-associated renal injury may be related to a combination of factors including chemotherapy, radiation, infection, immunosuppressive agents, ischemia, and graft-versus-host disease. Renal biopsy specimens from hematopoietic cell transplant recipients at two institutions (Stanford University Medical Center and Oregon Health &amp; Science University) were reviewed in correlation with clinical data. Fifteen cases were identified (post hematopoietic cell transplant time 0.7-14.5 years), including six with autologous hematopoietic cell transplant. Indications for renal biopsy included proteinuria (n=13; nephrotic range in 8), increased serum creatinine (n=10), or both (n=6). Many patients had multiple pathologic findings on renal biopsy. Membranous glomerulonephritis was the most common diagnosis (n=7), including two patients with autologous hematopoietic cell transplant and five with evidence of chronic graft-versus-host disease elsewhere. Four membranous glomerulonephritis patients achieved sustained remission with rituximab therapy. Other glomerular pathology included focal segmental glomerulosclerosis (n=1) and minimal change disease (n=1). Evidence of thrombotic microangiopathy was common (in isolation or combined with other pathology), as was acute tubular necrosis and tubulointerstitial nephritis. Of 14 patients with follow-up (2-64 months, mean 19 months), 6 had chronic renal insufficiency (serum creatinine &gt;1.5 mg/dl), 2 had end stage renal disease, and 6 had essentially normal renal function. Our retrospective study shows that renal dysfunction in hematopoietic cell transplant recipients is often multifactorial, and biopsy may reveal treatable causes. Membranous glomerulonephritis is seen in autologous and allogeneic hematopoietic cell transplant recipients, and may respond to anti-B-cell therapy, which has implications regarding pathogenesis and relationship to graft-versus-host disease. © 2008 USCAP, Inc All rights reserved.","author":[{"dropping-particle":"","family":"Troxell","given":"Megan L.","non-dropping-particle":"","parse-names":false,"suffix":""},{"dropping-particle":"","family":"Pilapil","given":"Maricel","non-dropping-particle":"","parse-names":false,"suffix":""},{"dropping-particle":"","family":"Miklos","given":"David B.","non-dropping-particle":"","parse-names":false,"suffix":""},{"dropping-particle":"","family":"Higgins","given":"John P.","non-dropping-particle":"","parse-names":false,"suffix":""},{"dropping-particle":"","family":"Kambham","given":"Neeraja","non-dropping-particle":"","parse-names":false,"suffix":""}],"container-title":"Modern Pathology","id":"ITEM-1","issue":"4","issued":{"date-parts":[["2008"]]},"page":"396-406","title":"Renal pathology in hematopoietic cell transplantation recipients","type":"article-journal","volume":"21"},"uris":["http://www.mendeley.com/documents/?uuid=cfbe3cf5-eddc-432d-844b-22ecf987ae5a"]}],"mendeley":{"formattedCitation":"(29)","plainTextFormattedCitation":"(29)","previouslyFormattedCitation":"(28)"},"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(39)</w:t>
            </w:r>
            <w:r w:rsidRPr="0015063D">
              <w:rPr>
                <w:rFonts w:cs="Times New Roman"/>
                <w:b w:val="0"/>
                <w:bCs w:val="0"/>
                <w:sz w:val="20"/>
                <w:szCs w:val="20"/>
              </w:rPr>
              <w:fldChar w:fldCharType="end"/>
            </w:r>
          </w:p>
        </w:tc>
        <w:tc>
          <w:tcPr>
            <w:tcW w:w="1175" w:type="dxa"/>
            <w:tcBorders>
              <w:top w:val="single" w:sz="4" w:space="0" w:color="7F7F7F" w:themeColor="text1" w:themeTint="80"/>
              <w:bottom w:val="single" w:sz="4" w:space="0" w:color="7F7F7F" w:themeColor="text1" w:themeTint="80"/>
            </w:tcBorders>
          </w:tcPr>
          <w:p w14:paraId="48F85F3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7 (4 female, 3 male)</w:t>
            </w:r>
          </w:p>
        </w:tc>
        <w:tc>
          <w:tcPr>
            <w:tcW w:w="1313" w:type="dxa"/>
            <w:tcBorders>
              <w:top w:val="single" w:sz="4" w:space="0" w:color="7F7F7F" w:themeColor="text1" w:themeTint="80"/>
              <w:bottom w:val="single" w:sz="4" w:space="0" w:color="7F7F7F" w:themeColor="text1" w:themeTint="80"/>
            </w:tcBorders>
          </w:tcPr>
          <w:p w14:paraId="7B6AC55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5 y</w:t>
            </w:r>
            <w:r>
              <w:rPr>
                <w:rFonts w:cs="Times New Roman"/>
                <w:sz w:val="20"/>
                <w:szCs w:val="20"/>
              </w:rPr>
              <w:br/>
              <w:t>Pt2 – 2 y</w:t>
            </w:r>
          </w:p>
          <w:p w14:paraId="4A2138B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5 y</w:t>
            </w:r>
          </w:p>
          <w:p w14:paraId="778A124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2.5 y</w:t>
            </w:r>
            <w:r>
              <w:rPr>
                <w:rFonts w:cs="Times New Roman"/>
                <w:sz w:val="20"/>
                <w:szCs w:val="20"/>
              </w:rPr>
              <w:br/>
              <w:t>Pt5 – 2 y</w:t>
            </w:r>
            <w:r>
              <w:rPr>
                <w:rFonts w:cs="Times New Roman"/>
                <w:sz w:val="20"/>
                <w:szCs w:val="20"/>
              </w:rPr>
              <w:br/>
              <w:t>Pt6 – 2.9 y</w:t>
            </w:r>
          </w:p>
          <w:p w14:paraId="06ED394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Pt7 – 1.75 y</w:t>
            </w:r>
          </w:p>
        </w:tc>
        <w:tc>
          <w:tcPr>
            <w:tcW w:w="1559" w:type="dxa"/>
            <w:tcBorders>
              <w:top w:val="single" w:sz="4" w:space="0" w:color="7F7F7F" w:themeColor="text1" w:themeTint="80"/>
              <w:bottom w:val="single" w:sz="4" w:space="0" w:color="7F7F7F" w:themeColor="text1" w:themeTint="80"/>
            </w:tcBorders>
          </w:tcPr>
          <w:p w14:paraId="55BAB42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769E1CD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3-4g/d</w:t>
            </w:r>
            <w:r>
              <w:rPr>
                <w:rFonts w:cs="Times New Roman"/>
                <w:sz w:val="20"/>
                <w:szCs w:val="20"/>
              </w:rPr>
              <w:br/>
              <w:t>Pt2 – 3-4 g/d</w:t>
            </w:r>
            <w:r>
              <w:rPr>
                <w:rFonts w:cs="Times New Roman"/>
                <w:sz w:val="20"/>
                <w:szCs w:val="20"/>
              </w:rPr>
              <w:br/>
              <w:t>Pt3 – 15 g/d</w:t>
            </w:r>
          </w:p>
          <w:p w14:paraId="2AC4B0A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14 g/d</w:t>
            </w:r>
          </w:p>
          <w:p w14:paraId="56B8F29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 18-21 g/d</w:t>
            </w:r>
          </w:p>
          <w:p w14:paraId="103E9BF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Pt6 – 14 g/d</w:t>
            </w:r>
          </w:p>
          <w:p w14:paraId="4CF20CC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 7 – 4 g/d</w:t>
            </w:r>
          </w:p>
          <w:p w14:paraId="7CE1E58B" w14:textId="77777777" w:rsidR="00CC1AC5" w:rsidRDefault="00CC1AC5">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818" w:type="dxa"/>
            <w:tcBorders>
              <w:top w:val="single" w:sz="4" w:space="0" w:color="7F7F7F" w:themeColor="text1" w:themeTint="80"/>
              <w:bottom w:val="single" w:sz="4" w:space="0" w:color="7F7F7F" w:themeColor="text1" w:themeTint="80"/>
            </w:tcBorders>
          </w:tcPr>
          <w:p w14:paraId="012FF3D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27AB548E"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72D79B4F"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unknown</w:t>
            </w:r>
          </w:p>
          <w:p w14:paraId="546E153B" w14:textId="2BEE2F32"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w:t>
            </w:r>
            <w:r w:rsidR="00957A58">
              <w:rPr>
                <w:rFonts w:cs="Times New Roman"/>
                <w:sz w:val="20"/>
                <w:szCs w:val="20"/>
              </w:rPr>
              <w:t>RTX</w:t>
            </w:r>
            <w:r>
              <w:rPr>
                <w:rFonts w:cs="Times New Roman"/>
                <w:sz w:val="20"/>
                <w:szCs w:val="20"/>
              </w:rPr>
              <w:br/>
              <w:t>Pt3 - unknown</w:t>
            </w:r>
          </w:p>
          <w:p w14:paraId="1E314D7B" w14:textId="6B955C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 PS, </w:t>
            </w:r>
            <w:r w:rsidR="00957A58">
              <w:rPr>
                <w:rFonts w:cs="Times New Roman"/>
                <w:sz w:val="20"/>
                <w:szCs w:val="20"/>
              </w:rPr>
              <w:t>RTX</w:t>
            </w:r>
          </w:p>
          <w:p w14:paraId="64762160" w14:textId="5C09301F"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Pt5 – PS, MMF, </w:t>
            </w:r>
            <w:r w:rsidR="00957A58">
              <w:rPr>
                <w:rFonts w:cs="Times New Roman"/>
                <w:sz w:val="20"/>
                <w:szCs w:val="20"/>
              </w:rPr>
              <w:t>RTX</w:t>
            </w:r>
          </w:p>
          <w:p w14:paraId="22EB5AD6"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Pt6 – PS, MMF</w:t>
            </w:r>
          </w:p>
          <w:p w14:paraId="3A0879FE" w14:textId="67880EDE"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Pt7 - </w:t>
            </w:r>
            <w:r w:rsidR="00957A58">
              <w:rPr>
                <w:rFonts w:cs="Times New Roman"/>
                <w:sz w:val="20"/>
                <w:szCs w:val="20"/>
              </w:rPr>
              <w:t>RTX</w:t>
            </w:r>
          </w:p>
        </w:tc>
      </w:tr>
      <w:tr w:rsidR="00CC1AC5" w14:paraId="12613BBF" w14:textId="77777777" w:rsidTr="001F7C54">
        <w:tc>
          <w:tcPr>
            <w:cnfStyle w:val="001000000000" w:firstRow="0" w:lastRow="0" w:firstColumn="1" w:lastColumn="0" w:oddVBand="0" w:evenVBand="0" w:oddHBand="0" w:evenHBand="0" w:firstRowFirstColumn="0" w:firstRowLastColumn="0" w:lastRowFirstColumn="0" w:lastRowLastColumn="0"/>
            <w:tcW w:w="1765" w:type="dxa"/>
          </w:tcPr>
          <w:p w14:paraId="2173CDCD" w14:textId="69C230FD" w:rsidR="00CC1AC5" w:rsidRPr="0015063D" w:rsidRDefault="00000000">
            <w:pPr>
              <w:spacing w:after="0" w:line="240" w:lineRule="auto"/>
              <w:jc w:val="center"/>
              <w:rPr>
                <w:rFonts w:cs="Times New Roman"/>
                <w:sz w:val="20"/>
                <w:szCs w:val="20"/>
              </w:rPr>
            </w:pPr>
            <w:r w:rsidRPr="009E5CC5">
              <w:rPr>
                <w:rFonts w:cs="Times New Roman"/>
                <w:sz w:val="20"/>
                <w:szCs w:val="20"/>
              </w:rPr>
              <w:lastRenderedPageBreak/>
              <w:t xml:space="preserve">Wong, 2016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{"citationItems":[{"id":"ITEM-1","itemData":{"DOI":"10.1111/imj.13098","ISSN":"14455994","PMID":"27257151","abstract":"Nephrotic syndrome (NS) is a rare complication following allogeneic haemopoietic stem cell transplantation (allo-HSCT), with limited current understanding of its pathogenesis. Here, we describe four cases of NS following allo-HSCT diagnosed at our institutions to identify key clinical and pathological features. In addition, a PubMed search was performed to identify existing reports that were pooled together with our cases for analysis. NS occurred as a late complication following allo-HSCT, with median onset 19.5months after transplant (range: 3.9-84months). The most common histopathology observed was membranous nephropathy; however, cases of minimal change disease have also been reported. There is a high incidence of prior extra-renal graft-versus-host disease (GvHD), with all four of our cases and 82% of published cases having prior GvHD. Glucocorticosteroids are the most common treatment, with variable degrees of response. Responses to immunosuppression with calcineurin inhibitors and rituximab have been described in steroid-refractory cases.","author":[{"dropping-particle":"","family":"Wong","given":"E.","non-dropping-particle":"","parse-names":false,"suffix":""},{"dropping-particle":"","family":"Lasica","given":"M.","non-dropping-particle":"","parse-names":false,"suffix":""},{"dropping-particle":"","family":"He","given":"S. Z.","non-dropping-particle":"","parse-names":false,"suffix":""},{"dropping-particle":"","family":"Bajel","given":"A.","non-dropping-particle":"","parse-names":false,"suffix":""},{"dropping-particle":"","family":"Roberts","given":"A. W.","non-dropping-particle":"","parse-names":false,"suffix":""},{"dropping-particle":"","family":"Mason","given":"K. D.","non-dropping-particle":"","parse-names":false,"suffix":""},{"dropping-particle":"","family":"Ritchie","given":"D. S.","non-dropping-particle":"","parse-names":false,"suffix":""},{"dropping-particle":"","family":"Szer","given":"J.","non-dropping-particle":"","parse-names":false,"suffix":""}],"container-title":"Internal Medicine Journal","id":"ITEM-1","issue":"6","issued":{"date-parts":[["2016"]]},"page":"737-741","title":"Nephrotic syndrome as a complication of chronic graft-versus-host disease after allogeneic haemopoietic stem cell transplantation","type":"article-journal","volume":"46"},"uris":["http://www.mendeley.com/documents/?uuid=007d3f6b-63ea-4ebc-a0b2-e7fbf741dd9d"]}],"mendeley":{"formattedCitation":"(30)","plainTextFormattedCitation":"(30)","previouslyFormattedCitation":"(29)"},"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(40)</w:t>
            </w:r>
            <w:r w:rsidRPr="0015063D">
              <w:rPr>
                <w:rFonts w:cs="Times New Roman"/>
                <w:b w:val="0"/>
                <w:bCs w:val="0"/>
                <w:sz w:val="20"/>
                <w:szCs w:val="20"/>
              </w:rPr>
              <w:fldChar w:fldCharType="end"/>
            </w:r>
            <w:r w:rsidRPr="009E5CC5">
              <w:rPr>
                <w:rFonts w:cs="Times New Roman"/>
                <w:sz w:val="20"/>
                <w:szCs w:val="20"/>
              </w:rPr>
              <w:t xml:space="preserve"> </w:t>
            </w:r>
          </w:p>
        </w:tc>
        <w:tc>
          <w:tcPr>
            <w:tcW w:w="1175" w:type="dxa"/>
          </w:tcPr>
          <w:p w14:paraId="72AAE758"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4 (2 male, 2 female)</w:t>
            </w:r>
          </w:p>
        </w:tc>
        <w:tc>
          <w:tcPr>
            <w:tcW w:w="1313" w:type="dxa"/>
          </w:tcPr>
          <w:p w14:paraId="217A0BD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Pt1 - 18 </w:t>
            </w:r>
            <w:proofErr w:type="spellStart"/>
            <w:r>
              <w:rPr>
                <w:rFonts w:cs="Times New Roman"/>
                <w:sz w:val="20"/>
                <w:szCs w:val="20"/>
              </w:rPr>
              <w:t>mo</w:t>
            </w:r>
            <w:proofErr w:type="spellEnd"/>
          </w:p>
          <w:p w14:paraId="6223F35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Pt2 - 1 y</w:t>
            </w:r>
          </w:p>
          <w:p w14:paraId="183A5294"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Pt3 - 10 </w:t>
            </w:r>
            <w:proofErr w:type="spellStart"/>
            <w:r>
              <w:rPr>
                <w:rFonts w:cs="Times New Roman"/>
                <w:sz w:val="20"/>
                <w:szCs w:val="20"/>
              </w:rPr>
              <w:t>mo</w:t>
            </w:r>
            <w:proofErr w:type="spellEnd"/>
          </w:p>
          <w:p w14:paraId="107EBDA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Pt4 - 36 </w:t>
            </w:r>
            <w:proofErr w:type="spellStart"/>
            <w:r>
              <w:rPr>
                <w:rFonts w:cs="Times New Roman"/>
                <w:sz w:val="20"/>
                <w:szCs w:val="20"/>
              </w:rPr>
              <w:t>mo</w:t>
            </w:r>
            <w:proofErr w:type="spellEnd"/>
          </w:p>
        </w:tc>
        <w:tc>
          <w:tcPr>
            <w:tcW w:w="1559" w:type="dxa"/>
          </w:tcPr>
          <w:p w14:paraId="693F5B6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Peripheral edema and proteinuria:</w:t>
            </w:r>
          </w:p>
          <w:p w14:paraId="3EA187A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Pt1 - 16 g/d</w:t>
            </w:r>
          </w:p>
          <w:p w14:paraId="55DE15B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Pt2 - 30.6 g/d</w:t>
            </w:r>
          </w:p>
          <w:p w14:paraId="43F3031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Pt3 - 7 g/d</w:t>
            </w:r>
          </w:p>
          <w:p w14:paraId="5CCA506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Pt4 - 3 g/d</w:t>
            </w:r>
          </w:p>
        </w:tc>
        <w:tc>
          <w:tcPr>
            <w:tcW w:w="818" w:type="dxa"/>
          </w:tcPr>
          <w:p w14:paraId="587AC74C"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Pr>
          <w:p w14:paraId="793C8692"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Ab negative</w:t>
            </w:r>
          </w:p>
          <w:p w14:paraId="220398AF"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Ab negative</w:t>
            </w:r>
          </w:p>
          <w:p w14:paraId="7F053EF9"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and 4 - ND</w:t>
            </w:r>
          </w:p>
        </w:tc>
        <w:tc>
          <w:tcPr>
            <w:tcW w:w="3828" w:type="dxa"/>
          </w:tcPr>
          <w:p w14:paraId="074DC8A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w:t>
            </w:r>
            <w:proofErr w:type="spellStart"/>
            <w:r>
              <w:rPr>
                <w:rFonts w:cs="Times New Roman"/>
                <w:sz w:val="20"/>
                <w:szCs w:val="20"/>
              </w:rPr>
              <w:t>ACEi</w:t>
            </w:r>
            <w:proofErr w:type="spellEnd"/>
            <w:r>
              <w:rPr>
                <w:rFonts w:cs="Times New Roman"/>
                <w:sz w:val="20"/>
                <w:szCs w:val="20"/>
              </w:rPr>
              <w:t>, PSL; PR</w:t>
            </w:r>
          </w:p>
          <w:p w14:paraId="4E175B40" w14:textId="69AF5348"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PSL, </w:t>
            </w:r>
            <w:proofErr w:type="spellStart"/>
            <w:r>
              <w:rPr>
                <w:rFonts w:cs="Times New Roman"/>
                <w:sz w:val="20"/>
                <w:szCs w:val="20"/>
              </w:rPr>
              <w:t>ACEi</w:t>
            </w:r>
            <w:proofErr w:type="spellEnd"/>
            <w:r>
              <w:rPr>
                <w:rFonts w:cs="Times New Roman"/>
                <w:sz w:val="20"/>
                <w:szCs w:val="20"/>
              </w:rPr>
              <w:t xml:space="preserve">, MMF; no initial response; </w:t>
            </w:r>
            <w:r w:rsidR="00957A58">
              <w:rPr>
                <w:rFonts w:cs="Times New Roman"/>
                <w:sz w:val="20"/>
                <w:szCs w:val="20"/>
              </w:rPr>
              <w:t>RTX</w:t>
            </w:r>
            <w:r>
              <w:rPr>
                <w:rFonts w:cs="Times New Roman"/>
                <w:sz w:val="20"/>
                <w:szCs w:val="20"/>
              </w:rPr>
              <w:t>; PR</w:t>
            </w:r>
            <w:r>
              <w:rPr>
                <w:rFonts w:cs="Times New Roman"/>
                <w:sz w:val="20"/>
                <w:szCs w:val="20"/>
              </w:rPr>
              <w:br/>
              <w:t xml:space="preserve">Pt3 – </w:t>
            </w:r>
            <w:proofErr w:type="spellStart"/>
            <w:r>
              <w:rPr>
                <w:rFonts w:cs="Times New Roman"/>
                <w:sz w:val="20"/>
                <w:szCs w:val="20"/>
              </w:rPr>
              <w:t>CsA</w:t>
            </w:r>
            <w:proofErr w:type="spellEnd"/>
            <w:r>
              <w:rPr>
                <w:rFonts w:cs="Times New Roman"/>
                <w:sz w:val="20"/>
                <w:szCs w:val="20"/>
              </w:rPr>
              <w:t xml:space="preserve">, PSL, </w:t>
            </w:r>
            <w:proofErr w:type="spellStart"/>
            <w:r>
              <w:rPr>
                <w:rFonts w:cs="Times New Roman"/>
                <w:sz w:val="20"/>
                <w:szCs w:val="20"/>
              </w:rPr>
              <w:t>ACEi</w:t>
            </w:r>
            <w:proofErr w:type="spellEnd"/>
            <w:r>
              <w:rPr>
                <w:rFonts w:cs="Times New Roman"/>
                <w:sz w:val="20"/>
                <w:szCs w:val="20"/>
              </w:rPr>
              <w:t>; CR</w:t>
            </w:r>
          </w:p>
          <w:p w14:paraId="71148302" w14:textId="061ADBEF"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PS with initial PR;</w:t>
            </w:r>
            <w:r w:rsidR="00957A58">
              <w:rPr>
                <w:rFonts w:cs="Times New Roman"/>
                <w:sz w:val="20"/>
                <w:szCs w:val="20"/>
              </w:rPr>
              <w:t xml:space="preserve"> Tac</w:t>
            </w:r>
            <w:r>
              <w:rPr>
                <w:rFonts w:cs="Times New Roman"/>
                <w:sz w:val="20"/>
                <w:szCs w:val="20"/>
              </w:rPr>
              <w:t xml:space="preserve"> with CR</w:t>
            </w:r>
          </w:p>
          <w:p w14:paraId="3AF2DEFC" w14:textId="77777777" w:rsidR="00CC1AC5" w:rsidRDefault="00CC1AC5">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CC1AC5" w14:paraId="1B84CC33" w14:textId="77777777" w:rsidTr="001F7C54">
        <w:tc>
          <w:tcPr>
            <w:cnfStyle w:val="001000000000" w:firstRow="0" w:lastRow="0" w:firstColumn="1" w:lastColumn="0" w:oddVBand="0" w:evenVBand="0" w:oddHBand="0" w:evenHBand="0" w:firstRowFirstColumn="0" w:firstRowLastColumn="0" w:lastRowFirstColumn="0" w:lastRowLastColumn="0"/>
            <w:tcW w:w="1765" w:type="dxa"/>
            <w:tcBorders>
              <w:top w:val="single" w:sz="4" w:space="0" w:color="7F7F7F" w:themeColor="text1" w:themeTint="80"/>
              <w:bottom w:val="single" w:sz="4" w:space="0" w:color="7F7F7F" w:themeColor="text1" w:themeTint="80"/>
            </w:tcBorders>
          </w:tcPr>
          <w:p w14:paraId="373DCBD4" w14:textId="3E5148F4" w:rsidR="00CC1AC5" w:rsidRPr="0015063D" w:rsidRDefault="00000000">
            <w:pPr>
              <w:spacing w:after="0" w:line="240" w:lineRule="auto"/>
              <w:jc w:val="center"/>
              <w:rPr>
                <w:rFonts w:cs="Times New Roman"/>
                <w:sz w:val="20"/>
                <w:szCs w:val="20"/>
              </w:rPr>
            </w:pPr>
            <w:r w:rsidRPr="009E5CC5">
              <w:rPr>
                <w:rFonts w:cs="Times New Roman"/>
                <w:sz w:val="20"/>
                <w:szCs w:val="20"/>
              </w:rPr>
              <w:t xml:space="preserve">Yap, 2022 </w:t>
            </w:r>
            <w:r w:rsidRPr="009E5CC5">
              <w:rPr>
                <w:rFonts w:cs="Times New Roman"/>
                <w:b w:val="0"/>
                <w:bCs w:val="0"/>
                <w:sz w:val="20"/>
                <w:szCs w:val="20"/>
              </w:rPr>
              <w:fldChar w:fldCharType="begin" w:fldLock="1"/>
            </w:r>
            <w:r w:rsidRPr="009E5CC5">
              <w:rPr>
                <w:rFonts w:cs="Times New Roman"/>
                <w:sz w:val="20"/>
                <w:szCs w:val="20"/>
              </w:rPr>
              <w:instrText>ADDIN CSL_CITATION {"citationItems":[{"id":"ITEM-1","itemData":{"DOI":"10.1093/ckj/sfac264","ISSN":"2048-8505","abstract":"Abstract\n               \n                  Introduction\n                  Various glomerular pathologies have been reported in patients who have undergone haematopoietic stem cell transplantation (HSCT), but the data on clinico-pathological correlations and clinical outcome remain limited.\n               \n               \n                  Methods\n                  We analysed the clinical and histopathological data of patients who had biopsy-proven de novo glomerular diseases after HSCT since 1999.\n               \n               \n                  Results\n                  A total of 2204 patients underwent HSCT during the period 1999–2021, and 31 patients (1.4%) developed de novo glomerular diseases after a mean duration of 2.8 ± 2.7 years after HSCT. Fifteen patients (48.4%) had graft-versus-host-disease (GVHD) prior to or concomitant with renal abnormalities. Proteinuria and eGFR at the time of kidney biopsy were 4.1 ± 5.3 g/D and 50.8 ± 25.4 ml/min/1.73m2 respectively. Kidney histopathologic diagnoses included thrombotic microangiopathy (TMA) (38.7%), membranous nephropathy (MN) (25.8%), mesangial proliferative glomerulonephritis (MesPGN) (12.9%), minimal change disease (9.7%), focal segmental glomerulosclerosis (9.7%) and membranoproliferative glomerulonephritis (3.2%)Immunosuppressive treatment was given to patients who presented with nephrotic-range proteinuria and/or acute kidney injury, while renin-angiotensin-aldosterone blockade was given to all patients with proteinuria ≥ 1 g/D, with complete and partial response rates of 54.8% and 19.4% respectively. One patient with TMA progressed to end-stage kidney disease after 24 weeks, and 2 patients, 1 with TMA and 1 with MN, (6.4%) progressed to CKD Stage ≥ 3. Kidney and patient survival rates were 96.6% and 83.5% at 5-year.\n               \n               \n                  Conclusion\n                  De novo glomerular diseases with diverse histopathologic manifestations affect 1.4% of patients after HSCT, and approximately 10% develop progressive CKD.\n               ","author":[{"dropping-particle":"","family":"Yap","given":"Desmond Y H","non-dropping-particle":"","parse-names":false,"suffix":""},{"dropping-particle":"","family":"Lie","given":"Davina","non-dropping-particle":"","parse-names":false,"suffix":""},{"dropping-particle":"","family":"Lau","given":"Tiffany","non-dropping-particle":"","parse-names":false,"suffix":""},{"dropping-particle":"","family":"Tang","given":"Alex","non-dropping-particle":"","parse-names":false,"suffix":""},{"dropping-particle":"","family":"Chan","given":"Gavin","non-dropping-particle":"","parse-names":false,"suffix":""},{"dropping-particle":"","family":"Chan","given":"Thomas S Y","non-dropping-particle":"","parse-names":false,"suffix":""},{"dropping-particle":"","family":"Sim","given":"Joycelyn","non-dropping-particle":"","parse-names":false,"suffix":""},{"dropping-particle":"","family":"Lie","given":"Albert K W","non-dropping-particle":"","parse-names":false,"suffix":""},{"dropping-particle":"","family":"Chan","given":"Tak Mao","non-dropping-particle":"","parse-names":false,"suffix":""}],"container-title":"Clinical Kidney Journal","id":"ITEM-1","issue":"6","issued":{"date-parts":[["2022"]]},"page":"976-984","title":" Clinico-pathological correlations and outcomes of de novo glomerular diseases in patients after haematopoietic stem cell transplantation ","type":"article-journal","volume":"16"},"uris":["http://www.mendeley.com/documents/?uuid=48add41b-f30e-4b55-9f27-4f01ddc5e0dd"]}],"mendeley":{"formattedCitation":"(31)","plainTextFormattedCitation":"(31)","previouslyFormattedCitation":"(30)"},"properties":{"noteIndex":0},"schema":"https://github.com/citation-style-language/schema/raw/master/csl-citation.json"}</w:instrText>
            </w:r>
            <w:r w:rsidRPr="0015063D">
              <w:rPr>
                <w:rFonts w:cs="Times New Roman"/>
                <w:b w:val="0"/>
                <w:bCs w:val="0"/>
                <w:sz w:val="20"/>
                <w:szCs w:val="20"/>
              </w:rPr>
              <w:fldChar w:fldCharType="separate"/>
            </w:r>
            <w:r w:rsidRPr="009E5CC5">
              <w:rPr>
                <w:rFonts w:cs="Times New Roman"/>
                <w:sz w:val="20"/>
                <w:szCs w:val="20"/>
              </w:rPr>
              <w:t>(41)</w:t>
            </w:r>
            <w:r w:rsidRPr="0015063D">
              <w:rPr>
                <w:rFonts w:cs="Times New Roman"/>
                <w:b w:val="0"/>
                <w:bCs w:val="0"/>
                <w:sz w:val="20"/>
                <w:szCs w:val="20"/>
              </w:rPr>
              <w:fldChar w:fldCharType="end"/>
            </w:r>
            <w:r w:rsidRPr="009E5CC5">
              <w:rPr>
                <w:rFonts w:cs="Times New Roman"/>
                <w:sz w:val="20"/>
                <w:szCs w:val="20"/>
              </w:rPr>
              <w:t xml:space="preserve"> </w:t>
            </w:r>
          </w:p>
        </w:tc>
        <w:tc>
          <w:tcPr>
            <w:tcW w:w="1175" w:type="dxa"/>
            <w:tcBorders>
              <w:top w:val="single" w:sz="4" w:space="0" w:color="7F7F7F" w:themeColor="text1" w:themeTint="80"/>
              <w:bottom w:val="single" w:sz="4" w:space="0" w:color="7F7F7F" w:themeColor="text1" w:themeTint="80"/>
            </w:tcBorders>
          </w:tcPr>
          <w:p w14:paraId="58C15BC1"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8 (sex unknown)</w:t>
            </w:r>
          </w:p>
        </w:tc>
        <w:tc>
          <w:tcPr>
            <w:tcW w:w="1313" w:type="dxa"/>
            <w:tcBorders>
              <w:top w:val="single" w:sz="4" w:space="0" w:color="7F7F7F" w:themeColor="text1" w:themeTint="80"/>
              <w:bottom w:val="single" w:sz="4" w:space="0" w:color="7F7F7F" w:themeColor="text1" w:themeTint="80"/>
            </w:tcBorders>
          </w:tcPr>
          <w:p w14:paraId="0CE9EFDB"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Pt1 - 1.6y</w:t>
            </w:r>
          </w:p>
          <w:p w14:paraId="05A357E3" w14:textId="7AAE4002"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–2y</w:t>
            </w:r>
          </w:p>
          <w:p w14:paraId="666F6333"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Pt3 - 4.5 y</w:t>
            </w:r>
          </w:p>
          <w:p w14:paraId="5A3D7D2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Pt4 - 2.7 y</w:t>
            </w:r>
          </w:p>
          <w:p w14:paraId="03F75B60" w14:textId="09DA75B4"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 5 y</w:t>
            </w:r>
          </w:p>
          <w:p w14:paraId="43791E4F" w14:textId="1CE2404D"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Pt6 – 11y</w:t>
            </w:r>
          </w:p>
          <w:p w14:paraId="188C8B87" w14:textId="2EC98F82"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Pt7 – 3y</w:t>
            </w:r>
          </w:p>
          <w:p w14:paraId="62D170D0"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Pt8 - 0.9y</w:t>
            </w:r>
          </w:p>
        </w:tc>
        <w:tc>
          <w:tcPr>
            <w:tcW w:w="1559" w:type="dxa"/>
            <w:tcBorders>
              <w:top w:val="single" w:sz="4" w:space="0" w:color="7F7F7F" w:themeColor="text1" w:themeTint="80"/>
              <w:bottom w:val="single" w:sz="4" w:space="0" w:color="7F7F7F" w:themeColor="text1" w:themeTint="80"/>
            </w:tcBorders>
          </w:tcPr>
          <w:p w14:paraId="17E1D34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Proteinuria:</w:t>
            </w:r>
          </w:p>
          <w:p w14:paraId="4D73EE7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Pt1 - 3.13 g/d</w:t>
            </w:r>
          </w:p>
          <w:p w14:paraId="7391101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Pt2 - 5.45 g/d</w:t>
            </w:r>
          </w:p>
          <w:p w14:paraId="1F243F85"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Pt3 - 2.26 g/d</w:t>
            </w:r>
          </w:p>
          <w:p w14:paraId="4CA5851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Pt4 - 4.42 g/d</w:t>
            </w:r>
          </w:p>
          <w:p w14:paraId="04EFB0E8"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Pt5 - 7.3 g/d</w:t>
            </w:r>
          </w:p>
          <w:p w14:paraId="7A6256D2"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Pt6 - 1.05 g/d</w:t>
            </w:r>
          </w:p>
          <w:p w14:paraId="29A9AC6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Pt7 - 10.55 g/d</w:t>
            </w:r>
          </w:p>
          <w:p w14:paraId="6D46C2E7"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Pt8 - 7.62 g/d</w:t>
            </w:r>
          </w:p>
        </w:tc>
        <w:tc>
          <w:tcPr>
            <w:tcW w:w="818" w:type="dxa"/>
            <w:tcBorders>
              <w:top w:val="single" w:sz="4" w:space="0" w:color="7F7F7F" w:themeColor="text1" w:themeTint="80"/>
              <w:bottom w:val="single" w:sz="4" w:space="0" w:color="7F7F7F" w:themeColor="text1" w:themeTint="80"/>
            </w:tcBorders>
          </w:tcPr>
          <w:p w14:paraId="4EB00490"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2442" w:type="dxa"/>
            <w:tcBorders>
              <w:top w:val="single" w:sz="4" w:space="0" w:color="7F7F7F" w:themeColor="text1" w:themeTint="80"/>
              <w:bottom w:val="single" w:sz="4" w:space="0" w:color="7F7F7F" w:themeColor="text1" w:themeTint="80"/>
            </w:tcBorders>
          </w:tcPr>
          <w:p w14:paraId="51ABF0D6" w14:textId="77777777" w:rsidR="00CC1AC5"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ND</w:t>
            </w:r>
          </w:p>
        </w:tc>
        <w:tc>
          <w:tcPr>
            <w:tcW w:w="3828" w:type="dxa"/>
            <w:tcBorders>
              <w:top w:val="single" w:sz="4" w:space="0" w:color="7F7F7F" w:themeColor="text1" w:themeTint="80"/>
              <w:bottom w:val="single" w:sz="4" w:space="0" w:color="7F7F7F" w:themeColor="text1" w:themeTint="80"/>
            </w:tcBorders>
          </w:tcPr>
          <w:p w14:paraId="4C432A7E"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Pt1 - PSL, </w:t>
            </w:r>
            <w:proofErr w:type="spellStart"/>
            <w:r>
              <w:rPr>
                <w:rFonts w:cs="Times New Roman"/>
                <w:sz w:val="20"/>
                <w:szCs w:val="20"/>
              </w:rPr>
              <w:t>CsA</w:t>
            </w:r>
            <w:proofErr w:type="spellEnd"/>
            <w:r>
              <w:rPr>
                <w:rFonts w:cs="Times New Roman"/>
                <w:sz w:val="20"/>
                <w:szCs w:val="20"/>
              </w:rPr>
              <w:t>; CR</w:t>
            </w:r>
          </w:p>
          <w:p w14:paraId="47C1FB11"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Pt2 - PSL, </w:t>
            </w:r>
            <w:proofErr w:type="spellStart"/>
            <w:r>
              <w:rPr>
                <w:rFonts w:cs="Times New Roman"/>
                <w:sz w:val="20"/>
                <w:szCs w:val="20"/>
              </w:rPr>
              <w:t>CsA</w:t>
            </w:r>
            <w:proofErr w:type="spellEnd"/>
            <w:r>
              <w:rPr>
                <w:rFonts w:cs="Times New Roman"/>
                <w:sz w:val="20"/>
                <w:szCs w:val="20"/>
              </w:rPr>
              <w:t>; CR</w:t>
            </w:r>
          </w:p>
          <w:p w14:paraId="77C9861A"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Pt3 - PSL, </w:t>
            </w:r>
            <w:proofErr w:type="spellStart"/>
            <w:r>
              <w:rPr>
                <w:rFonts w:cs="Times New Roman"/>
                <w:sz w:val="20"/>
                <w:szCs w:val="20"/>
              </w:rPr>
              <w:t>CsA</w:t>
            </w:r>
            <w:proofErr w:type="spellEnd"/>
            <w:r>
              <w:rPr>
                <w:rFonts w:cs="Times New Roman"/>
                <w:sz w:val="20"/>
                <w:szCs w:val="20"/>
              </w:rPr>
              <w:t>, MMF; CR but died later</w:t>
            </w:r>
            <w:r>
              <w:rPr>
                <w:rFonts w:cs="Times New Roman"/>
                <w:sz w:val="20"/>
                <w:szCs w:val="20"/>
              </w:rPr>
              <w:br/>
              <w:t xml:space="preserve">Pt4 - PSL, MMF; </w:t>
            </w:r>
            <w:proofErr w:type="gramStart"/>
            <w:r>
              <w:rPr>
                <w:rFonts w:cs="Times New Roman"/>
                <w:sz w:val="20"/>
                <w:szCs w:val="20"/>
              </w:rPr>
              <w:t>CR</w:t>
            </w:r>
            <w:proofErr w:type="gramEnd"/>
          </w:p>
          <w:p w14:paraId="092A85DD"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Pt5 - MMF, </w:t>
            </w:r>
            <w:proofErr w:type="spellStart"/>
            <w:r>
              <w:rPr>
                <w:rFonts w:cs="Times New Roman"/>
                <w:sz w:val="20"/>
                <w:szCs w:val="20"/>
              </w:rPr>
              <w:t>CsA</w:t>
            </w:r>
            <w:proofErr w:type="spellEnd"/>
            <w:r>
              <w:rPr>
                <w:rFonts w:cs="Times New Roman"/>
                <w:sz w:val="20"/>
                <w:szCs w:val="20"/>
              </w:rPr>
              <w:t>; CR</w:t>
            </w:r>
            <w:r>
              <w:rPr>
                <w:rFonts w:cs="Times New Roman"/>
                <w:sz w:val="20"/>
                <w:szCs w:val="20"/>
              </w:rPr>
              <w:br/>
              <w:t>Pt6 - RAAS blockade; CR</w:t>
            </w:r>
          </w:p>
          <w:p w14:paraId="3F5E30D9" w14:textId="77777777" w:rsidR="00CC1AC5" w:rsidRDefault="00000000">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Pt7 - RAAS blockade; PR</w:t>
            </w:r>
            <w:r>
              <w:rPr>
                <w:rFonts w:cs="Times New Roman"/>
                <w:sz w:val="20"/>
                <w:szCs w:val="20"/>
              </w:rPr>
              <w:br/>
              <w:t xml:space="preserve">Pt8 - PSL, </w:t>
            </w:r>
            <w:proofErr w:type="spellStart"/>
            <w:r>
              <w:rPr>
                <w:rFonts w:cs="Times New Roman"/>
                <w:sz w:val="20"/>
                <w:szCs w:val="20"/>
              </w:rPr>
              <w:t>CsA</w:t>
            </w:r>
            <w:proofErr w:type="spellEnd"/>
            <w:r>
              <w:rPr>
                <w:rFonts w:cs="Times New Roman"/>
                <w:sz w:val="20"/>
                <w:szCs w:val="20"/>
              </w:rPr>
              <w:t>, MMF; PR, died later</w:t>
            </w:r>
            <w:r>
              <w:rPr>
                <w:rFonts w:cs="Times New Roman"/>
                <w:sz w:val="20"/>
                <w:szCs w:val="20"/>
              </w:rPr>
              <w:br/>
            </w:r>
          </w:p>
        </w:tc>
      </w:tr>
    </w:tbl>
    <w:p w14:paraId="509A926C" w14:textId="4F740D15" w:rsidR="00CC1AC5" w:rsidRDefault="00000000">
      <w:pPr>
        <w:jc w:val="both"/>
        <w:rPr>
          <w:rFonts w:cs="Times New Roman"/>
          <w:sz w:val="20"/>
          <w:szCs w:val="20"/>
        </w:rPr>
      </w:pPr>
      <w:r>
        <w:rPr>
          <w:rFonts w:cs="Times New Roman"/>
          <w:sz w:val="20"/>
          <w:szCs w:val="20"/>
        </w:rPr>
        <w:t>Ab - negative – antibody negative, AZA – azathioprine, CHL – chlorambucil,  CR – complete remission, CS- corticosteroid</w:t>
      </w:r>
      <w:r w:rsidR="009E5CC5">
        <w:rPr>
          <w:rFonts w:cs="Times New Roman"/>
          <w:sz w:val="20"/>
          <w:szCs w:val="20"/>
        </w:rPr>
        <w:t xml:space="preserve"> </w:t>
      </w:r>
      <w:r>
        <w:rPr>
          <w:rFonts w:cs="Times New Roman"/>
          <w:sz w:val="20"/>
          <w:szCs w:val="20"/>
        </w:rPr>
        <w:t xml:space="preserve">unspecified in original article, </w:t>
      </w:r>
      <w:proofErr w:type="spellStart"/>
      <w:r>
        <w:rPr>
          <w:rFonts w:cs="Times New Roman"/>
          <w:sz w:val="20"/>
          <w:szCs w:val="20"/>
        </w:rPr>
        <w:t>CsA</w:t>
      </w:r>
      <w:proofErr w:type="spellEnd"/>
      <w:r>
        <w:rPr>
          <w:rFonts w:cs="Times New Roman"/>
          <w:sz w:val="20"/>
          <w:szCs w:val="20"/>
        </w:rPr>
        <w:t xml:space="preserve"> – cyclosporine A, CP – cyclophosphamide, d - day/s, </w:t>
      </w:r>
      <w:r w:rsidR="00957A58">
        <w:rPr>
          <w:rFonts w:cs="Times New Roman"/>
          <w:sz w:val="20"/>
          <w:szCs w:val="20"/>
        </w:rPr>
        <w:t xml:space="preserve">Tac </w:t>
      </w:r>
      <w:r>
        <w:rPr>
          <w:rFonts w:cs="Times New Roman"/>
          <w:sz w:val="20"/>
          <w:szCs w:val="20"/>
        </w:rPr>
        <w:t xml:space="preserve">– tacrolimus, HD – hemodialysis, IVIG – intravenous immunoglobulins, MMF – mycophenolate mofetil, </w:t>
      </w:r>
      <w:proofErr w:type="spellStart"/>
      <w:r>
        <w:rPr>
          <w:rFonts w:cs="Times New Roman"/>
          <w:sz w:val="20"/>
          <w:szCs w:val="20"/>
        </w:rPr>
        <w:t>mo</w:t>
      </w:r>
      <w:proofErr w:type="spellEnd"/>
      <w:r>
        <w:rPr>
          <w:rFonts w:cs="Times New Roman"/>
          <w:sz w:val="20"/>
          <w:szCs w:val="20"/>
        </w:rPr>
        <w:t xml:space="preserve"> - month/s, </w:t>
      </w:r>
      <w:proofErr w:type="spellStart"/>
      <w:r>
        <w:rPr>
          <w:rFonts w:cs="Times New Roman"/>
          <w:sz w:val="20"/>
          <w:szCs w:val="20"/>
        </w:rPr>
        <w:t>mPSL</w:t>
      </w:r>
      <w:proofErr w:type="spellEnd"/>
      <w:r>
        <w:rPr>
          <w:rFonts w:cs="Times New Roman"/>
          <w:sz w:val="20"/>
          <w:szCs w:val="20"/>
        </w:rPr>
        <w:t xml:space="preserve"> – </w:t>
      </w:r>
      <w:bookmarkStart w:id="0" w:name="_Hlk160977751"/>
      <w:r>
        <w:rPr>
          <w:rFonts w:cs="Times New Roman"/>
          <w:sz w:val="20"/>
          <w:szCs w:val="20"/>
        </w:rPr>
        <w:t>methylprednisolone</w:t>
      </w:r>
      <w:bookmarkEnd w:id="0"/>
      <w:r>
        <w:rPr>
          <w:rFonts w:cs="Times New Roman"/>
          <w:sz w:val="20"/>
          <w:szCs w:val="20"/>
        </w:rPr>
        <w:t xml:space="preserve">, ND – Not Determined, PE – plasma exchange, PR- partial remission, PS – prednisone, PSL – prednisolone,  </w:t>
      </w:r>
      <w:proofErr w:type="spellStart"/>
      <w:r>
        <w:rPr>
          <w:rFonts w:cs="Times New Roman"/>
          <w:sz w:val="20"/>
          <w:szCs w:val="20"/>
        </w:rPr>
        <w:t>pt</w:t>
      </w:r>
      <w:proofErr w:type="spellEnd"/>
      <w:r>
        <w:rPr>
          <w:rFonts w:cs="Times New Roman"/>
          <w:sz w:val="20"/>
          <w:szCs w:val="20"/>
        </w:rPr>
        <w:t>(s)– patient(s),</w:t>
      </w:r>
      <w:r w:rsidR="009E5CC5">
        <w:rPr>
          <w:rFonts w:cs="Times New Roman"/>
          <w:sz w:val="20"/>
          <w:szCs w:val="20"/>
        </w:rPr>
        <w:t xml:space="preserve"> RTX- rituximab</w:t>
      </w:r>
      <w:r w:rsidR="00957A58">
        <w:rPr>
          <w:rFonts w:cs="Times New Roman"/>
          <w:sz w:val="20"/>
          <w:szCs w:val="20"/>
        </w:rPr>
        <w:t>,</w:t>
      </w:r>
      <w:r>
        <w:rPr>
          <w:rFonts w:cs="Times New Roman"/>
          <w:sz w:val="20"/>
          <w:szCs w:val="20"/>
        </w:rPr>
        <w:t xml:space="preserve"> TA-TMA – transplantation – associated thrombotic microangiopathy, TTP – thrombotic thrombocytopenic purpura; TW – </w:t>
      </w:r>
      <w:r>
        <w:rPr>
          <w:rFonts w:cs="Times New Roman"/>
          <w:i/>
          <w:iCs/>
          <w:sz w:val="20"/>
          <w:szCs w:val="20"/>
        </w:rPr>
        <w:t xml:space="preserve">Tripterygium </w:t>
      </w:r>
      <w:proofErr w:type="spellStart"/>
      <w:r>
        <w:rPr>
          <w:rFonts w:cs="Times New Roman"/>
          <w:i/>
          <w:iCs/>
          <w:sz w:val="20"/>
          <w:szCs w:val="20"/>
        </w:rPr>
        <w:t>wilfordii</w:t>
      </w:r>
      <w:proofErr w:type="spellEnd"/>
      <w:r>
        <w:rPr>
          <w:rFonts w:cs="Times New Roman"/>
          <w:sz w:val="20"/>
          <w:szCs w:val="20"/>
        </w:rPr>
        <w:t>, y - year/s, DXM – dexamethasone</w:t>
      </w:r>
    </w:p>
    <w:p w14:paraId="54F02787" w14:textId="77777777" w:rsidR="00CC1AC5" w:rsidRDefault="00000000">
      <w:pPr>
        <w:rPr>
          <w:rFonts w:cs="Times New Roman"/>
          <w:sz w:val="20"/>
          <w:szCs w:val="20"/>
        </w:rPr>
      </w:pPr>
      <w:r>
        <w:rPr>
          <w:rFonts w:cs="Times New Roman"/>
          <w:sz w:val="20"/>
          <w:szCs w:val="20"/>
        </w:rPr>
        <w:t xml:space="preserve">y - year/s, </w:t>
      </w:r>
      <w:proofErr w:type="spellStart"/>
      <w:r>
        <w:rPr>
          <w:rFonts w:cs="Times New Roman"/>
          <w:sz w:val="20"/>
          <w:szCs w:val="20"/>
        </w:rPr>
        <w:t>mo</w:t>
      </w:r>
      <w:proofErr w:type="spellEnd"/>
      <w:r>
        <w:rPr>
          <w:rFonts w:cs="Times New Roman"/>
          <w:sz w:val="20"/>
          <w:szCs w:val="20"/>
        </w:rPr>
        <w:t xml:space="preserve"> - month/s, d - day/s</w:t>
      </w:r>
      <w:r>
        <w:rPr>
          <w:rFonts w:cs="Times New Roman"/>
          <w:sz w:val="20"/>
          <w:szCs w:val="20"/>
        </w:rPr>
        <w:br/>
        <w:t>*patients are part of an MN NS pattern group</w:t>
      </w:r>
    </w:p>
    <w:p w14:paraId="1C294E45" w14:textId="2E365A8C" w:rsidR="00CC1AC5" w:rsidRDefault="006C5B32">
      <w:pPr>
        <w:rPr>
          <w:rFonts w:cs="Times New Roman"/>
          <w:sz w:val="20"/>
          <w:szCs w:val="20"/>
        </w:rPr>
      </w:pPr>
      <w:r>
        <w:rPr>
          <w:rFonts w:cs="Times New Roman"/>
          <w:sz w:val="20"/>
          <w:szCs w:val="20"/>
        </w:rPr>
        <w:t>Supplemental References</w:t>
      </w:r>
    </w:p>
    <w:p w14:paraId="77AC79F1" w14:textId="77777777" w:rsidR="00CC1AC5" w:rsidRDefault="00000000" w:rsidP="001F7C54">
      <w:pPr>
        <w:widowControl w:val="0"/>
        <w:numPr>
          <w:ilvl w:val="0"/>
          <w:numId w:val="2"/>
        </w:numPr>
        <w:autoSpaceDE w:val="0"/>
        <w:autoSpaceDN w:val="0"/>
        <w:adjustRightInd w:val="0"/>
        <w:spacing w:before="100" w:beforeAutospacing="1" w:after="100" w:afterAutospacing="1" w:line="240" w:lineRule="auto"/>
        <w:ind w:left="360"/>
        <w:rPr>
          <w:rFonts w:cs="Times New Roman"/>
        </w:rPr>
      </w:pPr>
      <w:proofErr w:type="spellStart"/>
      <w:r>
        <w:rPr>
          <w:rFonts w:cs="Times New Roman"/>
        </w:rPr>
        <w:t>Abudayyeh</w:t>
      </w:r>
      <w:proofErr w:type="spellEnd"/>
      <w:r>
        <w:rPr>
          <w:rFonts w:cs="Times New Roman"/>
        </w:rPr>
        <w:t xml:space="preserve"> A, Truong LD, Beck LH, Weber DM, </w:t>
      </w:r>
      <w:proofErr w:type="spellStart"/>
      <w:r>
        <w:rPr>
          <w:rFonts w:cs="Times New Roman"/>
        </w:rPr>
        <w:t>Rezvani</w:t>
      </w:r>
      <w:proofErr w:type="spellEnd"/>
      <w:r>
        <w:rPr>
          <w:rFonts w:cs="Times New Roman"/>
        </w:rPr>
        <w:t xml:space="preserve"> K, </w:t>
      </w:r>
      <w:proofErr w:type="spellStart"/>
      <w:r>
        <w:rPr>
          <w:rFonts w:cs="Times New Roman"/>
        </w:rPr>
        <w:t>Abdelrahim</w:t>
      </w:r>
      <w:proofErr w:type="spellEnd"/>
      <w:r>
        <w:rPr>
          <w:rFonts w:cs="Times New Roman"/>
        </w:rPr>
        <w:t xml:space="preserve"> M. Membranous nephropathy in autologous hematopoietic stem cell transplant: Autologous graft-versus-host disease or autoimmunity induction? Clin Kidney J. 2015;8(4):440–4. doi:10.1093/</w:t>
      </w:r>
      <w:proofErr w:type="spellStart"/>
      <w:r>
        <w:rPr>
          <w:rFonts w:cs="Times New Roman"/>
        </w:rPr>
        <w:t>ckj</w:t>
      </w:r>
      <w:proofErr w:type="spellEnd"/>
      <w:r>
        <w:rPr>
          <w:rFonts w:cs="Times New Roman"/>
        </w:rPr>
        <w:t>/sfv036</w:t>
      </w:r>
    </w:p>
    <w:p w14:paraId="2ECEFA54" w14:textId="77777777" w:rsidR="00CC1AC5" w:rsidRDefault="00000000">
      <w:pPr>
        <w:pStyle w:val="ListParagraph"/>
        <w:numPr>
          <w:ilvl w:val="0"/>
          <w:numId w:val="2"/>
        </w:numPr>
        <w:ind w:left="360"/>
        <w:rPr>
          <w:rFonts w:cs="Times New Roman"/>
        </w:rPr>
      </w:pPr>
      <w:r w:rsidRPr="001F7C54">
        <w:rPr>
          <w:rFonts w:cs="Times New Roman"/>
        </w:rPr>
        <w:fldChar w:fldCharType="begin" w:fldLock="1"/>
      </w:r>
      <w:r>
        <w:rPr>
          <w:rFonts w:cs="Times New Roman"/>
        </w:rPr>
        <w:instrText xml:space="preserve">ADDIN Mendeley Bibliography CSL_BIBLIOGRAPHY </w:instrText>
      </w:r>
      <w:r w:rsidRPr="001F7C54">
        <w:rPr>
          <w:rFonts w:cs="Times New Roman"/>
        </w:rPr>
        <w:fldChar w:fldCharType="separate"/>
      </w:r>
      <w:r>
        <w:rPr>
          <w:rFonts w:cs="Times New Roman"/>
        </w:rPr>
        <w:t>Bai MC, Wu JJ, Miao KR, Zhu JF, Mao HJ. Nephrotic syndrome in syngeneic hematopoietic stem cell transplantation recipients: A case report. World J Clin Cases. 2021;9(3):614–22. doi:10.12998/wjcc.v9.i3.614</w:t>
      </w:r>
    </w:p>
    <w:p w14:paraId="55663205" w14:textId="77777777" w:rsidR="00CC1AC5" w:rsidRDefault="00000000" w:rsidP="001F7C54">
      <w:pPr>
        <w:pStyle w:val="ListParagraph"/>
        <w:numPr>
          <w:ilvl w:val="0"/>
          <w:numId w:val="2"/>
        </w:numPr>
        <w:ind w:left="360"/>
        <w:rPr>
          <w:rFonts w:cs="Times New Roman"/>
        </w:rPr>
      </w:pPr>
      <w:r>
        <w:rPr>
          <w:rFonts w:cs="Times New Roman"/>
        </w:rPr>
        <w:t>Beyar-Katz  O,  Kruzel Davila E, Zukerman T, Fineman R, Haddad N, Okasha D et al. Nephrotic syndrome after hematopoietic stem cell transplantation: a single center experience. Minerva Med. 2015;106(6):355-7.</w:t>
      </w:r>
    </w:p>
    <w:p w14:paraId="4C99CAEC" w14:textId="77777777" w:rsidR="00CC1AC5" w:rsidRDefault="00000000" w:rsidP="001F7C54">
      <w:pPr>
        <w:pStyle w:val="ListParagraph"/>
        <w:numPr>
          <w:ilvl w:val="0"/>
          <w:numId w:val="2"/>
        </w:numPr>
        <w:ind w:left="360"/>
        <w:rPr>
          <w:rFonts w:cs="Times New Roman"/>
          <w:sz w:val="20"/>
          <w:szCs w:val="24"/>
        </w:rPr>
      </w:pPr>
      <w:r>
        <w:rPr>
          <w:rFonts w:cs="Times New Roman"/>
        </w:rPr>
        <w:t>Byrne-Dugan C, Collins B, Lam AQ, Batal I, Membranous Nephropathy as a Manifestation of Graft-Versus-Host Disease: Association With HLA Antigen Typing, Phospholipase A2 Receptor, and C4d. AJKD.2014;64(6):987-993.doi:10.1053/j.ajkd.2014.09.001 Available at: https://www.sciencedirect.com/science/article/pii/S0272638614011822</w:t>
      </w:r>
    </w:p>
    <w:p w14:paraId="0B08532E" w14:textId="77777777" w:rsidR="00CC1AC5" w:rsidRDefault="00000000" w:rsidP="001F7C54">
      <w:pPr>
        <w:pStyle w:val="ListParagraph"/>
        <w:numPr>
          <w:ilvl w:val="0"/>
          <w:numId w:val="2"/>
        </w:numPr>
        <w:ind w:left="360"/>
        <w:rPr>
          <w:rFonts w:cs="Times New Roman"/>
        </w:rPr>
      </w:pPr>
      <w:r>
        <w:rPr>
          <w:rFonts w:cs="Times New Roman"/>
        </w:rPr>
        <w:t>Chan GSW, Lam MF, Au WY, Chim S, Tse KC, Lo SHK, et al. Clinicopathologic analysis of renal biopsies after haematopoietic stem cell transplantation. Nephrology. 2008;13(4):322–30. doi:10.1111/j.1440-1797.2007.00915.x</w:t>
      </w:r>
    </w:p>
    <w:p w14:paraId="596BB18C" w14:textId="77777777" w:rsidR="00CC1AC5" w:rsidRDefault="00000000" w:rsidP="001F7C54">
      <w:pPr>
        <w:pStyle w:val="ListParagraph"/>
        <w:numPr>
          <w:ilvl w:val="0"/>
          <w:numId w:val="2"/>
        </w:numPr>
        <w:ind w:left="360"/>
        <w:rPr>
          <w:rFonts w:cs="Times New Roman"/>
        </w:rPr>
      </w:pPr>
      <w:r>
        <w:rPr>
          <w:rFonts w:cs="Times New Roman"/>
        </w:rPr>
        <w:lastRenderedPageBreak/>
        <w:t>Cho YH, Kang SH, Kim Y, Lee MH, An GH, Chung BH, et al. De novo glomerulitis associated with graft-versus-host disease after allogeneic hematopoietic stem cell transplantation: A single-center experience. Kidney Res Clin Pract [Internet]. 2013;32(3):121–6. doi:10.1016/j.krcp.2013.07.004 Available from: http://dx.doi.org/10.1016/j.krcp.2013.07.004</w:t>
      </w:r>
    </w:p>
    <w:p w14:paraId="13873DA6" w14:textId="77777777" w:rsidR="00CC1AC5" w:rsidRDefault="00000000" w:rsidP="001F7C54">
      <w:pPr>
        <w:pStyle w:val="ListParagraph"/>
        <w:numPr>
          <w:ilvl w:val="0"/>
          <w:numId w:val="2"/>
        </w:numPr>
        <w:ind w:left="360"/>
        <w:rPr>
          <w:rFonts w:cs="Times New Roman"/>
        </w:rPr>
      </w:pPr>
      <w:r>
        <w:rPr>
          <w:rFonts w:cs="Times New Roman"/>
        </w:rPr>
        <w:t>Colombo AA, Rusconi C, Esposito C, Bernasconi P, Caldera D, Lazzarino M, et al. Nephrotic syndrome after allogeneic hematopoietic stem cell transplantation as a late complication of chronic graft-versus-host disease. Transplantation. 2006;81(8):1087–92. doi:10.1097/01.tp.0000209496.26639.cb</w:t>
      </w:r>
    </w:p>
    <w:p w14:paraId="4654D176" w14:textId="77777777" w:rsidR="00CC1AC5" w:rsidRDefault="00000000" w:rsidP="001F7C54">
      <w:pPr>
        <w:pStyle w:val="ListParagraph"/>
        <w:numPr>
          <w:ilvl w:val="0"/>
          <w:numId w:val="2"/>
        </w:numPr>
        <w:ind w:left="360"/>
        <w:rPr>
          <w:rFonts w:cs="Times New Roman"/>
        </w:rPr>
      </w:pPr>
      <w:r>
        <w:rPr>
          <w:rFonts w:cs="Times New Roman"/>
        </w:rPr>
        <w:t>Ferrannini M, Vischini G, Di Daniele N. Rituximab in membranous nephropathy after haematopoietic stem cell transplantation. Nephrol Dial Transplant. 2008;23(8):2699–700. doi:10.1093/ndt/gfn202</w:t>
      </w:r>
    </w:p>
    <w:p w14:paraId="3EF472A2" w14:textId="77777777" w:rsidR="00CC1AC5" w:rsidRDefault="00000000" w:rsidP="001F7C54">
      <w:pPr>
        <w:pStyle w:val="ListParagraph"/>
        <w:numPr>
          <w:ilvl w:val="0"/>
          <w:numId w:val="2"/>
        </w:numPr>
        <w:ind w:left="360"/>
        <w:rPr>
          <w:rFonts w:cs="Times New Roman"/>
          <w:sz w:val="20"/>
          <w:szCs w:val="24"/>
        </w:rPr>
      </w:pPr>
      <w:r>
        <w:rPr>
          <w:rFonts w:cs="Times New Roman"/>
          <w:lang w:val="hr-HR" w:eastAsia="hr-HR"/>
        </w:rPr>
        <w:t>Fraile P, Vazquez L, Caballero D, </w:t>
      </w:r>
      <w:r>
        <w:rPr>
          <w:rFonts w:cs="Times New Roman"/>
        </w:rPr>
        <w:t xml:space="preserve">Garcia-Cosmes P, Lopez L, San Miguel J et. al. </w:t>
      </w:r>
      <w:r>
        <w:rPr>
          <w:rFonts w:cs="Times New Roman"/>
          <w:lang w:val="hr-HR" w:eastAsia="hr-HR"/>
        </w:rPr>
        <w:t xml:space="preserve">Chronic graft-versus-host disease of the kidney in patients with allogenic hematopoietic stem cell transplant. </w:t>
      </w:r>
      <w:r>
        <w:rPr>
          <w:rFonts w:cs="Times New Roman"/>
          <w:color w:val="707070"/>
          <w:lang w:val="hr-HR" w:eastAsia="hr-HR"/>
        </w:rPr>
        <w:t>Eur J Haematol; 2013; 91:129-34.</w:t>
      </w:r>
    </w:p>
    <w:p w14:paraId="42DE97BA" w14:textId="77777777" w:rsidR="00CC1AC5" w:rsidRDefault="00000000" w:rsidP="001F7C54">
      <w:pPr>
        <w:pStyle w:val="ListParagraph"/>
        <w:numPr>
          <w:ilvl w:val="0"/>
          <w:numId w:val="2"/>
        </w:numPr>
        <w:ind w:left="360"/>
        <w:rPr>
          <w:rFonts w:cs="Times New Roman"/>
        </w:rPr>
      </w:pPr>
      <w:r>
        <w:rPr>
          <w:rFonts w:cs="Times New Roman"/>
        </w:rPr>
        <w:t>Han JH, Kim HR, Kim GJ, Lim BJ, Jeong HJ, Oh HJ, et al. A case of membranous nephropathy as a manifestation of graft-versus-host disease. Kidney Res Clin Pract [Internet]. 2013;32(1):39–42. doi:10.1016/j.krcp.2012.09.008 Available from: http://dx.doi.org/10.1016/j.krcp.2012.09.008</w:t>
      </w:r>
    </w:p>
    <w:p w14:paraId="706FA378" w14:textId="77777777" w:rsidR="00CC1AC5" w:rsidRDefault="00000000" w:rsidP="001F7C54">
      <w:pPr>
        <w:pStyle w:val="ListParagraph"/>
        <w:numPr>
          <w:ilvl w:val="0"/>
          <w:numId w:val="2"/>
        </w:numPr>
        <w:ind w:left="360"/>
        <w:rPr>
          <w:rFonts w:cs="Times New Roman"/>
          <w:sz w:val="20"/>
          <w:szCs w:val="24"/>
        </w:rPr>
      </w:pPr>
      <w:r>
        <w:rPr>
          <w:rFonts w:cs="Times New Roman"/>
        </w:rPr>
        <w:t>Hiramatsu R, Ubara Y, Sawa N, Hasegawa E, Kawada M, Imafuku A, et al. Clinicopathological analysis of allogeneic hematopoietic stem cell transplantation-related membranous glomerulonephritis. Hum Pathol [Internet]. 2016;50:187–94. doi:10.1016/j.humpath.2015.12.005 Available from: http://dx.doi.org/10.1016/j.humpath.2015.12.005</w:t>
      </w:r>
    </w:p>
    <w:p w14:paraId="05DF17D3" w14:textId="77777777" w:rsidR="00CC1AC5" w:rsidRDefault="00000000" w:rsidP="001F7C54">
      <w:pPr>
        <w:pStyle w:val="ListParagraph"/>
        <w:numPr>
          <w:ilvl w:val="0"/>
          <w:numId w:val="2"/>
        </w:numPr>
        <w:ind w:left="360"/>
        <w:rPr>
          <w:rFonts w:cs="Times New Roman"/>
          <w:sz w:val="20"/>
          <w:szCs w:val="24"/>
        </w:rPr>
      </w:pPr>
      <w:r>
        <w:rPr>
          <w:rFonts w:cs="Times New Roman"/>
        </w:rPr>
        <w:t>Huang X, Qin W, Zhang M, Zheng C, Zeng C, Liu Z. Detection of anti-PLA2R autoantibodies and igg subclasses in post-allogeneic hematopoietic stem cell transplantation membranous nephropathy. Am J Med Sci [Internet]. 2013;346(1):32–7. doi:10.1097/MAJ.0b013e318267b5cd Available from: http://dx.doi.org/10.1097/MAJ.0b013e318267b5cd</w:t>
      </w:r>
    </w:p>
    <w:p w14:paraId="5AA1BC6A" w14:textId="77777777" w:rsidR="00CC1AC5" w:rsidRDefault="00000000" w:rsidP="001F7C54">
      <w:pPr>
        <w:pStyle w:val="ListParagraph"/>
        <w:numPr>
          <w:ilvl w:val="0"/>
          <w:numId w:val="2"/>
        </w:numPr>
        <w:ind w:left="360"/>
        <w:rPr>
          <w:rFonts w:cs="Times New Roman"/>
        </w:rPr>
      </w:pPr>
      <w:r>
        <w:rPr>
          <w:rFonts w:cs="Times New Roman"/>
        </w:rPr>
        <w:t>Ishikawa Y, Nishio S, Sasaki H, Kudo R, Goto H, Ito M, et al. Transplantation-associated thrombotic microangiopathy after steroid pulse therapy for polyserositis related to graft-versus-host disease. Clin Exp Nephrol. 2011;15(1):179–83. doi:10.1007/s10157-010-0376-</w:t>
      </w:r>
    </w:p>
    <w:p w14:paraId="09C60248" w14:textId="77777777" w:rsidR="00CC1AC5" w:rsidRDefault="00000000" w:rsidP="001F7C54">
      <w:pPr>
        <w:pStyle w:val="ListParagraph"/>
        <w:numPr>
          <w:ilvl w:val="0"/>
          <w:numId w:val="2"/>
        </w:numPr>
        <w:ind w:left="360"/>
        <w:rPr>
          <w:rFonts w:cs="Times New Roman"/>
        </w:rPr>
      </w:pPr>
      <w:r>
        <w:rPr>
          <w:rFonts w:cs="Times New Roman"/>
        </w:rPr>
        <w:t>John EE, Roy S, Devasia AJ, Karuppusami R, Jose N, Mani SSR, et al. Patterns of Renal Dysfunction and Profile of Kidney Biopsies in Hematopoietic Stem Cell Transplant Recipients. Glomerular Dis. 2023;3(1):9–30. doi:10.1159/000529699</w:t>
      </w:r>
    </w:p>
    <w:p w14:paraId="0C523A7C" w14:textId="77777777" w:rsidR="00CC1AC5" w:rsidRDefault="00000000" w:rsidP="001F7C54">
      <w:pPr>
        <w:pStyle w:val="ListParagraph"/>
        <w:numPr>
          <w:ilvl w:val="0"/>
          <w:numId w:val="2"/>
        </w:numPr>
        <w:ind w:left="360"/>
        <w:rPr>
          <w:rFonts w:cs="Times New Roman"/>
        </w:rPr>
      </w:pPr>
      <w:r>
        <w:rPr>
          <w:rFonts w:cs="Times New Roman"/>
        </w:rPr>
        <w:t>Kaminska D, Bernat B, Vakulenko O, Kuzniar J, Tyran B, Suchnicki K, et al. Glomerular lesion and increased cytokine gene expression in renal tissue in patients with decompensated nephrotic syndrome due to chronic GvHD. Ren Fail. 2010;32(4):510–4. doi:10.3109/08860221003664256</w:t>
      </w:r>
    </w:p>
    <w:p w14:paraId="499A4E9C" w14:textId="77777777" w:rsidR="00CC1AC5" w:rsidRDefault="00000000" w:rsidP="001F7C54">
      <w:pPr>
        <w:pStyle w:val="ListParagraph"/>
        <w:numPr>
          <w:ilvl w:val="0"/>
          <w:numId w:val="2"/>
        </w:numPr>
        <w:ind w:left="360"/>
        <w:rPr>
          <w:rFonts w:cs="Times New Roman"/>
        </w:rPr>
      </w:pPr>
      <w:r>
        <w:rPr>
          <w:rFonts w:cs="Times New Roman"/>
        </w:rPr>
        <w:t>Kemper MJ, Güngör T, Halter J, Schanz U, Neuhaus TJ. Favorable long-term outcome of nephrotic syndrome after allogeneic hematopoietic stem cell transplantation. Clin Nephrol. 2007;67(1):5–11. doi:10.5414/CNP67005</w:t>
      </w:r>
    </w:p>
    <w:p w14:paraId="3FC68CEA" w14:textId="77777777" w:rsidR="00CC1AC5" w:rsidRDefault="00000000" w:rsidP="001F7C54">
      <w:pPr>
        <w:pStyle w:val="ListParagraph"/>
        <w:numPr>
          <w:ilvl w:val="0"/>
          <w:numId w:val="2"/>
        </w:numPr>
        <w:ind w:left="360"/>
        <w:rPr>
          <w:rFonts w:cs="Times New Roman"/>
        </w:rPr>
      </w:pPr>
      <w:r>
        <w:rPr>
          <w:rFonts w:cs="Times New Roman"/>
        </w:rPr>
        <w:t>Kim KW, Yoon CH, Kay CS, Kim HJ, Suh KS, Kim SY, et al. Membranous Nephropathy after Allogeneic Hematopoietic Stem Cell Transplantation in a Patient with Aplastic Anemia : A Case Report. J Korean Med Sci. 2003;18(2):287–9. doi:10.3346/jkms.2003.18.2.287</w:t>
      </w:r>
    </w:p>
    <w:p w14:paraId="3F18C978" w14:textId="77777777" w:rsidR="00CC1AC5" w:rsidRDefault="00000000" w:rsidP="001F7C54">
      <w:pPr>
        <w:pStyle w:val="ListParagraph"/>
        <w:numPr>
          <w:ilvl w:val="0"/>
          <w:numId w:val="2"/>
        </w:numPr>
        <w:ind w:left="360"/>
        <w:rPr>
          <w:rFonts w:cs="Times New Roman"/>
        </w:rPr>
      </w:pPr>
      <w:r>
        <w:rPr>
          <w:rFonts w:cs="Times New Roman"/>
        </w:rPr>
        <w:t>Kitamura M, Hisano S, Kurobe Y, Abe S, Ota Y, Sawayama Y, et al. Membranous nephropathy with crescent after hematopoietic cell transplantation. Intern Med. 2019;58(1):91–6. doi:10.2169/internalmedicine.1251-18</w:t>
      </w:r>
    </w:p>
    <w:p w14:paraId="34F5DFFA" w14:textId="77777777" w:rsidR="00CC1AC5" w:rsidRDefault="00000000" w:rsidP="001F7C54">
      <w:pPr>
        <w:pStyle w:val="ListParagraph"/>
        <w:numPr>
          <w:ilvl w:val="0"/>
          <w:numId w:val="2"/>
        </w:numPr>
        <w:ind w:left="360"/>
        <w:rPr>
          <w:rFonts w:cs="Times New Roman"/>
        </w:rPr>
      </w:pPr>
      <w:r>
        <w:rPr>
          <w:rFonts w:cs="Times New Roman"/>
          <w:shd w:val="clear" w:color="auto" w:fill="FFFFFF"/>
        </w:rPr>
        <w:lastRenderedPageBreak/>
        <w:t xml:space="preserve">Kudose S, Sekulic M, Mehring CJ, Santoriello D, Batal I, D'Agati V et al. NELL1-Associated Membranous Glomerulopathy After Hematopoietic Stem Cell Transplantation. </w:t>
      </w:r>
      <w:r w:rsidRPr="001F7C54">
        <w:rPr>
          <w:rFonts w:cs="Times New Roman"/>
          <w:iCs/>
          <w:shd w:val="clear" w:color="auto" w:fill="FFFFFF"/>
        </w:rPr>
        <w:t>Kidney Int Rep</w:t>
      </w:r>
      <w:r>
        <w:rPr>
          <w:rFonts w:cs="Times New Roman"/>
          <w:shd w:val="clear" w:color="auto" w:fill="FFFFFF"/>
        </w:rPr>
        <w:t xml:space="preserve">. 2021;6(7):1992-5. doi:10.1016/j.ekir.2021.04.033 Available from: </w:t>
      </w:r>
      <w:r>
        <w:rPr>
          <w:rFonts w:cs="Times New Roman"/>
        </w:rPr>
        <w:t>https://www.kireports.org/article/S2468-0249(21)01146-3/fulltext#appsec1</w:t>
      </w:r>
    </w:p>
    <w:p w14:paraId="579E5C6D" w14:textId="77777777" w:rsidR="00CC1AC5" w:rsidRDefault="00000000" w:rsidP="001F7C54">
      <w:pPr>
        <w:pStyle w:val="ListParagraph"/>
        <w:numPr>
          <w:ilvl w:val="0"/>
          <w:numId w:val="2"/>
        </w:numPr>
        <w:ind w:left="360"/>
        <w:rPr>
          <w:rFonts w:cs="Times New Roman"/>
        </w:rPr>
      </w:pPr>
      <w:r>
        <w:rPr>
          <w:rFonts w:cs="Times New Roman"/>
        </w:rPr>
        <w:t>Lam MF, Au WY, Tse KC, Chan TM, Chan GSW, Chan KW, et al. Late Onset Membranous Nephropathy Complicating Donor Lymphocyte Infusion for Leukaemia Relapse After Allogeneic Stem Cell Transplantation. Am J Hematol. 2007;82:327–33. doi:10.1017/9781108772297.029</w:t>
      </w:r>
    </w:p>
    <w:p w14:paraId="714C9CEF" w14:textId="77777777" w:rsidR="00CC1AC5" w:rsidRDefault="00000000" w:rsidP="001F7C54">
      <w:pPr>
        <w:pStyle w:val="ListParagraph"/>
        <w:numPr>
          <w:ilvl w:val="0"/>
          <w:numId w:val="2"/>
        </w:numPr>
        <w:ind w:left="360"/>
        <w:rPr>
          <w:rFonts w:cs="Times New Roman"/>
        </w:rPr>
      </w:pPr>
      <w:r>
        <w:rPr>
          <w:rFonts w:cs="Times New Roman"/>
        </w:rPr>
        <w:t>Masuzawa N, Nishimura A, Kitani T, Tamagaki K, Sugitani M, Nagoshi H, et al. A Case of the nephrotic syndrome in bone marrow transplantation recipient, histologically showing overlapped glomerular lesions of thrombotic microangiopathy and membranous nephropathy. Pathol Int. 2017;67(12):620–5. doi:10.1111/pin.1258</w:t>
      </w:r>
    </w:p>
    <w:p w14:paraId="232D66C6" w14:textId="77777777" w:rsidR="00CC1AC5" w:rsidRDefault="00000000" w:rsidP="001F7C54">
      <w:pPr>
        <w:pStyle w:val="ListParagraph"/>
        <w:numPr>
          <w:ilvl w:val="0"/>
          <w:numId w:val="2"/>
        </w:numPr>
        <w:ind w:left="360"/>
        <w:rPr>
          <w:rFonts w:cs="Times New Roman"/>
        </w:rPr>
      </w:pPr>
      <w:r>
        <w:rPr>
          <w:rFonts w:cs="Times New Roman"/>
        </w:rPr>
        <w:t>Miyazaki Y, Mori Y, Kishimoto N, Matsumoto N, Zen K, Amakawa R, et al. Membranous Nephropathy Associated with Donor Lymphocyte Infusion following Allogeneic Bone Marrow Transplantation. Int J Hematol. 2003;78(3):262–5. doi:10.1007/BF02983805</w:t>
      </w:r>
    </w:p>
    <w:p w14:paraId="1FCC8DC7" w14:textId="77777777" w:rsidR="00CC1AC5" w:rsidRDefault="00000000" w:rsidP="001F7C54">
      <w:pPr>
        <w:pStyle w:val="ListParagraph"/>
        <w:numPr>
          <w:ilvl w:val="0"/>
          <w:numId w:val="2"/>
        </w:numPr>
        <w:ind w:left="360"/>
        <w:rPr>
          <w:rFonts w:cs="Times New Roman"/>
        </w:rPr>
      </w:pPr>
      <w:r>
        <w:rPr>
          <w:rFonts w:cs="Times New Roman"/>
        </w:rPr>
        <w:t>Mrabet S, Aicha N Ben, Abdessayed N, Mokni M, Achour A. Membranous nephropathy succeeding autologous hematopoietic stem cell transplant: A case report. BMC Nephrol. 2018;19(1):1–4. doi:10.1186/s12882-018-0855-z</w:t>
      </w:r>
    </w:p>
    <w:p w14:paraId="0567C897" w14:textId="77777777" w:rsidR="00CC1AC5" w:rsidRDefault="00000000" w:rsidP="001F7C54">
      <w:pPr>
        <w:pStyle w:val="ListParagraph"/>
        <w:numPr>
          <w:ilvl w:val="0"/>
          <w:numId w:val="2"/>
        </w:numPr>
        <w:ind w:left="360"/>
        <w:rPr>
          <w:rFonts w:cs="Times New Roman"/>
        </w:rPr>
      </w:pPr>
      <w:r>
        <w:rPr>
          <w:rFonts w:cs="Times New Roman"/>
        </w:rPr>
        <w:t xml:space="preserve">Nergizoglu G, Keven K, Ates K, Ustun C, Tulunay O, Beksac M, et al. Chronic graft-versus-host disease complicated by membranous glomerulonephritis. Nephrol Dial Transplant. 1999;14:2461–3. </w:t>
      </w:r>
    </w:p>
    <w:p w14:paraId="7986EC4B" w14:textId="77777777" w:rsidR="00CC1AC5" w:rsidRDefault="00000000" w:rsidP="001F7C54">
      <w:pPr>
        <w:pStyle w:val="ListParagraph"/>
        <w:numPr>
          <w:ilvl w:val="0"/>
          <w:numId w:val="2"/>
        </w:numPr>
        <w:ind w:left="360"/>
        <w:rPr>
          <w:rFonts w:cs="Times New Roman"/>
        </w:rPr>
      </w:pPr>
      <w:r>
        <w:rPr>
          <w:rFonts w:cs="Times New Roman"/>
        </w:rPr>
        <w:t>Numata A, Morishita Y, Mori M, Saito O, Takemoto F, Ando Y, et al. De novo postallogeneic hematopoietic stem cell transplant membranous nephropathy. Exp Clin Transplant. 2013;11(1):75–8. doi:10.6002/ect.2012.0078</w:t>
      </w:r>
    </w:p>
    <w:p w14:paraId="4823F63A" w14:textId="77777777" w:rsidR="00CC1AC5" w:rsidRDefault="00000000" w:rsidP="001F7C54">
      <w:pPr>
        <w:pStyle w:val="ListParagraph"/>
        <w:numPr>
          <w:ilvl w:val="0"/>
          <w:numId w:val="2"/>
        </w:numPr>
        <w:ind w:left="360"/>
        <w:rPr>
          <w:rFonts w:cs="Times New Roman"/>
        </w:rPr>
      </w:pPr>
      <w:r>
        <w:rPr>
          <w:rFonts w:cs="Times New Roman"/>
        </w:rPr>
        <w:t>Pilar F, Lourdes V, Dolores C, Pedro GC, Lucia L, Jesus SM, et al. Chronic graft-versus-host disease of the kidney in patients with allogenic hematopoietic stem cell transplant. Eur J Haematol. 2013;91(2):129–34. doi:10.1111/ejh.12149</w:t>
      </w:r>
    </w:p>
    <w:p w14:paraId="26A9E803" w14:textId="77777777" w:rsidR="00CC1AC5" w:rsidRDefault="00000000" w:rsidP="001F7C54">
      <w:pPr>
        <w:pStyle w:val="ListParagraph"/>
        <w:numPr>
          <w:ilvl w:val="0"/>
          <w:numId w:val="2"/>
        </w:numPr>
        <w:ind w:left="360"/>
        <w:rPr>
          <w:rFonts w:cs="Times New Roman"/>
        </w:rPr>
      </w:pPr>
      <w:r>
        <w:rPr>
          <w:rFonts w:cs="Times New Roman"/>
        </w:rPr>
        <w:t>Rao PS. Nephrotic syndrome in patients with peripheral blood stem cell transplant. Am J Kidney Dis. 2005;45(4):780–5. doi:10.1053/j.ajkd.2005.01.003</w:t>
      </w:r>
    </w:p>
    <w:p w14:paraId="5F3685DE" w14:textId="77777777" w:rsidR="00CC1AC5" w:rsidRDefault="00000000" w:rsidP="001F7C54">
      <w:pPr>
        <w:pStyle w:val="ListParagraph"/>
        <w:numPr>
          <w:ilvl w:val="0"/>
          <w:numId w:val="2"/>
        </w:numPr>
        <w:ind w:left="360"/>
        <w:rPr>
          <w:rFonts w:cs="Times New Roman"/>
        </w:rPr>
      </w:pPr>
      <w:r>
        <w:rPr>
          <w:rFonts w:cs="Times New Roman"/>
        </w:rPr>
        <w:t>Ratanatharathorn V, Ayash L, Reynolds C, Silver S, Reddy P, Becker M, et al. Treatment of chronic graft-versus-host disease with anti-CD20 chimeric monoclonal antibody. Biol Blood Marrow Transplant. 2003;9(8):505–11. doi:10.1016/S1083-8791(03)00216-7</w:t>
      </w:r>
    </w:p>
    <w:p w14:paraId="49BA7A21" w14:textId="77777777" w:rsidR="00CC1AC5" w:rsidRDefault="00000000" w:rsidP="001F7C54">
      <w:pPr>
        <w:pStyle w:val="ListParagraph"/>
        <w:numPr>
          <w:ilvl w:val="0"/>
          <w:numId w:val="2"/>
        </w:numPr>
        <w:ind w:left="360"/>
        <w:rPr>
          <w:rFonts w:cs="Times New Roman"/>
        </w:rPr>
      </w:pPr>
      <w:r>
        <w:rPr>
          <w:rFonts w:cs="Times New Roman"/>
        </w:rPr>
        <w:t>Reddy P, Johnson K, Uberti JP, Reynolds C, Silver S, Ayash L, et al. Nephrotic syndrome associated with chronic graft-versus-host disease after allogeneic hematopoietic stem cell transplantation. Bone Marrow Transplant. 2006;38(5):351–7. doi:10.1038/sj.bmt.1705446</w:t>
      </w:r>
    </w:p>
    <w:p w14:paraId="11EC0DB9" w14:textId="77777777" w:rsidR="00CC1AC5" w:rsidRDefault="00000000" w:rsidP="001F7C54">
      <w:pPr>
        <w:pStyle w:val="ListParagraph"/>
        <w:numPr>
          <w:ilvl w:val="0"/>
          <w:numId w:val="2"/>
        </w:numPr>
        <w:ind w:left="360"/>
        <w:rPr>
          <w:rFonts w:cs="Times New Roman"/>
        </w:rPr>
      </w:pPr>
      <w:r>
        <w:rPr>
          <w:rFonts w:cs="Times New Roman"/>
        </w:rPr>
        <w:t>Roy G, Iordachescu I, Royal V, Lamarche C, Ahmad I, Nadeau-Fredette AC, et al. Kidney Biopsy Findings Among Allogenic Hematopoietic Stem Cell Transplant Recipients With Kidney Injury: A Case Series. Kidney Med [Internet]. 2023;5(7):100674. doi:10.1016/j.xkme.2023.100674 Available from: https://doi.org/10.1016/j.xkme.2023.100674</w:t>
      </w:r>
    </w:p>
    <w:p w14:paraId="27D71B7F" w14:textId="77777777" w:rsidR="00CC1AC5" w:rsidRDefault="00000000" w:rsidP="001F7C54">
      <w:pPr>
        <w:pStyle w:val="ListParagraph"/>
        <w:numPr>
          <w:ilvl w:val="0"/>
          <w:numId w:val="2"/>
        </w:numPr>
        <w:ind w:left="360"/>
        <w:rPr>
          <w:rFonts w:cs="Times New Roman"/>
        </w:rPr>
      </w:pPr>
      <w:r>
        <w:rPr>
          <w:rFonts w:cs="Times New Roman"/>
        </w:rPr>
        <w:t>Saddadi F, Alidadi A, Hakemi M, Bahar B. Nephrotic syndrome after hematopoietic stem cell transplant: Outcomes in Iran. Exp Clin Transplant. 2017;15:90–2. doi:10.6002/ect.mesot2016.O70</w:t>
      </w:r>
    </w:p>
    <w:p w14:paraId="02468DD7" w14:textId="77777777" w:rsidR="00CC1AC5" w:rsidRDefault="00000000" w:rsidP="001F7C54">
      <w:pPr>
        <w:pStyle w:val="ListParagraph"/>
        <w:numPr>
          <w:ilvl w:val="0"/>
          <w:numId w:val="2"/>
        </w:numPr>
        <w:ind w:left="360"/>
        <w:rPr>
          <w:rFonts w:cs="Times New Roman"/>
        </w:rPr>
      </w:pPr>
      <w:r>
        <w:rPr>
          <w:rFonts w:cs="Times New Roman"/>
        </w:rPr>
        <w:t>Sakai T, Uchida T, Iwama S, Sugisaki K, Yamada M, Inamoto Y, et al. Chronic Graft-versus-host Disease-associated Membranous Nephropathy Following Bone Marrow Transplantation, Successfully Treated with Rituximab. Intern Med. 2023;62(2):269–73. doi:10.2169/internalmedicine.9655-22</w:t>
      </w:r>
    </w:p>
    <w:p w14:paraId="67BC1525" w14:textId="77777777" w:rsidR="00CC1AC5" w:rsidRDefault="00000000" w:rsidP="001F7C54">
      <w:pPr>
        <w:pStyle w:val="ListParagraph"/>
        <w:numPr>
          <w:ilvl w:val="0"/>
          <w:numId w:val="2"/>
        </w:numPr>
        <w:ind w:left="360"/>
        <w:rPr>
          <w:rFonts w:cs="Times New Roman"/>
        </w:rPr>
      </w:pPr>
      <w:r>
        <w:rPr>
          <w:rFonts w:cs="Times New Roman"/>
        </w:rPr>
        <w:lastRenderedPageBreak/>
        <w:t>Sethi S, Madden B, Moura MC, Nasr SH, Klomjit N, Gross LA, et al. Hematopoietic Stem Cell Transplant-Membranous Nephropathy Is Associated with Protocadherin FAT1. J Am Soc Nephrol. 2022;33(5):1033–44. doi:10.1681/ASN.2021111488</w:t>
      </w:r>
    </w:p>
    <w:p w14:paraId="35841472" w14:textId="77777777" w:rsidR="00CC1AC5" w:rsidRDefault="00000000" w:rsidP="001F7C54">
      <w:pPr>
        <w:pStyle w:val="ListParagraph"/>
        <w:numPr>
          <w:ilvl w:val="0"/>
          <w:numId w:val="2"/>
        </w:numPr>
        <w:ind w:left="360"/>
        <w:rPr>
          <w:rFonts w:cs="Times New Roman"/>
        </w:rPr>
      </w:pPr>
      <w:r>
        <w:rPr>
          <w:rFonts w:cs="Times New Roman"/>
        </w:rPr>
        <w:t>Srinivasan R, Balow JE, Sabnis S, Lundqvist A, Igarashi T, Takahashi Y, et al. Nephrotic syndrome: An under-recognised immune-mediated complication of non-myeloablative allogeneic haematopoietic cell transplantation. Br J Haematol. 2005;131(1):74–9. doi:10.1111/j.1365-2141.2005.05728.x</w:t>
      </w:r>
    </w:p>
    <w:p w14:paraId="27112864" w14:textId="77777777" w:rsidR="00CC1AC5" w:rsidRPr="001F7C54" w:rsidRDefault="00000000" w:rsidP="001F7C54">
      <w:pPr>
        <w:pStyle w:val="ListParagraph"/>
        <w:numPr>
          <w:ilvl w:val="0"/>
          <w:numId w:val="2"/>
        </w:numPr>
        <w:ind w:left="360"/>
        <w:rPr>
          <w:rFonts w:ascii="Arial" w:hAnsi="Arial" w:cs="Times New Roman"/>
          <w:color w:val="323232"/>
        </w:rPr>
      </w:pPr>
      <w:r>
        <w:rPr>
          <w:rFonts w:cs="Times New Roman"/>
          <w:sz w:val="20"/>
          <w:szCs w:val="24"/>
        </w:rPr>
        <w:t>Stevenson WS, Nankivell BJ, Hertzberg MS.</w:t>
      </w:r>
      <w:r w:rsidRPr="001F7C54">
        <w:rPr>
          <w:rFonts w:ascii="Arial" w:hAnsi="Arial" w:cs="Times New Roman"/>
          <w:color w:val="323232"/>
        </w:rPr>
        <w:t xml:space="preserve"> Nephrotic syndrome after stem cell transplantation. Clin Transpl. 2005; 19(1):141-4. </w:t>
      </w:r>
      <w:hyperlink r:id="rId8" w:history="1">
        <w:r w:rsidRPr="001F7C54">
          <w:rPr>
            <w:rStyle w:val="Hyperlink"/>
            <w:rFonts w:ascii="Open Sans" w:hAnsi="Open Sans" w:cs="Times New Roman"/>
            <w:color w:val="auto"/>
            <w:sz w:val="21"/>
            <w:szCs w:val="21"/>
            <w:u w:val="none"/>
            <w:shd w:val="clear" w:color="auto" w:fill="FFFFFF"/>
          </w:rPr>
          <w:t>doi:10.1111/j.1399-0012.2004.00294.x</w:t>
        </w:r>
      </w:hyperlink>
    </w:p>
    <w:p w14:paraId="58474909" w14:textId="77777777" w:rsidR="00CC1AC5" w:rsidRDefault="00000000" w:rsidP="001F7C54">
      <w:pPr>
        <w:pStyle w:val="ListParagraph"/>
        <w:numPr>
          <w:ilvl w:val="0"/>
          <w:numId w:val="2"/>
        </w:numPr>
        <w:ind w:left="360"/>
        <w:rPr>
          <w:rFonts w:cs="Times New Roman"/>
        </w:rPr>
      </w:pPr>
      <w:r>
        <w:rPr>
          <w:rFonts w:cs="Times New Roman"/>
        </w:rPr>
        <w:t>Sugimoto T, Tanaka Y, Sakaguchi M, Osawa N, Tanaka Y, Uzu T, et al. A case of post-allogeneic haematopoietic stem cell transplantation membranous nephropathy. Nephrol Dial Transplant. 2007;22(11):3360–2. doi:10.1093/ndt/gfm451</w:t>
      </w:r>
    </w:p>
    <w:p w14:paraId="41C9CDC3" w14:textId="77777777" w:rsidR="00CC1AC5" w:rsidRDefault="00000000" w:rsidP="001F7C54">
      <w:pPr>
        <w:pStyle w:val="ListParagraph"/>
        <w:numPr>
          <w:ilvl w:val="0"/>
          <w:numId w:val="2"/>
        </w:numPr>
        <w:ind w:left="360"/>
        <w:rPr>
          <w:rFonts w:cs="Times New Roman"/>
        </w:rPr>
      </w:pPr>
      <w:r>
        <w:rPr>
          <w:rFonts w:cs="Times New Roman"/>
        </w:rPr>
        <w:t>Tedjaseputra A, McLornan D, McCormick J, Raj K, de Lavallade H, Potter V, et al. Anti-type M phospholipase A2 receptor antibody-positive membranous nephropathy as a part of multi-system autoimmune syndrome post-allogeneic stem cell transplantation. Intern Med J. 2018;48(4):481–3. doi:10.1111/imj.13762</w:t>
      </w:r>
    </w:p>
    <w:p w14:paraId="75E79677" w14:textId="77777777" w:rsidR="00CC1AC5" w:rsidRDefault="00000000" w:rsidP="001F7C54">
      <w:pPr>
        <w:pStyle w:val="ListParagraph"/>
        <w:numPr>
          <w:ilvl w:val="0"/>
          <w:numId w:val="2"/>
        </w:numPr>
        <w:ind w:left="360"/>
        <w:rPr>
          <w:rFonts w:cs="Times New Roman"/>
        </w:rPr>
      </w:pPr>
      <w:r>
        <w:rPr>
          <w:rFonts w:cs="Times New Roman"/>
        </w:rPr>
        <w:t>Terrier B, Delmas Y, Hummel A, Presne C, Glowacki F, Knebelmann B, et al. Post-allogeneic haematopoietic stem cell transplantation membranous nephropathy: Clinical presentation, outcome and pathogenic aspects. Nephrol Dial Transplant. 2007;22(5):1369–76. doi:10.1093/ndt/gfl795</w:t>
      </w:r>
    </w:p>
    <w:p w14:paraId="50845142" w14:textId="77777777" w:rsidR="00CC1AC5" w:rsidRDefault="00000000" w:rsidP="001F7C54">
      <w:pPr>
        <w:pStyle w:val="ListParagraph"/>
        <w:numPr>
          <w:ilvl w:val="0"/>
          <w:numId w:val="2"/>
        </w:numPr>
        <w:ind w:left="360"/>
        <w:rPr>
          <w:rFonts w:cs="Times New Roman"/>
        </w:rPr>
      </w:pPr>
      <w:r>
        <w:rPr>
          <w:rFonts w:cs="Times New Roman"/>
        </w:rPr>
        <w:t>Troxell ML, Pilapil M, Miklos DB, Higgins JP, Kambham N. Renal pathology in hematopoietic cell transplantation recipients. Mod Pathol. 2008;21(4):396–406. doi:10.1038/modpathol.3801011</w:t>
      </w:r>
    </w:p>
    <w:p w14:paraId="7F2E3EE5" w14:textId="77777777" w:rsidR="00CC1AC5" w:rsidRDefault="00000000" w:rsidP="001F7C54">
      <w:pPr>
        <w:pStyle w:val="ListParagraph"/>
        <w:numPr>
          <w:ilvl w:val="0"/>
          <w:numId w:val="2"/>
        </w:numPr>
        <w:ind w:left="360"/>
        <w:rPr>
          <w:rFonts w:cs="Times New Roman"/>
        </w:rPr>
      </w:pPr>
      <w:r>
        <w:rPr>
          <w:rFonts w:cs="Times New Roman"/>
        </w:rPr>
        <w:t>Wong E, Lasica M, He SZ, Bajel A, Roberts AW, Mason KD, et al. Nephrotic syndrome as a complication of chronic graft-versus-host disease after allogeneic haemopoietic stem cell transplantation. Intern Med J. 2016;46(6):737–41. doi:10.1111/imj.13098</w:t>
      </w:r>
    </w:p>
    <w:p w14:paraId="2C2FC2F1" w14:textId="77777777" w:rsidR="00CC1AC5" w:rsidRDefault="00000000" w:rsidP="001F7C54">
      <w:pPr>
        <w:pStyle w:val="ListParagraph"/>
        <w:numPr>
          <w:ilvl w:val="0"/>
          <w:numId w:val="2"/>
        </w:numPr>
        <w:ind w:left="360"/>
        <w:rPr>
          <w:rFonts w:cs="Times New Roman"/>
        </w:rPr>
      </w:pPr>
      <w:r>
        <w:rPr>
          <w:rFonts w:cs="Times New Roman"/>
        </w:rPr>
        <w:t>Yap DYH, Lie D, Lau T, Tang A, Chan G, Chan TSY, et al.  Clinico-pathological correlations and outcomes of de novo glomerular diseases in patients after haematopoietic stem cell transplantation . Clin Kidney J. 2022;16(6):976–84. doi:10.1093/ckj/sfac264</w:t>
      </w:r>
    </w:p>
    <w:p w14:paraId="6DB40FC3" w14:textId="0EBF07B7" w:rsidR="00CC1AC5" w:rsidRDefault="00000000">
      <w:r w:rsidRPr="001F7C54">
        <w:rPr>
          <w:rFonts w:cs="Times New Roman"/>
        </w:rPr>
        <w:fldChar w:fldCharType="end"/>
      </w:r>
    </w:p>
    <w:sectPr w:rsidR="00CC1AC5">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0CF3B" w14:textId="77777777" w:rsidR="000C6CA2" w:rsidRDefault="000C6CA2">
      <w:pPr>
        <w:spacing w:line="240" w:lineRule="auto"/>
      </w:pPr>
      <w:r>
        <w:separator/>
      </w:r>
    </w:p>
  </w:endnote>
  <w:endnote w:type="continuationSeparator" w:id="0">
    <w:p w14:paraId="056EA3AE" w14:textId="77777777" w:rsidR="000C6CA2" w:rsidRDefault="000C6C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24704" w14:textId="77777777" w:rsidR="000C6CA2" w:rsidRDefault="000C6CA2">
      <w:pPr>
        <w:spacing w:after="0"/>
      </w:pPr>
      <w:r>
        <w:separator/>
      </w:r>
    </w:p>
  </w:footnote>
  <w:footnote w:type="continuationSeparator" w:id="0">
    <w:p w14:paraId="6BF13DE5" w14:textId="77777777" w:rsidR="000C6CA2" w:rsidRDefault="000C6CA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2E17"/>
    <w:multiLevelType w:val="multilevel"/>
    <w:tmpl w:val="08CC2E1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31F66AFE"/>
    <w:multiLevelType w:val="multilevel"/>
    <w:tmpl w:val="31F66AF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672297605">
    <w:abstractNumId w:val="1"/>
  </w:num>
  <w:num w:numId="2" w16cid:durableId="1146583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DF3"/>
    <w:rsid w:val="00036B42"/>
    <w:rsid w:val="000C2528"/>
    <w:rsid w:val="000C4C66"/>
    <w:rsid w:val="000C5E16"/>
    <w:rsid w:val="000C6CA2"/>
    <w:rsid w:val="000F1636"/>
    <w:rsid w:val="00126DC7"/>
    <w:rsid w:val="001279CD"/>
    <w:rsid w:val="0015063D"/>
    <w:rsid w:val="0017648C"/>
    <w:rsid w:val="001B2616"/>
    <w:rsid w:val="001D1188"/>
    <w:rsid w:val="001F0E3B"/>
    <w:rsid w:val="001F7C54"/>
    <w:rsid w:val="00237A8F"/>
    <w:rsid w:val="002412F6"/>
    <w:rsid w:val="00250414"/>
    <w:rsid w:val="00256110"/>
    <w:rsid w:val="00257883"/>
    <w:rsid w:val="00296E67"/>
    <w:rsid w:val="002C24F7"/>
    <w:rsid w:val="002D53FF"/>
    <w:rsid w:val="002F1CDD"/>
    <w:rsid w:val="002F6FB5"/>
    <w:rsid w:val="0031550E"/>
    <w:rsid w:val="00381C17"/>
    <w:rsid w:val="003C04FD"/>
    <w:rsid w:val="003F55BA"/>
    <w:rsid w:val="00405B64"/>
    <w:rsid w:val="004278A4"/>
    <w:rsid w:val="004447A6"/>
    <w:rsid w:val="00450308"/>
    <w:rsid w:val="004D5665"/>
    <w:rsid w:val="004F2DF3"/>
    <w:rsid w:val="00504BB0"/>
    <w:rsid w:val="00543A2E"/>
    <w:rsid w:val="005A1956"/>
    <w:rsid w:val="0061427C"/>
    <w:rsid w:val="006C5B32"/>
    <w:rsid w:val="007266E8"/>
    <w:rsid w:val="00770690"/>
    <w:rsid w:val="00771887"/>
    <w:rsid w:val="007C244E"/>
    <w:rsid w:val="008A0CBA"/>
    <w:rsid w:val="008B16CF"/>
    <w:rsid w:val="008F4323"/>
    <w:rsid w:val="0090742F"/>
    <w:rsid w:val="00957A58"/>
    <w:rsid w:val="009905C4"/>
    <w:rsid w:val="00992A4D"/>
    <w:rsid w:val="00995FE3"/>
    <w:rsid w:val="009C70A8"/>
    <w:rsid w:val="009E5CC5"/>
    <w:rsid w:val="009F2471"/>
    <w:rsid w:val="00AC49B9"/>
    <w:rsid w:val="00AF274A"/>
    <w:rsid w:val="00B94CCA"/>
    <w:rsid w:val="00C678CA"/>
    <w:rsid w:val="00C97123"/>
    <w:rsid w:val="00CA4C00"/>
    <w:rsid w:val="00CC1AC5"/>
    <w:rsid w:val="00CC69F6"/>
    <w:rsid w:val="00D217D9"/>
    <w:rsid w:val="00D250F5"/>
    <w:rsid w:val="00D26EBA"/>
    <w:rsid w:val="00D51EF4"/>
    <w:rsid w:val="00D87C9A"/>
    <w:rsid w:val="00D90580"/>
    <w:rsid w:val="00DE3787"/>
    <w:rsid w:val="00E97531"/>
    <w:rsid w:val="00EA35CE"/>
    <w:rsid w:val="00EA584D"/>
    <w:rsid w:val="00EF25C9"/>
    <w:rsid w:val="00F2192D"/>
    <w:rsid w:val="00F373CC"/>
    <w:rsid w:val="00F45DFE"/>
    <w:rsid w:val="00FC61FD"/>
    <w:rsid w:val="00FD6292"/>
    <w:rsid w:val="67FF2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64448"/>
  <w15:docId w15:val="{12CD72B8-AA84-45B8-AE80-DB9A81816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2">
    <w:name w:val="heading 2"/>
    <w:basedOn w:val="Normal"/>
    <w:link w:val="Heading2Char"/>
    <w:uiPriority w:val="9"/>
    <w:qFormat/>
    <w:pPr>
      <w:spacing w:before="100" w:beforeAutospacing="1" w:after="100" w:afterAutospacing="1" w:line="240" w:lineRule="auto"/>
      <w:outlineLvl w:val="1"/>
    </w:pPr>
    <w:rPr>
      <w:rFonts w:eastAsia="Times New Roman" w:cs="Times New Roman"/>
      <w:b/>
      <w:bCs/>
      <w:sz w:val="36"/>
      <w:szCs w:val="36"/>
      <w:lang w:val="hr-HR" w:eastAsia="hr-HR"/>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qFormat/>
    <w:rPr>
      <w:color w:val="0000FF"/>
      <w:u w:val="single"/>
    </w:rPr>
  </w:style>
  <w:style w:type="table" w:customStyle="1" w:styleId="PlainTable21">
    <w:name w:val="Plain Table 21"/>
    <w:basedOn w:val="Table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vision1">
    <w:name w:val="Revision1"/>
    <w:hidden/>
    <w:uiPriority w:val="99"/>
    <w:semiHidden/>
    <w:qFormat/>
    <w:rPr>
      <w:sz w:val="22"/>
      <w:szCs w:val="22"/>
      <w:lang w:val="en-US" w:eastAsia="en-US"/>
    </w:rPr>
  </w:style>
  <w:style w:type="character" w:customStyle="1" w:styleId="CommentTextChar">
    <w:name w:val="Comment Text Char"/>
    <w:basedOn w:val="DefaultParagraphFont"/>
    <w:link w:val="CommentText"/>
    <w:uiPriority w:val="99"/>
    <w:semiHidden/>
    <w:qFormat/>
    <w:rPr>
      <w:kern w:val="0"/>
      <w:sz w:val="20"/>
      <w:szCs w:val="20"/>
      <w14:ligatures w14:val="none"/>
    </w:rPr>
  </w:style>
  <w:style w:type="character" w:customStyle="1" w:styleId="CommentSubjectChar">
    <w:name w:val="Comment Subject Char"/>
    <w:basedOn w:val="CommentTextChar"/>
    <w:link w:val="CommentSubject"/>
    <w:uiPriority w:val="99"/>
    <w:semiHidden/>
    <w:qFormat/>
    <w:rPr>
      <w:b/>
      <w:bCs/>
      <w:kern w:val="0"/>
      <w:sz w:val="20"/>
      <w:szCs w:val="20"/>
      <w14:ligatures w14:val="none"/>
    </w:rPr>
  </w:style>
  <w:style w:type="paragraph" w:styleId="ListParagraph">
    <w:name w:val="List Paragraph"/>
    <w:basedOn w:val="Normal"/>
    <w:uiPriority w:val="99"/>
    <w:qFormat/>
    <w:pPr>
      <w:ind w:left="720"/>
      <w:contextualSpacing/>
    </w:pPr>
  </w:style>
  <w:style w:type="character" w:customStyle="1" w:styleId="Heading2Char">
    <w:name w:val="Heading 2 Char"/>
    <w:basedOn w:val="DefaultParagraphFont"/>
    <w:link w:val="Heading2"/>
    <w:uiPriority w:val="9"/>
    <w:qFormat/>
    <w:rPr>
      <w:rFonts w:eastAsia="Times New Roman" w:cs="Times New Roman"/>
      <w:b/>
      <w:bCs/>
      <w:kern w:val="0"/>
      <w:sz w:val="36"/>
      <w:szCs w:val="36"/>
      <w:lang w:val="hr-HR" w:eastAsia="hr-HR"/>
      <w14:ligatures w14:val="none"/>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F5496" w:themeColor="accent1" w:themeShade="BF"/>
      <w:kern w:val="0"/>
      <w14:ligatures w14:val="none"/>
    </w:rPr>
  </w:style>
  <w:style w:type="paragraph" w:styleId="Revision">
    <w:name w:val="Revision"/>
    <w:hidden/>
    <w:uiPriority w:val="99"/>
    <w:unhideWhenUsed/>
    <w:rsid w:val="001F7C5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1111/j.1399-0012.2004.00294.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92DC8-AD6D-4922-8D78-67F6081E1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16950</Words>
  <Characters>96617</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Matija</dc:creator>
  <cp:lastModifiedBy>Ivana Vukovic Brinar</cp:lastModifiedBy>
  <cp:revision>3</cp:revision>
  <cp:lastPrinted>2024-03-10T14:43:00Z</cp:lastPrinted>
  <dcterms:created xsi:type="dcterms:W3CDTF">2024-05-17T13:00:00Z</dcterms:created>
  <dcterms:modified xsi:type="dcterms:W3CDTF">2024-07-10T10:31:00Z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https://csl.mendeley.com/styles/581310261/vancouver-3</vt:lpwstr>
  </property>
  <property fmtid="{D5CDD505-2E9C-101B-9397-08002B2CF9AE}" pid="21" name="Mendeley Recent Style Name 9_1">
    <vt:lpwstr>Vancouver - Matija Matošević</vt:lpwstr>
  </property>
  <property fmtid="{D5CDD505-2E9C-101B-9397-08002B2CF9AE}" pid="22" name="Mendeley Document_1">
    <vt:lpwstr>True</vt:lpwstr>
  </property>
  <property fmtid="{D5CDD505-2E9C-101B-9397-08002B2CF9AE}" pid="23" name="Mendeley Unique User Id_1">
    <vt:lpwstr>ec09c1cf-4645-383c-b8ad-fdd707f2812d</vt:lpwstr>
  </property>
  <property fmtid="{D5CDD505-2E9C-101B-9397-08002B2CF9AE}" pid="24" name="Mendeley Citation Style_1">
    <vt:lpwstr>https://csl.mendeley.com/styles/581310261/vancouver-3</vt:lpwstr>
  </property>
  <property fmtid="{D5CDD505-2E9C-101B-9397-08002B2CF9AE}" pid="25" name="GrammarlyDocumentId">
    <vt:lpwstr>20e9cc4a9d18394bedb41767082d7eb58a0a6c635536c0d3f9a3d2268fa45f18</vt:lpwstr>
  </property>
  <property fmtid="{D5CDD505-2E9C-101B-9397-08002B2CF9AE}" pid="26" name="KSOProductBuildVer">
    <vt:lpwstr>1033-12.2.0.16909</vt:lpwstr>
  </property>
  <property fmtid="{D5CDD505-2E9C-101B-9397-08002B2CF9AE}" pid="27" name="ICV">
    <vt:lpwstr>7CADC30168AC475C9C234A34F945BFD9_13</vt:lpwstr>
  </property>
</Properties>
</file>