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4310" w:rsidRPr="000635E7" w:rsidRDefault="00784310" w:rsidP="00784310">
      <w:pPr>
        <w:pStyle w:val="NoSpacing"/>
        <w:spacing w:line="480" w:lineRule="auto"/>
        <w:rPr>
          <w:rFonts w:ascii="Arial" w:eastAsia="Arial" w:hAnsi="Arial" w:cs="Arial"/>
          <w:b/>
          <w:bCs/>
          <w:color w:val="000000" w:themeColor="text1"/>
        </w:rPr>
      </w:pPr>
      <w:r w:rsidRPr="000635E7">
        <w:rPr>
          <w:rFonts w:ascii="Arial" w:eastAsia="Arial" w:hAnsi="Arial" w:cs="Arial"/>
          <w:b/>
          <w:bCs/>
          <w:color w:val="000000" w:themeColor="text1"/>
        </w:rPr>
        <w:t>Supplemental Materials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b/>
          <w:bCs/>
          <w:i/>
          <w:iCs/>
          <w:color w:val="000000" w:themeColor="text1"/>
        </w:rPr>
      </w:pPr>
      <w:r w:rsidRPr="000635E7">
        <w:rPr>
          <w:rFonts w:ascii="Arial" w:hAnsi="Arial" w:cs="Arial"/>
          <w:b/>
          <w:bCs/>
          <w:i/>
          <w:iCs/>
          <w:color w:val="000000" w:themeColor="text1"/>
        </w:rPr>
        <w:t>CRBSI Microbiological isolates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0635E7">
        <w:rPr>
          <w:rFonts w:ascii="Arial" w:hAnsi="Arial" w:cs="Arial"/>
          <w:color w:val="000000" w:themeColor="text1"/>
          <w:sz w:val="18"/>
          <w:szCs w:val="18"/>
          <w:lang w:val="en-US"/>
        </w:rPr>
        <w:t>Table 3. Microbiological Characteristics of Catheter-Related Bloodstream Infections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0"/>
        <w:gridCol w:w="1900"/>
      </w:tblGrid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tabs>
                <w:tab w:val="right" w:pos="5564"/>
              </w:tabs>
              <w:jc w:val="both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Culture Parameters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n (%)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Monomicrobial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187 (94.92)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Polymicrobial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10 (5.08)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 xml:space="preserve">Total Organisms Isolated 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200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color w:val="000000" w:themeColor="text1"/>
                <w:sz w:val="18"/>
                <w:szCs w:val="18"/>
                <w:lang w:eastAsia="en-US"/>
              </w:rPr>
              <w:t>Total multidrug-resistant organisms isolated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89 (44.5)</w:t>
            </w:r>
          </w:p>
        </w:tc>
      </w:tr>
      <w:tr w:rsidR="00784310" w:rsidRPr="000635E7" w:rsidTr="00E54170">
        <w:trPr>
          <w:trHeight w:val="54"/>
        </w:trPr>
        <w:tc>
          <w:tcPr>
            <w:tcW w:w="5000" w:type="pct"/>
            <w:gridSpan w:val="2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Gram-Positive Bacteria (n = 96) 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 xml:space="preserve">Coagulase-negative </w:t>
            </w: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</w:t>
            </w: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 xml:space="preserve"> spp.</w:t>
            </w:r>
          </w:p>
        </w:tc>
        <w:tc>
          <w:tcPr>
            <w:tcW w:w="1016" w:type="pct"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Methicillin-resistant </w:t>
            </w:r>
            <w:r w:rsidRPr="000635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epidermidis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34 (17)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hominis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16 (8)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hemolyticus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13 (6.5)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 xml:space="preserve">Methicillin Susceptible </w:t>
            </w:r>
            <w:r w:rsidRPr="000635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epidermidis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5 (2.5)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lugdunensis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1 (0.5)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 xml:space="preserve">Methicillin Susceptible </w:t>
            </w: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aureus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16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(8)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 xml:space="preserve">Methicillin-Resistant </w:t>
            </w: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Staphylococcus aureus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10 (5)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Streptococcus pyogenes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1 (0.5)</w:t>
            </w:r>
          </w:p>
        </w:tc>
      </w:tr>
      <w:tr w:rsidR="00784310" w:rsidRPr="000635E7" w:rsidTr="00E54170">
        <w:trPr>
          <w:trHeight w:val="54"/>
        </w:trPr>
        <w:tc>
          <w:tcPr>
            <w:tcW w:w="5000" w:type="pct"/>
            <w:gridSpan w:val="2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 xml:space="preserve">Gram Negative Bacteria (n=104) 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Burkholderia cepacia </w:t>
            </w: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complex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26 (13)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Enterobacter</w:t>
            </w:r>
          </w:p>
        </w:tc>
        <w:tc>
          <w:tcPr>
            <w:tcW w:w="1016" w:type="pct"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Klebsiella pneumoniae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12 (6)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- </w:t>
            </w: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Escherichia coli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11 (5.5)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Serratia marcescens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Enterobacter cloacae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Providencia stuartii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Acinetobacter </w:t>
            </w: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spp.</w:t>
            </w:r>
          </w:p>
        </w:tc>
        <w:tc>
          <w:tcPr>
            <w:tcW w:w="1016" w:type="pct"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Acinetobacter baumanii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18 (9)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Acinetobacter lwolffi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>3 (1.5)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Acinetobacter junii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5000" w:type="pct"/>
            <w:gridSpan w:val="2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Pseudomonas spp.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Pseudomonas aeruginosa 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7 (3.5)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784310">
            <w:pPr>
              <w:pStyle w:val="NoSpacing"/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Pseudomonas stutzeri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Stenotrophomonas maltophilia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5 (2.5)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Achromobacter spp.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5 (2.5)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Elizabethkingia spp.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3 (1.5)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Ralstonia spp.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3 (1.5)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Enterococcus faecium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3 (1.5)</w:t>
            </w:r>
          </w:p>
        </w:tc>
      </w:tr>
      <w:tr w:rsidR="00784310" w:rsidRPr="000635E7" w:rsidTr="00E54170">
        <w:trPr>
          <w:trHeight w:val="43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Eikinella spp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2 (1)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>Chrysobacterium spp.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Arial" w:hAnsi="Arial" w:cs="Arial"/>
                <w:color w:val="000000" w:themeColor="text1"/>
                <w:sz w:val="18"/>
                <w:szCs w:val="18"/>
                <w:lang w:eastAsia="en-US"/>
              </w:rPr>
              <w:t xml:space="preserve">1 </w:t>
            </w: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(0.5)</w:t>
            </w:r>
          </w:p>
        </w:tc>
      </w:tr>
      <w:tr w:rsidR="00784310" w:rsidRPr="000635E7" w:rsidTr="00E54170">
        <w:trPr>
          <w:trHeight w:val="54"/>
        </w:trPr>
        <w:tc>
          <w:tcPr>
            <w:tcW w:w="5000" w:type="pct"/>
            <w:gridSpan w:val="2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Fungi (n=4)</w:t>
            </w:r>
            <w:r w:rsidRPr="000635E7">
              <w:rPr>
                <w:rFonts w:ascii="Arial" w:eastAsia="Times New Roman" w:hAnsi="Arial" w:cs="Arial"/>
                <w:b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                                                                                                    </w:t>
            </w:r>
          </w:p>
        </w:tc>
      </w:tr>
      <w:tr w:rsidR="00784310" w:rsidRPr="000635E7" w:rsidTr="00E54170">
        <w:trPr>
          <w:trHeight w:val="54"/>
        </w:trPr>
        <w:tc>
          <w:tcPr>
            <w:tcW w:w="3984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eastAsia="Times New Roman" w:hAnsi="Arial" w:cs="Arial"/>
                <w:bCs/>
                <w:i/>
                <w:i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i/>
                <w:iCs/>
                <w:color w:val="000000" w:themeColor="text1"/>
                <w:sz w:val="18"/>
                <w:szCs w:val="18"/>
                <w:lang w:eastAsia="en-US"/>
              </w:rPr>
              <w:t xml:space="preserve">Candida </w:t>
            </w:r>
            <w:r w:rsidRPr="000635E7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n-US"/>
              </w:rPr>
              <w:t>spp</w:t>
            </w:r>
          </w:p>
        </w:tc>
        <w:tc>
          <w:tcPr>
            <w:tcW w:w="1016" w:type="pct"/>
            <w:hideMark/>
          </w:tcPr>
          <w:p w:rsidR="00784310" w:rsidRPr="000635E7" w:rsidRDefault="00784310" w:rsidP="00E54170">
            <w:pPr>
              <w:pStyle w:val="NoSpacing"/>
              <w:spacing w:line="480" w:lineRule="auto"/>
              <w:jc w:val="both"/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Cs/>
                <w:color w:val="000000" w:themeColor="text1"/>
                <w:sz w:val="18"/>
                <w:szCs w:val="18"/>
                <w:lang w:eastAsia="en-US"/>
              </w:rPr>
              <w:t>4 (2)</w:t>
            </w:r>
          </w:p>
        </w:tc>
      </w:tr>
    </w:tbl>
    <w:p w:rsidR="00784310" w:rsidRPr="000635E7" w:rsidRDefault="00784310" w:rsidP="00784310">
      <w:pPr>
        <w:pStyle w:val="NoSpacing"/>
        <w:spacing w:line="48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635E7">
        <w:rPr>
          <w:rFonts w:ascii="Arial" w:hAnsi="Arial" w:cs="Arial"/>
          <w:color w:val="000000" w:themeColor="text1"/>
        </w:rPr>
        <w:t xml:space="preserve">Table 3 presents the microbiological profiles of the isolates in the study. A total of two hundred organisms were isolated, with the majority of infections being monomicrobial (n = 187, 94.92 %). The most common organisms causing CRBSI were gram-negative bacteria (n = 104, 52 %) with </w:t>
      </w:r>
      <w:r w:rsidRPr="000635E7">
        <w:rPr>
          <w:rFonts w:ascii="Arial" w:hAnsi="Arial" w:cs="Arial"/>
          <w:i/>
          <w:iCs/>
          <w:color w:val="000000" w:themeColor="text1"/>
        </w:rPr>
        <w:t>B. cepacia</w:t>
      </w:r>
      <w:r w:rsidRPr="000635E7">
        <w:rPr>
          <w:rFonts w:ascii="Arial" w:hAnsi="Arial" w:cs="Arial"/>
          <w:color w:val="000000" w:themeColor="text1"/>
        </w:rPr>
        <w:t xml:space="preserve"> complex (n = 26, 13 %), </w:t>
      </w:r>
      <w:r w:rsidRPr="000635E7">
        <w:rPr>
          <w:rFonts w:ascii="Arial" w:hAnsi="Arial" w:cs="Arial"/>
          <w:i/>
          <w:iCs/>
          <w:color w:val="000000" w:themeColor="text1"/>
        </w:rPr>
        <w:t>Enterobacter</w:t>
      </w:r>
      <w:r w:rsidRPr="000635E7">
        <w:rPr>
          <w:rFonts w:ascii="Arial" w:hAnsi="Arial" w:cs="Arial"/>
          <w:color w:val="000000" w:themeColor="text1"/>
        </w:rPr>
        <w:t xml:space="preserve"> spp (n = 26, 13 %), and </w:t>
      </w:r>
      <w:r w:rsidRPr="000635E7">
        <w:rPr>
          <w:rFonts w:ascii="Arial" w:hAnsi="Arial" w:cs="Arial"/>
          <w:i/>
          <w:iCs/>
          <w:color w:val="000000" w:themeColor="text1"/>
        </w:rPr>
        <w:t>Acinetobacter</w:t>
      </w:r>
      <w:r w:rsidRPr="000635E7">
        <w:rPr>
          <w:rFonts w:ascii="Arial" w:hAnsi="Arial" w:cs="Arial"/>
          <w:color w:val="000000" w:themeColor="text1"/>
        </w:rPr>
        <w:t xml:space="preserve"> (n = 22, 11 %) comprising the most common isolates. Among gram-positive organisms, </w:t>
      </w:r>
      <w:r w:rsidRPr="000635E7">
        <w:rPr>
          <w:rFonts w:ascii="Arial" w:hAnsi="Arial" w:cs="Arial"/>
          <w:color w:val="000000" w:themeColor="text1"/>
        </w:rPr>
        <w:lastRenderedPageBreak/>
        <w:t xml:space="preserve">Coagulase-negative </w:t>
      </w:r>
      <w:r w:rsidRPr="000635E7">
        <w:rPr>
          <w:rFonts w:ascii="Arial" w:hAnsi="Arial" w:cs="Arial"/>
          <w:i/>
          <w:iCs/>
          <w:color w:val="000000" w:themeColor="text1"/>
        </w:rPr>
        <w:t>staphylococci</w:t>
      </w:r>
      <w:r w:rsidRPr="000635E7">
        <w:rPr>
          <w:rFonts w:ascii="Arial" w:hAnsi="Arial" w:cs="Arial"/>
          <w:color w:val="000000" w:themeColor="text1"/>
        </w:rPr>
        <w:t xml:space="preserve"> (CONS) (n = 69, 34.5 %) and </w:t>
      </w:r>
      <w:r w:rsidRPr="000635E7">
        <w:rPr>
          <w:rFonts w:ascii="Arial" w:hAnsi="Arial" w:cs="Arial"/>
          <w:i/>
          <w:iCs/>
          <w:color w:val="000000" w:themeColor="text1"/>
        </w:rPr>
        <w:t xml:space="preserve">Staphylococcus aureus </w:t>
      </w:r>
      <w:r w:rsidRPr="000635E7">
        <w:rPr>
          <w:rFonts w:ascii="Arial" w:hAnsi="Arial" w:cs="Arial"/>
          <w:color w:val="000000" w:themeColor="text1"/>
        </w:rPr>
        <w:t xml:space="preserve">(n = 26, 13 %) predominated. Fungal species were also noted, comprising around 2% of the total isolates. 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b/>
          <w:bCs/>
          <w:i/>
          <w:iCs/>
          <w:color w:val="000000" w:themeColor="text1"/>
        </w:rPr>
      </w:pPr>
      <w:r w:rsidRPr="000635E7">
        <w:rPr>
          <w:rFonts w:ascii="Arial" w:hAnsi="Arial" w:cs="Arial"/>
          <w:b/>
          <w:bCs/>
          <w:i/>
          <w:iCs/>
          <w:color w:val="000000" w:themeColor="text1"/>
        </w:rPr>
        <w:t>CRBSI Antimicrobial Susceptibility Patterns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</w:rPr>
      </w:pPr>
      <w:r w:rsidRPr="000635E7">
        <w:rPr>
          <w:rFonts w:ascii="Arial" w:hAnsi="Arial" w:cs="Arial"/>
          <w:color w:val="000000" w:themeColor="text1"/>
        </w:rPr>
        <w:t>Table 4. Initial antibiotics and frequency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6541"/>
        <w:gridCol w:w="2809"/>
      </w:tblGrid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Antibiotic Usage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eastAsia="Times New Roman" w:hAnsi="Arial" w:cs="Arial"/>
                <w:b/>
                <w:bCs/>
                <w:color w:val="000000" w:themeColor="text1"/>
                <w:sz w:val="18"/>
                <w:szCs w:val="18"/>
                <w:lang w:eastAsia="en-US"/>
              </w:rPr>
              <w:t>n (%)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Vancomycin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70 (33.02)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Meropenem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43 (20.28)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Piperacillin-Tazobactam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24 (11.32)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Polymixins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19 (8.96)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Oxacillin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11 (5.19)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Ceftazidime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8 (3.77)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Levofloxacin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7 (3.30)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Trimethoprim-sulfamethoxazole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5 (2.36)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Ceftriaxone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 (1.89)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Ciprofloxacin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 (1.89)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Cefazolin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4 (1.89)</w:t>
            </w:r>
          </w:p>
        </w:tc>
      </w:tr>
      <w:tr w:rsidR="00784310" w:rsidRPr="000635E7" w:rsidTr="00E54170">
        <w:tc>
          <w:tcPr>
            <w:tcW w:w="3498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Others</w:t>
            </w:r>
          </w:p>
        </w:tc>
        <w:tc>
          <w:tcPr>
            <w:tcW w:w="1502" w:type="pct"/>
            <w:hideMark/>
          </w:tcPr>
          <w:p w:rsidR="00784310" w:rsidRPr="000635E7" w:rsidRDefault="00784310" w:rsidP="00E54170">
            <w:pPr>
              <w:pStyle w:val="NoSpacing"/>
              <w:jc w:val="both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13 (6.13)</w:t>
            </w:r>
          </w:p>
        </w:tc>
      </w:tr>
    </w:tbl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784310" w:rsidRPr="000635E7" w:rsidRDefault="00784310" w:rsidP="00784310">
      <w:pPr>
        <w:pStyle w:val="NoSpacing"/>
        <w:spacing w:line="480" w:lineRule="auto"/>
        <w:ind w:firstLine="720"/>
        <w:jc w:val="both"/>
        <w:rPr>
          <w:rFonts w:ascii="Arial" w:hAnsi="Arial" w:cs="Arial"/>
          <w:color w:val="000000" w:themeColor="text1"/>
          <w:lang w:eastAsia="en-US"/>
        </w:rPr>
      </w:pPr>
      <w:r w:rsidRPr="000635E7">
        <w:rPr>
          <w:rFonts w:ascii="Arial" w:hAnsi="Arial" w:cs="Arial"/>
          <w:color w:val="000000" w:themeColor="text1"/>
        </w:rPr>
        <w:t xml:space="preserve">Table 4 illustrates the different antibiotics utilized in our institution during the study period and their frequency. Vancomycin (n = </w:t>
      </w:r>
      <w:r w:rsidRPr="000635E7">
        <w:rPr>
          <w:rFonts w:ascii="Arial" w:hAnsi="Arial" w:cs="Arial"/>
          <w:color w:val="000000" w:themeColor="text1"/>
          <w:lang w:eastAsia="en-US"/>
        </w:rPr>
        <w:t>70, 33.02 %), meropenem (n = 43, 20.28 %), and piperacillin-tazobactam (n = 24, 11.32 %) were the most common options for initial, empiric therapy.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</w:rPr>
      </w:pPr>
      <w:r w:rsidRPr="000635E7">
        <w:rPr>
          <w:rFonts w:ascii="Arial" w:hAnsi="Arial" w:cs="Arial"/>
          <w:color w:val="000000" w:themeColor="text1"/>
        </w:rPr>
        <w:t>Table 5. Antibiotic susceptibility profile of Gram-positive organisms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920"/>
        <w:gridCol w:w="946"/>
        <w:gridCol w:w="897"/>
        <w:gridCol w:w="873"/>
        <w:gridCol w:w="838"/>
        <w:gridCol w:w="969"/>
        <w:gridCol w:w="921"/>
        <w:gridCol w:w="1230"/>
        <w:gridCol w:w="1175"/>
      </w:tblGrid>
      <w:tr w:rsidR="00784310" w:rsidRPr="000635E7" w:rsidTr="00E54170">
        <w:trPr>
          <w:trHeight w:val="60"/>
        </w:trPr>
        <w:tc>
          <w:tcPr>
            <w:tcW w:w="314" w:type="pct"/>
            <w:vMerge w:val="restart"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2408" w:type="pct"/>
            <w:gridSpan w:val="5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Coagulase negative </w:t>
            </w:r>
            <w:r w:rsidRPr="000635E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US"/>
              </w:rPr>
              <w:t>Staphylococcus</w:t>
            </w: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 spp</w:t>
            </w:r>
          </w:p>
        </w:tc>
        <w:tc>
          <w:tcPr>
            <w:tcW w:w="1016" w:type="pct"/>
            <w:gridSpan w:val="2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US"/>
              </w:rPr>
              <w:t>Staphylococcus aureus</w:t>
            </w:r>
          </w:p>
        </w:tc>
        <w:tc>
          <w:tcPr>
            <w:tcW w:w="631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Group A 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i/>
                <w:iCs/>
                <w:color w:val="000000" w:themeColor="text1"/>
                <w:sz w:val="16"/>
                <w:szCs w:val="16"/>
                <w:lang w:eastAsia="en-US"/>
              </w:rPr>
              <w:t>Streptococcus</w:t>
            </w:r>
          </w:p>
        </w:tc>
        <w:tc>
          <w:tcPr>
            <w:tcW w:w="631" w:type="pct"/>
            <w:vMerge w:val="restar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Total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96 (%)</w:t>
            </w:r>
          </w:p>
        </w:tc>
      </w:tr>
      <w:tr w:rsidR="00784310" w:rsidRPr="000635E7" w:rsidTr="00E54170">
        <w:trPr>
          <w:trHeight w:val="143"/>
        </w:trPr>
        <w:tc>
          <w:tcPr>
            <w:tcW w:w="314" w:type="pct"/>
            <w:vMerge/>
            <w:hideMark/>
          </w:tcPr>
          <w:p w:rsidR="00784310" w:rsidRPr="000635E7" w:rsidRDefault="00784310" w:rsidP="00E541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495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MRSE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34 (%)</w:t>
            </w:r>
          </w:p>
        </w:tc>
        <w:tc>
          <w:tcPr>
            <w:tcW w:w="509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SHO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16 (%)</w:t>
            </w:r>
          </w:p>
        </w:tc>
        <w:tc>
          <w:tcPr>
            <w:tcW w:w="483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SHL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13 (%)</w:t>
            </w:r>
          </w:p>
        </w:tc>
        <w:tc>
          <w:tcPr>
            <w:tcW w:w="470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MSSE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5 (%)</w:t>
            </w:r>
          </w:p>
        </w:tc>
        <w:tc>
          <w:tcPr>
            <w:tcW w:w="451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SLU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1</w:t>
            </w:r>
          </w:p>
        </w:tc>
        <w:tc>
          <w:tcPr>
            <w:tcW w:w="521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MSSA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16 (%)</w:t>
            </w:r>
          </w:p>
        </w:tc>
        <w:tc>
          <w:tcPr>
            <w:tcW w:w="495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MRSA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 10 (%)</w:t>
            </w:r>
          </w:p>
        </w:tc>
        <w:tc>
          <w:tcPr>
            <w:tcW w:w="631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SPY </w:t>
            </w:r>
          </w:p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n =1 (%)</w:t>
            </w:r>
          </w:p>
        </w:tc>
        <w:tc>
          <w:tcPr>
            <w:tcW w:w="631" w:type="pct"/>
            <w:vMerge/>
            <w:hideMark/>
          </w:tcPr>
          <w:p w:rsidR="00784310" w:rsidRPr="000635E7" w:rsidRDefault="00784310" w:rsidP="00E5417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VA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34 (100)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13 (100)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5 (100)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96 (100)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OX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3 (18.75)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(7.69)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15 (93.75)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24 (47.06)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SXT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24 (70.59)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9 (56.25)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5 (38.46)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14 (87.5)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8 (80)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65 (68.42)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LVX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29 (85.29)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14 (87.5)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 (15.38)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76 (80)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CIP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29 (85.29)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14 (87.5)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(7.69)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8 (80)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73 (76.84)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LZD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33 (97.06)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13 (100)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5 (100)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95 (98.96)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G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29 (85.29)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15 (93.75)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 (15.38)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76 (80.85)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3</w:t>
            </w:r>
          </w:p>
        </w:tc>
      </w:tr>
      <w:tr w:rsidR="00784310" w:rsidRPr="000635E7" w:rsidTr="00E54170">
        <w:trPr>
          <w:trHeight w:val="60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MXF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28 (82.35)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(62.5)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3 (23.08)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11 (68.75)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7 (70)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64 (67.37)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E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12 (35.29)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 (12.5)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(7.69)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(20)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15 (93.75)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8 (80)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40 (42.11)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TE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29 (85.29)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12 (75)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12 (92.3)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5 (100)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8 (80)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83 (87.37)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CD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29 (85.29)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14 (87.5)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 (15.38)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4 (80)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16 (100)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77 (80.21)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CRO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1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4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FEP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1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4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lastRenderedPageBreak/>
              <w:t>PEN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1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5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AMP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(100)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1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4</w:t>
            </w:r>
          </w:p>
        </w:tc>
      </w:tr>
      <w:tr w:rsidR="00784310" w:rsidRPr="000635E7" w:rsidTr="00E54170">
        <w:trPr>
          <w:trHeight w:val="47"/>
        </w:trPr>
        <w:tc>
          <w:tcPr>
            <w:tcW w:w="314" w:type="pct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 xml:space="preserve">MDR 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12 (35.29)</w:t>
            </w:r>
          </w:p>
        </w:tc>
        <w:tc>
          <w:tcPr>
            <w:tcW w:w="509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12 (75)</w:t>
            </w:r>
          </w:p>
        </w:tc>
        <w:tc>
          <w:tcPr>
            <w:tcW w:w="483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10 (76.92)</w:t>
            </w:r>
          </w:p>
        </w:tc>
        <w:tc>
          <w:tcPr>
            <w:tcW w:w="470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(20)</w:t>
            </w:r>
          </w:p>
        </w:tc>
        <w:tc>
          <w:tcPr>
            <w:tcW w:w="45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52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1 (6.25)</w:t>
            </w:r>
          </w:p>
        </w:tc>
        <w:tc>
          <w:tcPr>
            <w:tcW w:w="495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2 (20)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0</w:t>
            </w:r>
          </w:p>
        </w:tc>
        <w:tc>
          <w:tcPr>
            <w:tcW w:w="631" w:type="pct"/>
            <w:shd w:val="clear" w:color="auto" w:fill="auto"/>
            <w:hideMark/>
          </w:tcPr>
          <w:p w:rsidR="00784310" w:rsidRPr="000635E7" w:rsidRDefault="00784310" w:rsidP="00E54170">
            <w:pPr>
              <w:pStyle w:val="NoSpacing"/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6"/>
                <w:szCs w:val="16"/>
                <w:lang w:eastAsia="en-US"/>
              </w:rPr>
              <w:t>38 (39.58)</w:t>
            </w:r>
          </w:p>
        </w:tc>
      </w:tr>
    </w:tbl>
    <w:p w:rsidR="00784310" w:rsidRPr="000635E7" w:rsidRDefault="00784310" w:rsidP="00784310">
      <w:pPr>
        <w:pStyle w:val="NoSpacing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b/>
          <w:bCs/>
          <w:color w:val="000000" w:themeColor="text1"/>
          <w:sz w:val="14"/>
          <w:szCs w:val="14"/>
        </w:rPr>
        <w:t>Abbreviations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: MRSE, methicillin resistant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epidermidis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SHO,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hominis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SHL,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hemolyticus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MSSE, methicillin susceptible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epidermidis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SLU,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lugdunensis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MSSA, methicillin susceptible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aureus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MRSA, methicillin resistant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Staphylococcus aureus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SPY,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Streptococcus pyogenes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>; VA, vancomycin; OX, oxacillin, SXT, Trimethoprim/Sulfamethoxazole; LVX, Levofloxacin; CIP, ciprofloxacin; LZD, linezolid; G, gentamicin; MXF, moxifloxacin; E, erythromycin; TE, tetracycline; CD, clindamycin; CRO, ceftriaxone; FEP, cefepime; PEN, penicillin G; AMP, ampicillin; MDR, multidrug resistant organism</w:t>
      </w:r>
    </w:p>
    <w:p w:rsidR="00784310" w:rsidRPr="000635E7" w:rsidRDefault="00784310" w:rsidP="00784310">
      <w:pPr>
        <w:pStyle w:val="NoSpacing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Note: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51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2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95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3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94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4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1 isolate,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5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2 isolates.</w:t>
      </w:r>
    </w:p>
    <w:p w:rsidR="00784310" w:rsidRPr="000635E7" w:rsidRDefault="00784310" w:rsidP="00784310">
      <w:pPr>
        <w:pStyle w:val="NoSpacing"/>
        <w:jc w:val="both"/>
        <w:rPr>
          <w:rFonts w:ascii="Arial" w:hAnsi="Arial" w:cs="Arial"/>
          <w:color w:val="000000" w:themeColor="text1"/>
        </w:rPr>
      </w:pPr>
    </w:p>
    <w:p w:rsidR="00784310" w:rsidRPr="000635E7" w:rsidRDefault="00784310" w:rsidP="00784310">
      <w:pPr>
        <w:pStyle w:val="NoSpacing"/>
        <w:spacing w:line="48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635E7">
        <w:rPr>
          <w:rFonts w:ascii="Arial" w:hAnsi="Arial" w:cs="Arial"/>
          <w:color w:val="000000" w:themeColor="text1"/>
        </w:rPr>
        <w:t xml:space="preserve">Table 5 demonstrates the antibiotic susceptibility profiles for gram-positive organisms. Most isolates were found to be susceptible to vancomycin (n = 96, 100%), linezolid (n = 95, 98.6%), and tetracycline (n = 87, 87.37%) while being least susceptible to erythromycin (n = 40, 42.11%) and oxacillin (n = 24, 47.06%). Multidrug-resistant organisms comprised 39.58% (n = 38) of gram-positive isolates, mostly documented among CONS species (n = 35, 92.11%), with </w:t>
      </w:r>
      <w:r w:rsidRPr="000635E7">
        <w:rPr>
          <w:rFonts w:ascii="Arial" w:hAnsi="Arial" w:cs="Arial"/>
          <w:i/>
          <w:iCs/>
          <w:color w:val="000000" w:themeColor="text1"/>
        </w:rPr>
        <w:t>S. hemolyticus</w:t>
      </w:r>
      <w:r w:rsidRPr="000635E7">
        <w:rPr>
          <w:rFonts w:ascii="Arial" w:hAnsi="Arial" w:cs="Arial"/>
          <w:color w:val="000000" w:themeColor="text1"/>
        </w:rPr>
        <w:t xml:space="preserve"> (n = 10, 76.92%) and </w:t>
      </w:r>
      <w:r w:rsidRPr="000635E7">
        <w:rPr>
          <w:rFonts w:ascii="Arial" w:hAnsi="Arial" w:cs="Arial"/>
          <w:i/>
          <w:iCs/>
          <w:color w:val="000000" w:themeColor="text1"/>
        </w:rPr>
        <w:t>S. hominis</w:t>
      </w:r>
      <w:r w:rsidRPr="000635E7">
        <w:rPr>
          <w:rFonts w:ascii="Arial" w:hAnsi="Arial" w:cs="Arial"/>
          <w:color w:val="000000" w:themeColor="text1"/>
        </w:rPr>
        <w:t xml:space="preserve"> (n = 12, 75%) having the highest proportion of MDRO organisms. </w:t>
      </w:r>
    </w:p>
    <w:p w:rsidR="00784310" w:rsidRPr="000635E7" w:rsidRDefault="00784310" w:rsidP="00784310">
      <w:pPr>
        <w:pStyle w:val="NoSpacing"/>
        <w:spacing w:line="480" w:lineRule="auto"/>
        <w:ind w:firstLine="720"/>
        <w:jc w:val="both"/>
        <w:rPr>
          <w:rFonts w:ascii="Arial" w:hAnsi="Arial" w:cs="Arial"/>
          <w:color w:val="000000" w:themeColor="text1"/>
        </w:rPr>
      </w:pPr>
      <w:r w:rsidRPr="000635E7">
        <w:rPr>
          <w:rFonts w:ascii="Arial" w:hAnsi="Arial" w:cs="Arial"/>
          <w:color w:val="000000" w:themeColor="text1"/>
        </w:rPr>
        <w:t xml:space="preserve">Antibiotic susceptibility profiles of gram-negative organisms are shown in Table 6. Among antibiotics that were tested with at least 50 isolates, gram-negative organisms were found to be most susceptible to meropenem (n = 72, 75.79%), imipenem (n = 48, 71.64%), colistin (n = 47, 71.21%) and minocycline (n = 38, 70.37%) and poorly susceptiblility to gentamicin (n = 32, 47.06%), levofloxacin (n = 40, 45.98%) and piperacillin-tazobactam (n = 36, 55.38%). MDROs comprised almost half (n = 51, 49.04%) of the isolates, the majority of which were </w:t>
      </w:r>
      <w:r w:rsidRPr="000635E7">
        <w:rPr>
          <w:rFonts w:ascii="Arial" w:hAnsi="Arial" w:cs="Arial"/>
          <w:i/>
          <w:iCs/>
          <w:color w:val="000000" w:themeColor="text1"/>
        </w:rPr>
        <w:t>Acinetobacter</w:t>
      </w:r>
      <w:r w:rsidRPr="000635E7">
        <w:rPr>
          <w:rFonts w:ascii="Arial" w:hAnsi="Arial" w:cs="Arial"/>
          <w:color w:val="000000" w:themeColor="text1"/>
        </w:rPr>
        <w:t xml:space="preserve"> spp. MDROs (n = 15, 29.41%). Lastly, all fungal isolates were pan-susceptible to all antifungal agents (Table 7).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eastAsia="Arial" w:hAnsi="Arial" w:cs="Arial"/>
          <w:color w:val="000000" w:themeColor="text1"/>
        </w:rPr>
      </w:pPr>
    </w:p>
    <w:p w:rsidR="00784310" w:rsidRPr="000635E7" w:rsidRDefault="00784310" w:rsidP="00784310">
      <w:pPr>
        <w:pStyle w:val="NoSpacing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35E7">
        <w:rPr>
          <w:rFonts w:ascii="Arial" w:hAnsi="Arial" w:cs="Arial"/>
          <w:color w:val="000000" w:themeColor="text1"/>
          <w:sz w:val="20"/>
          <w:szCs w:val="20"/>
        </w:rPr>
        <w:t xml:space="preserve">Table 6. </w:t>
      </w:r>
      <w:r w:rsidRPr="000635E7">
        <w:rPr>
          <w:rFonts w:ascii="Arial" w:hAnsi="Arial" w:cs="Arial"/>
          <w:color w:val="000000" w:themeColor="text1"/>
          <w:sz w:val="18"/>
          <w:szCs w:val="18"/>
        </w:rPr>
        <w:t>Antibiotic susceptibility profile of gram-negative organisms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513"/>
        <w:gridCol w:w="513"/>
        <w:gridCol w:w="513"/>
        <w:gridCol w:w="436"/>
        <w:gridCol w:w="514"/>
        <w:gridCol w:w="514"/>
        <w:gridCol w:w="436"/>
        <w:gridCol w:w="436"/>
        <w:gridCol w:w="436"/>
        <w:gridCol w:w="514"/>
        <w:gridCol w:w="436"/>
        <w:gridCol w:w="436"/>
        <w:gridCol w:w="436"/>
        <w:gridCol w:w="436"/>
        <w:gridCol w:w="436"/>
        <w:gridCol w:w="514"/>
        <w:gridCol w:w="436"/>
        <w:gridCol w:w="436"/>
        <w:gridCol w:w="514"/>
      </w:tblGrid>
      <w:tr w:rsidR="00784310" w:rsidRPr="000635E7" w:rsidTr="00784310">
        <w:trPr>
          <w:trHeight w:val="70"/>
        </w:trPr>
        <w:tc>
          <w:tcPr>
            <w:tcW w:w="191" w:type="pct"/>
            <w:vMerge w:val="restart"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93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BCE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26</w:t>
            </w:r>
          </w:p>
        </w:tc>
        <w:tc>
          <w:tcPr>
            <w:tcW w:w="784" w:type="pct"/>
            <w:gridSpan w:val="3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eastAsia="en-US"/>
              </w:rPr>
              <w:t>Acinetobacter</w:t>
            </w: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 spp</w:t>
            </w:r>
          </w:p>
        </w:tc>
        <w:tc>
          <w:tcPr>
            <w:tcW w:w="1263" w:type="pct"/>
            <w:gridSpan w:val="5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eastAsia="en-US"/>
              </w:rPr>
              <w:t xml:space="preserve">Enterobacter </w:t>
            </w: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spp</w:t>
            </w:r>
          </w:p>
        </w:tc>
        <w:tc>
          <w:tcPr>
            <w:tcW w:w="500" w:type="pct"/>
            <w:gridSpan w:val="2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i/>
                <w:iCs/>
                <w:color w:val="000000" w:themeColor="text1"/>
                <w:sz w:val="14"/>
                <w:szCs w:val="14"/>
                <w:lang w:eastAsia="en-US"/>
              </w:rPr>
              <w:t>Pseudomonas</w:t>
            </w: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 spp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ACH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5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SMA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5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ELK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 n = 3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RLS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3</w:t>
            </w:r>
          </w:p>
        </w:tc>
        <w:tc>
          <w:tcPr>
            <w:tcW w:w="26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EFM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=3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EIK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2</w:t>
            </w:r>
          </w:p>
        </w:tc>
        <w:tc>
          <w:tcPr>
            <w:tcW w:w="226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CHR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348" w:type="pct"/>
            <w:vMerge w:val="restar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Total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104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vMerge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93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ABA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18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ALW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3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AJU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KPN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12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ECO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11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SER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ECL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PRO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PAE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7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 xml:space="preserve">PST 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  <w:t>n = 1</w:t>
            </w: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6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348" w:type="pct"/>
            <w:vMerge/>
            <w:shd w:val="clear" w:color="auto" w:fill="auto"/>
            <w:hideMark/>
          </w:tcPr>
          <w:p w:rsidR="00784310" w:rsidRPr="000635E7" w:rsidRDefault="00784310" w:rsidP="00784310">
            <w:pPr>
              <w:spacing w:after="0" w:line="240" w:lineRule="auto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eastAsia="en-US"/>
              </w:rPr>
            </w:pPr>
          </w:p>
        </w:tc>
      </w:tr>
      <w:tr w:rsidR="00784310" w:rsidRPr="000635E7" w:rsidTr="00784310">
        <w:trPr>
          <w:trHeight w:val="107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bookmarkStart w:id="0" w:name="_Hlk96617383"/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MEM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26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(27.78)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  <w:bookmarkStart w:id="1" w:name="_GoBack"/>
            <w:bookmarkEnd w:id="1"/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12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(60)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72 (75.79)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TZP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4 (22.22)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(75)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(90.91)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(71.43)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(40)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36 (55.38)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2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COL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18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(83.33)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(90.91)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(42.86)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(60)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47 (71.21)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3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lastRenderedPageBreak/>
              <w:t>CAZ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26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4 (22.22)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(90.91)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(60)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60 (64.52)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4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SXT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16 (61.54)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(27.78)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(45.45)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53 (59.55)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5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MI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15 (57.69)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14 (77.78)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(66.67)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38 (70.37)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6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CZ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8 (72.72)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15 (65.22)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7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SAM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6 (33.33)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(25)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(81.82)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24 (51.06)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8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AMC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(63.64)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14 (60.87)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7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CXM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6 (50)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(81.82)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15 (62.5)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9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FOX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(75)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(81.82)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19 (79.16)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9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CRO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(66.67)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9 (81.82)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26 (68.42)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10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FEP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(27.78)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8 (66.67)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(90.91)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44 (64.71)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11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ETP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12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28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12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IPM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(27.78)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12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(90.91)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(50)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48 (71.64)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13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AN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12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41 (60.29)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11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LVX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(26.92)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(16.67)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12 (100)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(45.45)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(71.43)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40 (45.98)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14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CIP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4 (22.22)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11 (91.67)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4 (36.36)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(100)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41 (59.42)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15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G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(27.78)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(58.33)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7 (63.64)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(71.43)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(60)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(50)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32 (47.06)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11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G120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(66.67)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2 (66.67)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16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MXF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LZD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3 (100)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16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VA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 (33.33)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16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AMP</w:t>
            </w:r>
          </w:p>
        </w:tc>
        <w:tc>
          <w:tcPr>
            <w:tcW w:w="293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270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shd w:val="clear" w:color="auto" w:fill="FFFFFF" w:themeFill="background1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1 (25) </w:t>
            </w: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vertAlign w:val="superscript"/>
                <w:lang w:eastAsia="en-US"/>
              </w:rPr>
              <w:t>17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 xml:space="preserve">PEN 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S300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shd w:val="clear" w:color="auto" w:fill="auto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lastRenderedPageBreak/>
              <w:t>TE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-</w:t>
            </w:r>
          </w:p>
        </w:tc>
        <w:tc>
          <w:tcPr>
            <w:tcW w:w="348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</w:tr>
      <w:tr w:rsidR="00784310" w:rsidRPr="000635E7" w:rsidTr="00784310">
        <w:trPr>
          <w:trHeight w:val="53"/>
        </w:trPr>
        <w:tc>
          <w:tcPr>
            <w:tcW w:w="191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MDR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10 (38.46)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14 (77.78)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(33.33)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6 (50)</w:t>
            </w:r>
          </w:p>
        </w:tc>
        <w:tc>
          <w:tcPr>
            <w:tcW w:w="293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 (45.45)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7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(28.57)</w:t>
            </w:r>
          </w:p>
        </w:tc>
        <w:tc>
          <w:tcPr>
            <w:tcW w:w="230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(40)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0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3 (100)</w:t>
            </w:r>
          </w:p>
        </w:tc>
        <w:tc>
          <w:tcPr>
            <w:tcW w:w="26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(66.67)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2 (100)</w:t>
            </w:r>
          </w:p>
        </w:tc>
        <w:tc>
          <w:tcPr>
            <w:tcW w:w="226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1 (100)</w:t>
            </w:r>
          </w:p>
        </w:tc>
        <w:tc>
          <w:tcPr>
            <w:tcW w:w="348" w:type="pct"/>
            <w:hideMark/>
          </w:tcPr>
          <w:p w:rsidR="00784310" w:rsidRPr="000635E7" w:rsidRDefault="00784310" w:rsidP="00784310">
            <w:pPr>
              <w:pStyle w:val="NoSpacing"/>
              <w:spacing w:line="480" w:lineRule="auto"/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4"/>
                <w:szCs w:val="14"/>
                <w:lang w:eastAsia="en-US"/>
              </w:rPr>
              <w:t>51 (49.04)</w:t>
            </w:r>
          </w:p>
        </w:tc>
      </w:tr>
    </w:tbl>
    <w:bookmarkEnd w:id="0"/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b/>
          <w:bCs/>
          <w:color w:val="000000" w:themeColor="text1"/>
          <w:sz w:val="14"/>
          <w:szCs w:val="14"/>
        </w:rPr>
        <w:t>Abbreviations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: BCE,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 xml:space="preserve">B. cepacia 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complex; ABA,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Acinetobacter baumanii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ALW,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Acinetobacter lwolfii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AJU,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Acinetobacter junii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KPN,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Klebsiella pneumoniae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ECO,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Escherichia coli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SER,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Serratia marcescens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ECL,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Enterobacter cloacae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PRO,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Providencia stuartii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PAE,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Pseudomonas aeruginosa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PST,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Pseudomonas stutzeri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ACH,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Achromobacter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spp; SMA,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Stenotrophomonas maltophilia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ELK,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Elizabethkingia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spp; RLS,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Ralstonia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spp.; EFM,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Enterococcus faecium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; EIK,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Eikinella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spp; CHR, </w:t>
      </w:r>
      <w:r w:rsidRPr="000635E7">
        <w:rPr>
          <w:rFonts w:ascii="Arial" w:hAnsi="Arial" w:cs="Arial"/>
          <w:i/>
          <w:iCs/>
          <w:color w:val="000000" w:themeColor="text1"/>
          <w:sz w:val="14"/>
          <w:szCs w:val="14"/>
        </w:rPr>
        <w:t>Chrysobacterium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spp; MEM, meropenem; TZP, piperacillin-tazobactam; COL, colistin; CAZ, ceftazidime; SXT, Trimethoprim /Sulfamethoxazole; MI, minocycline; CZ, cefazolin; SAM, ampicillin/sulbactam; AMC, amoxicillin/clavulanic acid; CXR, cefuroxime; FOX, cefoxitin; CRO, ceftriaxone; FEP, cefepime; ETP, ertapenem; IPM, imipenem; AN, amikacin; LVX, levofloxacin; CIP, ciprofloxacin; G, gentamicin; G120, high gentamicin; MXF, moxifloxacin; LZD, linezolid; VA, vancomycin; AMP, ampicillin, PEN, penicillin G; S300, streptomycin; TE, tetracycline; MDR, multidrug resistant organism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Note: 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95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2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65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3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66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4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93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5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89 isolates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6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54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7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23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8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47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9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24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10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38 isolates,  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11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68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12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28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13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67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14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87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15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69 isolates</w:t>
      </w:r>
    </w:p>
    <w:p w:rsidR="00784310" w:rsidRPr="000635E7" w:rsidRDefault="00784310" w:rsidP="00784310">
      <w:pPr>
        <w:pStyle w:val="NoSpacing"/>
        <w:spacing w:line="480" w:lineRule="auto"/>
        <w:jc w:val="both"/>
        <w:rPr>
          <w:rFonts w:ascii="Arial" w:hAnsi="Arial" w:cs="Arial"/>
          <w:color w:val="000000" w:themeColor="text1"/>
          <w:sz w:val="14"/>
          <w:szCs w:val="14"/>
        </w:rPr>
      </w:pP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16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3 isolates, </w:t>
      </w:r>
      <w:r w:rsidRPr="000635E7">
        <w:rPr>
          <w:rFonts w:ascii="Arial" w:hAnsi="Arial" w:cs="Arial"/>
          <w:color w:val="000000" w:themeColor="text1"/>
          <w:sz w:val="14"/>
          <w:szCs w:val="14"/>
          <w:vertAlign w:val="superscript"/>
        </w:rPr>
        <w:t>17</w:t>
      </w:r>
      <w:r w:rsidRPr="000635E7">
        <w:rPr>
          <w:rFonts w:ascii="Arial" w:hAnsi="Arial" w:cs="Arial"/>
          <w:color w:val="000000" w:themeColor="text1"/>
          <w:sz w:val="14"/>
          <w:szCs w:val="14"/>
        </w:rPr>
        <w:t xml:space="preserve"> Calculated in relation to 4 isolates</w:t>
      </w:r>
      <w:r w:rsidRPr="000635E7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:rsidR="00784310" w:rsidRPr="000635E7" w:rsidRDefault="00784310" w:rsidP="00784310">
      <w:pPr>
        <w:pStyle w:val="NoSpacing"/>
        <w:spacing w:line="480" w:lineRule="auto"/>
        <w:ind w:firstLine="720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0635E7">
        <w:rPr>
          <w:rFonts w:ascii="Arial" w:hAnsi="Arial" w:cs="Arial"/>
          <w:color w:val="000000" w:themeColor="text1"/>
          <w:sz w:val="18"/>
          <w:szCs w:val="18"/>
        </w:rPr>
        <w:t>Table 7. Antibiotic susceptibility profile of fungal organisms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2"/>
        <w:gridCol w:w="1698"/>
        <w:gridCol w:w="1698"/>
        <w:gridCol w:w="1698"/>
        <w:gridCol w:w="1694"/>
      </w:tblGrid>
      <w:tr w:rsidR="00784310" w:rsidRPr="000635E7" w:rsidTr="00784310">
        <w:tc>
          <w:tcPr>
            <w:tcW w:w="1370" w:type="pct"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CAL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n = 1 (%)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CFA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n = 1 (%)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CGL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n = 1 (%)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CTR</w:t>
            </w:r>
          </w:p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n = 1 (%)</w:t>
            </w:r>
          </w:p>
        </w:tc>
      </w:tr>
      <w:tr w:rsidR="00784310" w:rsidRPr="000635E7" w:rsidTr="00784310">
        <w:trPr>
          <w:trHeight w:val="332"/>
        </w:trPr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Fluconazole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  <w:tr w:rsidR="00784310" w:rsidRPr="000635E7" w:rsidTr="00784310">
        <w:trPr>
          <w:trHeight w:val="170"/>
        </w:trPr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Caspofungin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  <w:tr w:rsidR="00784310" w:rsidRPr="000635E7" w:rsidTr="00784310"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Voriconazole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  <w:tr w:rsidR="00784310" w:rsidRPr="000635E7" w:rsidTr="00784310"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Micafungin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  <w:tr w:rsidR="00784310" w:rsidRPr="000635E7" w:rsidTr="00784310"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Amphotericin B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  <w:tr w:rsidR="00784310" w:rsidRPr="000635E7" w:rsidTr="00784310">
        <w:tc>
          <w:tcPr>
            <w:tcW w:w="1370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Flucytosine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  <w:tc>
          <w:tcPr>
            <w:tcW w:w="908" w:type="pct"/>
            <w:hideMark/>
          </w:tcPr>
          <w:p w:rsidR="00784310" w:rsidRPr="000635E7" w:rsidRDefault="00784310" w:rsidP="00784310">
            <w:pPr>
              <w:pStyle w:val="NoSpacing"/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</w:pPr>
            <w:r w:rsidRPr="000635E7">
              <w:rPr>
                <w:rFonts w:ascii="Arial" w:hAnsi="Arial" w:cs="Arial"/>
                <w:color w:val="000000" w:themeColor="text1"/>
                <w:sz w:val="18"/>
                <w:szCs w:val="18"/>
                <w:lang w:eastAsia="en-US"/>
              </w:rPr>
              <w:t>1 (100)</w:t>
            </w:r>
          </w:p>
        </w:tc>
      </w:tr>
    </w:tbl>
    <w:p w:rsidR="00784310" w:rsidRPr="000F441F" w:rsidRDefault="00784310" w:rsidP="00784310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0635E7">
        <w:rPr>
          <w:rFonts w:ascii="Arial" w:hAnsi="Arial" w:cs="Arial"/>
          <w:b/>
          <w:bCs/>
          <w:color w:val="000000" w:themeColor="text1"/>
          <w:sz w:val="16"/>
          <w:szCs w:val="16"/>
        </w:rPr>
        <w:t>Abbreviations</w:t>
      </w:r>
      <w:r w:rsidRPr="000635E7">
        <w:rPr>
          <w:rFonts w:ascii="Arial" w:hAnsi="Arial" w:cs="Arial"/>
          <w:color w:val="000000" w:themeColor="text1"/>
          <w:sz w:val="16"/>
          <w:szCs w:val="16"/>
        </w:rPr>
        <w:t xml:space="preserve">: CAL, </w:t>
      </w:r>
      <w:r w:rsidRPr="000635E7">
        <w:rPr>
          <w:rFonts w:ascii="Arial" w:hAnsi="Arial" w:cs="Arial"/>
          <w:i/>
          <w:iCs/>
          <w:color w:val="000000" w:themeColor="text1"/>
          <w:sz w:val="16"/>
          <w:szCs w:val="16"/>
        </w:rPr>
        <w:t>Candida albicans</w:t>
      </w:r>
      <w:r w:rsidRPr="000635E7">
        <w:rPr>
          <w:rFonts w:ascii="Arial" w:hAnsi="Arial" w:cs="Arial"/>
          <w:color w:val="000000" w:themeColor="text1"/>
          <w:sz w:val="16"/>
          <w:szCs w:val="16"/>
        </w:rPr>
        <w:t xml:space="preserve">; CFA, </w:t>
      </w:r>
      <w:r w:rsidRPr="000635E7">
        <w:rPr>
          <w:rFonts w:ascii="Arial" w:hAnsi="Arial" w:cs="Arial"/>
          <w:i/>
          <w:iCs/>
          <w:color w:val="000000" w:themeColor="text1"/>
          <w:sz w:val="16"/>
          <w:szCs w:val="16"/>
        </w:rPr>
        <w:t>Candida famata</w:t>
      </w:r>
      <w:r w:rsidRPr="000635E7">
        <w:rPr>
          <w:rFonts w:ascii="Arial" w:hAnsi="Arial" w:cs="Arial"/>
          <w:color w:val="000000" w:themeColor="text1"/>
          <w:sz w:val="16"/>
          <w:szCs w:val="16"/>
        </w:rPr>
        <w:t xml:space="preserve">; CGL, </w:t>
      </w:r>
      <w:r w:rsidRPr="000635E7">
        <w:rPr>
          <w:rFonts w:ascii="Arial" w:hAnsi="Arial" w:cs="Arial"/>
          <w:i/>
          <w:iCs/>
          <w:color w:val="000000" w:themeColor="text1"/>
          <w:sz w:val="16"/>
          <w:szCs w:val="16"/>
        </w:rPr>
        <w:t>Candida glabrata</w:t>
      </w:r>
      <w:r w:rsidRPr="000635E7">
        <w:rPr>
          <w:rFonts w:ascii="Arial" w:hAnsi="Arial" w:cs="Arial"/>
          <w:color w:val="000000" w:themeColor="text1"/>
          <w:sz w:val="16"/>
          <w:szCs w:val="16"/>
        </w:rPr>
        <w:t xml:space="preserve">; CTR, </w:t>
      </w:r>
      <w:r w:rsidRPr="000635E7">
        <w:rPr>
          <w:rFonts w:ascii="Arial" w:hAnsi="Arial" w:cs="Arial"/>
          <w:i/>
          <w:iCs/>
          <w:color w:val="000000" w:themeColor="text1"/>
          <w:sz w:val="16"/>
          <w:szCs w:val="16"/>
        </w:rPr>
        <w:t>Candida tropicalis</w:t>
      </w:r>
    </w:p>
    <w:p w:rsidR="003F1171" w:rsidRDefault="003F1171"/>
    <w:sectPr w:rsidR="003F1171" w:rsidSect="009F0B79"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1891121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8670AE" w:rsidRDefault="00784310">
            <w:pPr>
              <w:pStyle w:val="Footer"/>
              <w:jc w:val="right"/>
            </w:pPr>
            <w:r w:rsidRPr="00A76BCD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4</w: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A76BCD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5</w:t>
            </w:r>
            <w:r w:rsidRPr="00A76BCD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:rsidR="008670AE" w:rsidRPr="00140F09" w:rsidRDefault="00784310" w:rsidP="00140F09">
    <w:pPr>
      <w:pStyle w:val="Footer"/>
      <w:ind w:left="2520" w:firstLine="4680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   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446C3D"/>
    <w:multiLevelType w:val="hybridMultilevel"/>
    <w:tmpl w:val="98FEB77A"/>
    <w:lvl w:ilvl="0" w:tplc="066CD3C4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4310"/>
    <w:rsid w:val="00074CBC"/>
    <w:rsid w:val="000A1DF0"/>
    <w:rsid w:val="000C2523"/>
    <w:rsid w:val="000F43EC"/>
    <w:rsid w:val="0019367D"/>
    <w:rsid w:val="002456F0"/>
    <w:rsid w:val="002471C4"/>
    <w:rsid w:val="002969BD"/>
    <w:rsid w:val="002B2A37"/>
    <w:rsid w:val="002C0DDE"/>
    <w:rsid w:val="002C6077"/>
    <w:rsid w:val="00302AC7"/>
    <w:rsid w:val="003F1171"/>
    <w:rsid w:val="00417498"/>
    <w:rsid w:val="004277D8"/>
    <w:rsid w:val="00457BA7"/>
    <w:rsid w:val="004736BB"/>
    <w:rsid w:val="00481A84"/>
    <w:rsid w:val="00494CB3"/>
    <w:rsid w:val="004A2926"/>
    <w:rsid w:val="004A2ACA"/>
    <w:rsid w:val="004D4208"/>
    <w:rsid w:val="00524B38"/>
    <w:rsid w:val="00681DEA"/>
    <w:rsid w:val="006C5F87"/>
    <w:rsid w:val="006D12D0"/>
    <w:rsid w:val="00704FBE"/>
    <w:rsid w:val="00743731"/>
    <w:rsid w:val="00784310"/>
    <w:rsid w:val="007C6C4B"/>
    <w:rsid w:val="007D64C8"/>
    <w:rsid w:val="00826FCF"/>
    <w:rsid w:val="008318D3"/>
    <w:rsid w:val="00897CF5"/>
    <w:rsid w:val="008B2A63"/>
    <w:rsid w:val="00912A58"/>
    <w:rsid w:val="0094756A"/>
    <w:rsid w:val="00953CE7"/>
    <w:rsid w:val="009975F7"/>
    <w:rsid w:val="009C7743"/>
    <w:rsid w:val="00A23784"/>
    <w:rsid w:val="00A573B3"/>
    <w:rsid w:val="00A872F1"/>
    <w:rsid w:val="00B2372B"/>
    <w:rsid w:val="00B433E1"/>
    <w:rsid w:val="00B90336"/>
    <w:rsid w:val="00C83D27"/>
    <w:rsid w:val="00C941D3"/>
    <w:rsid w:val="00C95FD7"/>
    <w:rsid w:val="00CB2621"/>
    <w:rsid w:val="00CD3A3D"/>
    <w:rsid w:val="00CE6926"/>
    <w:rsid w:val="00DD1519"/>
    <w:rsid w:val="00DD4C56"/>
    <w:rsid w:val="00E059FC"/>
    <w:rsid w:val="00E134A2"/>
    <w:rsid w:val="00E428A1"/>
    <w:rsid w:val="00EC5DFA"/>
    <w:rsid w:val="00EC678E"/>
    <w:rsid w:val="00F1222C"/>
    <w:rsid w:val="00F40249"/>
    <w:rsid w:val="00FF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598C5C-37C3-4EA0-B085-34B5C4D2A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4310"/>
    <w:pPr>
      <w:spacing w:line="256" w:lineRule="auto"/>
    </w:pPr>
    <w:rPr>
      <w:rFonts w:ascii="Calibri" w:eastAsia="Calibri" w:hAnsi="Calibri" w:cs="Calibri"/>
      <w:lang w:val="en-PH" w:eastAsia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4310"/>
    <w:pPr>
      <w:spacing w:after="0" w:line="240" w:lineRule="auto"/>
    </w:pPr>
    <w:rPr>
      <w:rFonts w:ascii="Calibri" w:eastAsia="Calibri" w:hAnsi="Calibri" w:cs="Calibri"/>
      <w:lang w:val="en-PH" w:eastAsia="en-PH"/>
    </w:rPr>
  </w:style>
  <w:style w:type="paragraph" w:styleId="Footer">
    <w:name w:val="footer"/>
    <w:basedOn w:val="Normal"/>
    <w:link w:val="FooterChar"/>
    <w:uiPriority w:val="99"/>
    <w:unhideWhenUsed/>
    <w:rsid w:val="007843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4310"/>
    <w:rPr>
      <w:rFonts w:ascii="Calibri" w:eastAsia="Calibri" w:hAnsi="Calibri" w:cs="Calibri"/>
      <w:lang w:val="en-PH" w:eastAsia="en-PH"/>
    </w:rPr>
  </w:style>
  <w:style w:type="table" w:styleId="TableGrid">
    <w:name w:val="Table Grid"/>
    <w:basedOn w:val="TableNormal"/>
    <w:uiPriority w:val="39"/>
    <w:rsid w:val="00784310"/>
    <w:pPr>
      <w:spacing w:after="0" w:line="240" w:lineRule="auto"/>
    </w:pPr>
    <w:rPr>
      <w:lang w:val="en-P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1E1F417-8DCA-FB4F-92EC-C9E2779B12F8}">
  <we:reference id="wa104382081" version="1.55.1.0" store="en-US" storeType="OMEX"/>
  <we:alternateReferences>
    <we:reference id="wa104382081" version="1.55.1.0" store="wa104382081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1720</Words>
  <Characters>9806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Carl Ventolero</dc:creator>
  <cp:keywords/>
  <dc:description/>
  <cp:lastModifiedBy>Rene Carl Ventolero</cp:lastModifiedBy>
  <cp:revision>1</cp:revision>
  <dcterms:created xsi:type="dcterms:W3CDTF">2024-09-30T02:25:00Z</dcterms:created>
  <dcterms:modified xsi:type="dcterms:W3CDTF">2024-09-30T02:27:00Z</dcterms:modified>
</cp:coreProperties>
</file>