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7A4EB" w14:textId="3A58F2BB" w:rsidR="001713DE" w:rsidRPr="001713DE" w:rsidRDefault="00000000" w:rsidP="001713DE">
      <w:pPr>
        <w:widowControl/>
        <w:rPr>
          <w:rFonts w:ascii="Times New Roman" w:eastAsia="ＭＳ Ｐゴシック" w:hAnsi="Times New Roman" w:cs="Times New Roman"/>
          <w:b/>
          <w:bCs/>
          <w:sz w:val="24"/>
          <w:szCs w:val="24"/>
          <w:vertAlign w:val="superscript"/>
          <w:lang w:val="en-US"/>
        </w:rPr>
      </w:pPr>
      <w:r w:rsidRPr="001713DE">
        <w:rPr>
          <w:rFonts w:ascii="Times New Roman" w:eastAsia="ＭＳ Ｐゴシック" w:hAnsi="Times New Roman" w:cs="Times New Roman"/>
          <w:b/>
          <w:bCs/>
          <w:sz w:val="24"/>
          <w:szCs w:val="24"/>
          <w:lang w:val="en-US"/>
        </w:rPr>
        <w:t xml:space="preserve">Supplementary Table 2. Baseline characteristics by the population </w:t>
      </w:r>
      <w:r w:rsidR="00514881" w:rsidRPr="001713DE">
        <w:rPr>
          <w:rFonts w:ascii="Times New Roman" w:eastAsia="ＭＳ Ｐゴシック" w:hAnsi="Times New Roman" w:cs="Times New Roman"/>
          <w:b/>
          <w:bCs/>
          <w:sz w:val="24"/>
          <w:szCs w:val="24"/>
          <w:lang w:val="en-US"/>
        </w:rPr>
        <w:t>analyzed</w:t>
      </w:r>
      <w:r w:rsidRPr="001713DE">
        <w:rPr>
          <w:rFonts w:ascii="Times New Roman" w:eastAsia="ＭＳ Ｐゴシック" w:hAnsi="Times New Roman" w:cs="Times New Roman"/>
          <w:b/>
          <w:bCs/>
          <w:sz w:val="24"/>
          <w:szCs w:val="24"/>
          <w:lang w:val="en-US"/>
        </w:rPr>
        <w:t xml:space="preserve"> per timeline</w:t>
      </w:r>
      <w:r w:rsidRPr="001713DE">
        <w:rPr>
          <w:rFonts w:ascii="Times New Roman" w:eastAsia="ＭＳ Ｐゴシック" w:hAnsi="Times New Roman" w:cs="Times New Roman"/>
          <w:b/>
          <w:bCs/>
          <w:sz w:val="24"/>
          <w:szCs w:val="24"/>
          <w:vertAlign w:val="superscript"/>
          <w:lang w:val="en-US"/>
        </w:rPr>
        <w:t>#</w:t>
      </w:r>
    </w:p>
    <w:p w14:paraId="02AEBB18" w14:textId="77777777" w:rsidR="001713DE" w:rsidRPr="001713DE" w:rsidRDefault="001713DE" w:rsidP="001713DE">
      <w:pPr>
        <w:widowControl/>
        <w:rPr>
          <w:rFonts w:ascii="Times New Roman" w:eastAsia="ＭＳ Ｐゴシック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2"/>
        <w:tblW w:w="9733" w:type="dxa"/>
        <w:tblLook w:val="04A0" w:firstRow="1" w:lastRow="0" w:firstColumn="1" w:lastColumn="0" w:noHBand="0" w:noVBand="1"/>
      </w:tblPr>
      <w:tblGrid>
        <w:gridCol w:w="3544"/>
        <w:gridCol w:w="1985"/>
        <w:gridCol w:w="2124"/>
        <w:gridCol w:w="2080"/>
      </w:tblGrid>
      <w:tr w:rsidR="00160C5D" w14:paraId="4B3637DB" w14:textId="77777777" w:rsidTr="00160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044C3488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6189" w:type="dxa"/>
            <w:gridSpan w:val="3"/>
            <w:vAlign w:val="center"/>
            <w:hideMark/>
          </w:tcPr>
          <w:p w14:paraId="7A87EA58" w14:textId="77777777" w:rsidR="001713DE" w:rsidRPr="001713DE" w:rsidRDefault="00000000" w:rsidP="00597FB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Timeline</w:t>
            </w:r>
          </w:p>
        </w:tc>
      </w:tr>
      <w:tr w:rsidR="00160C5D" w14:paraId="274926CE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7A09ADE3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985" w:type="dxa"/>
            <w:vAlign w:val="center"/>
            <w:hideMark/>
          </w:tcPr>
          <w:p w14:paraId="6060DBCB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Baseline</w:t>
            </w:r>
          </w:p>
        </w:tc>
        <w:tc>
          <w:tcPr>
            <w:tcW w:w="2124" w:type="dxa"/>
            <w:vAlign w:val="center"/>
            <w:hideMark/>
          </w:tcPr>
          <w:p w14:paraId="7EDCDE2C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1-year after</w:t>
            </w:r>
          </w:p>
        </w:tc>
        <w:tc>
          <w:tcPr>
            <w:tcW w:w="2080" w:type="dxa"/>
            <w:vAlign w:val="center"/>
            <w:hideMark/>
          </w:tcPr>
          <w:p w14:paraId="7A443F9B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2-year after</w:t>
            </w:r>
          </w:p>
        </w:tc>
      </w:tr>
      <w:tr w:rsidR="00160C5D" w14:paraId="57EBBB0C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3C626C4D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1985" w:type="dxa"/>
            <w:noWrap/>
            <w:vAlign w:val="center"/>
            <w:hideMark/>
          </w:tcPr>
          <w:p w14:paraId="26E19A0B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n = 444</w:t>
            </w:r>
          </w:p>
        </w:tc>
        <w:tc>
          <w:tcPr>
            <w:tcW w:w="2124" w:type="dxa"/>
            <w:noWrap/>
            <w:vAlign w:val="center"/>
            <w:hideMark/>
          </w:tcPr>
          <w:p w14:paraId="37DF6A31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n = 295</w:t>
            </w:r>
          </w:p>
        </w:tc>
        <w:tc>
          <w:tcPr>
            <w:tcW w:w="2080" w:type="dxa"/>
            <w:noWrap/>
            <w:vAlign w:val="center"/>
            <w:hideMark/>
          </w:tcPr>
          <w:p w14:paraId="10F9BD9C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n = 203</w:t>
            </w:r>
          </w:p>
        </w:tc>
      </w:tr>
      <w:tr w:rsidR="00160C5D" w14:paraId="2C26A7CE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0973B01A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Demographics</w:t>
            </w:r>
          </w:p>
        </w:tc>
        <w:tc>
          <w:tcPr>
            <w:tcW w:w="1985" w:type="dxa"/>
            <w:noWrap/>
            <w:vAlign w:val="center"/>
            <w:hideMark/>
          </w:tcPr>
          <w:p w14:paraId="363788C6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124" w:type="dxa"/>
            <w:noWrap/>
            <w:vAlign w:val="center"/>
            <w:hideMark/>
          </w:tcPr>
          <w:p w14:paraId="0B86D7AB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center"/>
            <w:hideMark/>
          </w:tcPr>
          <w:p w14:paraId="4F0C7664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60C5D" w14:paraId="5FD13540" w14:textId="77777777" w:rsidTr="00160C5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62005CA1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Age, years</w:t>
            </w: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‡</w:t>
            </w:r>
          </w:p>
        </w:tc>
        <w:tc>
          <w:tcPr>
            <w:tcW w:w="1985" w:type="dxa"/>
            <w:noWrap/>
            <w:vAlign w:val="center"/>
            <w:hideMark/>
          </w:tcPr>
          <w:p w14:paraId="42EE81AD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67 (13.9)</w:t>
            </w:r>
          </w:p>
        </w:tc>
        <w:tc>
          <w:tcPr>
            <w:tcW w:w="2124" w:type="dxa"/>
            <w:noWrap/>
            <w:vAlign w:val="center"/>
            <w:hideMark/>
          </w:tcPr>
          <w:p w14:paraId="52F1A6FC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66.3 (14.2)</w:t>
            </w:r>
          </w:p>
        </w:tc>
        <w:tc>
          <w:tcPr>
            <w:tcW w:w="2080" w:type="dxa"/>
            <w:noWrap/>
            <w:vAlign w:val="center"/>
            <w:hideMark/>
          </w:tcPr>
          <w:p w14:paraId="1B9FE2EC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65.8 (13.9)</w:t>
            </w:r>
          </w:p>
        </w:tc>
      </w:tr>
      <w:tr w:rsidR="00160C5D" w14:paraId="163E246E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77F4B6F5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sz w:val="24"/>
                <w:szCs w:val="24"/>
                <w:lang w:val="en-US"/>
              </w:rPr>
              <w:t>Women</w:t>
            </w:r>
          </w:p>
        </w:tc>
        <w:tc>
          <w:tcPr>
            <w:tcW w:w="1985" w:type="dxa"/>
            <w:noWrap/>
            <w:vAlign w:val="center"/>
            <w:hideMark/>
          </w:tcPr>
          <w:p w14:paraId="021BC5A0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138 (31.1 %)</w:t>
            </w:r>
          </w:p>
        </w:tc>
        <w:tc>
          <w:tcPr>
            <w:tcW w:w="2124" w:type="dxa"/>
            <w:noWrap/>
            <w:vAlign w:val="center"/>
            <w:hideMark/>
          </w:tcPr>
          <w:p w14:paraId="7E793EE6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94 (31.9 %)</w:t>
            </w:r>
          </w:p>
        </w:tc>
        <w:tc>
          <w:tcPr>
            <w:tcW w:w="2080" w:type="dxa"/>
            <w:noWrap/>
            <w:vAlign w:val="center"/>
            <w:hideMark/>
          </w:tcPr>
          <w:p w14:paraId="0C6EEB1B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57 (28.1 %)</w:t>
            </w:r>
          </w:p>
        </w:tc>
      </w:tr>
      <w:tr w:rsidR="00160C5D" w14:paraId="627B1461" w14:textId="77777777" w:rsidTr="00160C5D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69085D96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Vintage, month</w:t>
            </w: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‡</w:t>
            </w:r>
          </w:p>
        </w:tc>
        <w:tc>
          <w:tcPr>
            <w:tcW w:w="1985" w:type="dxa"/>
            <w:noWrap/>
            <w:vAlign w:val="center"/>
            <w:hideMark/>
          </w:tcPr>
          <w:p w14:paraId="00FB243B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45.8 [15.7 - 98.2]</w:t>
            </w:r>
          </w:p>
        </w:tc>
        <w:tc>
          <w:tcPr>
            <w:tcW w:w="2124" w:type="dxa"/>
            <w:noWrap/>
            <w:vAlign w:val="center"/>
            <w:hideMark/>
          </w:tcPr>
          <w:p w14:paraId="3DA98BA7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43.5 [17.3 - 100.6]</w:t>
            </w:r>
          </w:p>
        </w:tc>
        <w:tc>
          <w:tcPr>
            <w:tcW w:w="2080" w:type="dxa"/>
            <w:noWrap/>
            <w:vAlign w:val="center"/>
            <w:hideMark/>
          </w:tcPr>
          <w:p w14:paraId="2C5F638E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45.6 [17.3 - 100.6]</w:t>
            </w:r>
          </w:p>
        </w:tc>
      </w:tr>
      <w:tr w:rsidR="00160C5D" w14:paraId="70C5810A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26C9A641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Treatment categories</w:t>
            </w:r>
          </w:p>
        </w:tc>
        <w:tc>
          <w:tcPr>
            <w:tcW w:w="1985" w:type="dxa"/>
            <w:noWrap/>
            <w:vAlign w:val="center"/>
            <w:hideMark/>
          </w:tcPr>
          <w:p w14:paraId="20FBDD5D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2124" w:type="dxa"/>
            <w:noWrap/>
            <w:vAlign w:val="center"/>
            <w:hideMark/>
          </w:tcPr>
          <w:p w14:paraId="7967F2C7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2080" w:type="dxa"/>
            <w:noWrap/>
            <w:vAlign w:val="center"/>
            <w:hideMark/>
          </w:tcPr>
          <w:p w14:paraId="23D9ACC3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 xml:space="preserve">　</w:t>
            </w:r>
          </w:p>
        </w:tc>
      </w:tr>
      <w:tr w:rsidR="00160C5D" w14:paraId="0899431F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63F4526B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Non-dialyzed</w:t>
            </w:r>
          </w:p>
        </w:tc>
        <w:tc>
          <w:tcPr>
            <w:tcW w:w="1985" w:type="dxa"/>
            <w:noWrap/>
            <w:vAlign w:val="center"/>
            <w:hideMark/>
          </w:tcPr>
          <w:p w14:paraId="2F0AC164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124 (27.9 %)</w:t>
            </w:r>
          </w:p>
        </w:tc>
        <w:tc>
          <w:tcPr>
            <w:tcW w:w="2124" w:type="dxa"/>
            <w:noWrap/>
            <w:vAlign w:val="center"/>
            <w:hideMark/>
          </w:tcPr>
          <w:p w14:paraId="4AA9F018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72 (24.4 %)</w:t>
            </w:r>
          </w:p>
        </w:tc>
        <w:tc>
          <w:tcPr>
            <w:tcW w:w="2080" w:type="dxa"/>
            <w:noWrap/>
            <w:vAlign w:val="center"/>
            <w:hideMark/>
          </w:tcPr>
          <w:p w14:paraId="746CAF98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32 (15.8 %)</w:t>
            </w:r>
          </w:p>
        </w:tc>
      </w:tr>
      <w:tr w:rsidR="00160C5D" w14:paraId="3B7586DE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7AB0BB20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Peritoneal dialysis</w:t>
            </w:r>
          </w:p>
        </w:tc>
        <w:tc>
          <w:tcPr>
            <w:tcW w:w="1985" w:type="dxa"/>
            <w:noWrap/>
            <w:vAlign w:val="center"/>
            <w:hideMark/>
          </w:tcPr>
          <w:p w14:paraId="6907A3AC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98 (22.1 %)</w:t>
            </w:r>
          </w:p>
        </w:tc>
        <w:tc>
          <w:tcPr>
            <w:tcW w:w="2124" w:type="dxa"/>
            <w:noWrap/>
            <w:vAlign w:val="center"/>
            <w:hideMark/>
          </w:tcPr>
          <w:p w14:paraId="651EF0CC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63 (21.4 %)</w:t>
            </w:r>
          </w:p>
        </w:tc>
        <w:tc>
          <w:tcPr>
            <w:tcW w:w="2080" w:type="dxa"/>
            <w:noWrap/>
            <w:vAlign w:val="center"/>
            <w:hideMark/>
          </w:tcPr>
          <w:p w14:paraId="6F08B0DA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46 (22.7 %)</w:t>
            </w:r>
          </w:p>
        </w:tc>
      </w:tr>
      <w:tr w:rsidR="00160C5D" w14:paraId="55DCF570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26C3CD3D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Hemodialysis</w:t>
            </w:r>
          </w:p>
        </w:tc>
        <w:tc>
          <w:tcPr>
            <w:tcW w:w="1985" w:type="dxa"/>
            <w:noWrap/>
            <w:vAlign w:val="center"/>
            <w:hideMark/>
          </w:tcPr>
          <w:p w14:paraId="40A567CA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222 (50 %)</w:t>
            </w:r>
          </w:p>
        </w:tc>
        <w:tc>
          <w:tcPr>
            <w:tcW w:w="2124" w:type="dxa"/>
            <w:noWrap/>
            <w:vAlign w:val="center"/>
            <w:hideMark/>
          </w:tcPr>
          <w:p w14:paraId="248B86ED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160 (54.2 %)</w:t>
            </w:r>
          </w:p>
        </w:tc>
        <w:tc>
          <w:tcPr>
            <w:tcW w:w="2080" w:type="dxa"/>
            <w:noWrap/>
            <w:vAlign w:val="center"/>
            <w:hideMark/>
          </w:tcPr>
          <w:p w14:paraId="17C40412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125 (61.6 %)</w:t>
            </w:r>
          </w:p>
        </w:tc>
      </w:tr>
      <w:tr w:rsidR="00160C5D" w14:paraId="3FD86277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18C0ADCB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Renal disease</w:t>
            </w:r>
          </w:p>
        </w:tc>
        <w:tc>
          <w:tcPr>
            <w:tcW w:w="1985" w:type="dxa"/>
            <w:noWrap/>
            <w:vAlign w:val="center"/>
            <w:hideMark/>
          </w:tcPr>
          <w:p w14:paraId="32D81200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noWrap/>
            <w:vAlign w:val="center"/>
            <w:hideMark/>
          </w:tcPr>
          <w:p w14:paraId="263747E5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center"/>
            <w:hideMark/>
          </w:tcPr>
          <w:p w14:paraId="31CDD104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60C5D" w14:paraId="6D80AD82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6B464B2A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Diabetic nephropathy</w:t>
            </w:r>
          </w:p>
        </w:tc>
        <w:tc>
          <w:tcPr>
            <w:tcW w:w="1985" w:type="dxa"/>
            <w:noWrap/>
            <w:vAlign w:val="center"/>
            <w:hideMark/>
          </w:tcPr>
          <w:p w14:paraId="02BE8598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116 (26.1 %)</w:t>
            </w:r>
          </w:p>
        </w:tc>
        <w:tc>
          <w:tcPr>
            <w:tcW w:w="2124" w:type="dxa"/>
            <w:noWrap/>
            <w:vAlign w:val="center"/>
            <w:hideMark/>
          </w:tcPr>
          <w:p w14:paraId="6217CB18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79 (26.8 %)</w:t>
            </w:r>
          </w:p>
        </w:tc>
        <w:tc>
          <w:tcPr>
            <w:tcW w:w="2080" w:type="dxa"/>
            <w:noWrap/>
            <w:vAlign w:val="center"/>
            <w:hideMark/>
          </w:tcPr>
          <w:p w14:paraId="45D73E5F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58 (28.6 %)</w:t>
            </w:r>
          </w:p>
        </w:tc>
      </w:tr>
      <w:tr w:rsidR="00160C5D" w14:paraId="04776026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7C8D3CC0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Glomerulonephritis</w:t>
            </w:r>
          </w:p>
        </w:tc>
        <w:tc>
          <w:tcPr>
            <w:tcW w:w="1985" w:type="dxa"/>
            <w:noWrap/>
            <w:vAlign w:val="center"/>
            <w:hideMark/>
          </w:tcPr>
          <w:p w14:paraId="51607A93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115 (25.9 %)</w:t>
            </w:r>
          </w:p>
        </w:tc>
        <w:tc>
          <w:tcPr>
            <w:tcW w:w="2124" w:type="dxa"/>
            <w:noWrap/>
            <w:vAlign w:val="center"/>
            <w:hideMark/>
          </w:tcPr>
          <w:p w14:paraId="7D4B37BC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79 (26.8 %)</w:t>
            </w:r>
          </w:p>
        </w:tc>
        <w:tc>
          <w:tcPr>
            <w:tcW w:w="2080" w:type="dxa"/>
            <w:noWrap/>
            <w:vAlign w:val="center"/>
            <w:hideMark/>
          </w:tcPr>
          <w:p w14:paraId="49A61B6F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52 (25.6 %)</w:t>
            </w:r>
          </w:p>
        </w:tc>
      </w:tr>
      <w:tr w:rsidR="00160C5D" w14:paraId="79ADDA73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72B037B7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Hypertensive disease</w:t>
            </w:r>
          </w:p>
        </w:tc>
        <w:tc>
          <w:tcPr>
            <w:tcW w:w="1985" w:type="dxa"/>
            <w:noWrap/>
            <w:vAlign w:val="center"/>
            <w:hideMark/>
          </w:tcPr>
          <w:p w14:paraId="6D56643C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82 (18.5 %)</w:t>
            </w:r>
          </w:p>
        </w:tc>
        <w:tc>
          <w:tcPr>
            <w:tcW w:w="2124" w:type="dxa"/>
            <w:noWrap/>
            <w:vAlign w:val="center"/>
            <w:hideMark/>
          </w:tcPr>
          <w:p w14:paraId="26503C46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53 (18 %)</w:t>
            </w:r>
          </w:p>
        </w:tc>
        <w:tc>
          <w:tcPr>
            <w:tcW w:w="2080" w:type="dxa"/>
            <w:noWrap/>
            <w:vAlign w:val="center"/>
            <w:hideMark/>
          </w:tcPr>
          <w:p w14:paraId="6F250140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34 (16.8 %)</w:t>
            </w:r>
          </w:p>
        </w:tc>
      </w:tr>
      <w:tr w:rsidR="00160C5D" w14:paraId="3E79D3CE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1DA264B1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Others</w:t>
            </w:r>
          </w:p>
        </w:tc>
        <w:tc>
          <w:tcPr>
            <w:tcW w:w="1985" w:type="dxa"/>
            <w:noWrap/>
            <w:vAlign w:val="center"/>
            <w:hideMark/>
          </w:tcPr>
          <w:p w14:paraId="79FD97F7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131 (29.5 %)</w:t>
            </w:r>
          </w:p>
        </w:tc>
        <w:tc>
          <w:tcPr>
            <w:tcW w:w="2124" w:type="dxa"/>
            <w:noWrap/>
            <w:vAlign w:val="center"/>
            <w:hideMark/>
          </w:tcPr>
          <w:p w14:paraId="10BBCB61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84 (28.5 %)</w:t>
            </w:r>
          </w:p>
        </w:tc>
        <w:tc>
          <w:tcPr>
            <w:tcW w:w="2080" w:type="dxa"/>
            <w:noWrap/>
            <w:vAlign w:val="center"/>
            <w:hideMark/>
          </w:tcPr>
          <w:p w14:paraId="0F760A67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59 (29.1 %)</w:t>
            </w:r>
          </w:p>
        </w:tc>
      </w:tr>
      <w:tr w:rsidR="00160C5D" w14:paraId="60D36B63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62BF5D20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Having family, yes</w:t>
            </w:r>
          </w:p>
        </w:tc>
        <w:tc>
          <w:tcPr>
            <w:tcW w:w="1985" w:type="dxa"/>
            <w:noWrap/>
            <w:vAlign w:val="center"/>
            <w:hideMark/>
          </w:tcPr>
          <w:p w14:paraId="626485EA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396 (89.6 %)</w:t>
            </w:r>
          </w:p>
        </w:tc>
        <w:tc>
          <w:tcPr>
            <w:tcW w:w="2124" w:type="dxa"/>
            <w:noWrap/>
            <w:vAlign w:val="center"/>
            <w:hideMark/>
          </w:tcPr>
          <w:p w14:paraId="4572546C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259 (88.4 %)</w:t>
            </w:r>
          </w:p>
        </w:tc>
        <w:tc>
          <w:tcPr>
            <w:tcW w:w="2080" w:type="dxa"/>
            <w:noWrap/>
            <w:vAlign w:val="center"/>
            <w:hideMark/>
          </w:tcPr>
          <w:p w14:paraId="4E1D9B16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182 (89.7 %)</w:t>
            </w:r>
          </w:p>
        </w:tc>
      </w:tr>
      <w:tr w:rsidR="00160C5D" w14:paraId="265C9BFD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29CBB159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Missing, n</w:t>
            </w:r>
          </w:p>
        </w:tc>
        <w:tc>
          <w:tcPr>
            <w:tcW w:w="1985" w:type="dxa"/>
            <w:noWrap/>
            <w:vAlign w:val="center"/>
            <w:hideMark/>
          </w:tcPr>
          <w:p w14:paraId="065F6AE4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2124" w:type="dxa"/>
            <w:noWrap/>
            <w:vAlign w:val="center"/>
            <w:hideMark/>
          </w:tcPr>
          <w:p w14:paraId="15947237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2080" w:type="dxa"/>
            <w:noWrap/>
            <w:vAlign w:val="center"/>
            <w:hideMark/>
          </w:tcPr>
          <w:p w14:paraId="7AEE6318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</w:tr>
      <w:tr w:rsidR="00160C5D" w14:paraId="2176966E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49D8ED96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Working, yes</w:t>
            </w:r>
          </w:p>
        </w:tc>
        <w:tc>
          <w:tcPr>
            <w:tcW w:w="1985" w:type="dxa"/>
            <w:noWrap/>
            <w:vAlign w:val="center"/>
            <w:hideMark/>
          </w:tcPr>
          <w:p w14:paraId="221F6192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296 (66.8 %)</w:t>
            </w:r>
          </w:p>
        </w:tc>
        <w:tc>
          <w:tcPr>
            <w:tcW w:w="2124" w:type="dxa"/>
            <w:noWrap/>
            <w:vAlign w:val="center"/>
            <w:hideMark/>
          </w:tcPr>
          <w:p w14:paraId="28EEDBDB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199 (67.7 %)</w:t>
            </w:r>
          </w:p>
        </w:tc>
        <w:tc>
          <w:tcPr>
            <w:tcW w:w="2080" w:type="dxa"/>
            <w:noWrap/>
            <w:vAlign w:val="center"/>
            <w:hideMark/>
          </w:tcPr>
          <w:p w14:paraId="6E7534C7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138 (68 %)</w:t>
            </w:r>
          </w:p>
        </w:tc>
      </w:tr>
      <w:tr w:rsidR="00160C5D" w14:paraId="4B4327FE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5D75AF3C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Missing, n</w:t>
            </w:r>
          </w:p>
        </w:tc>
        <w:tc>
          <w:tcPr>
            <w:tcW w:w="1985" w:type="dxa"/>
            <w:noWrap/>
            <w:vAlign w:val="center"/>
            <w:hideMark/>
          </w:tcPr>
          <w:p w14:paraId="06D07042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124" w:type="dxa"/>
            <w:noWrap/>
            <w:vAlign w:val="center"/>
            <w:hideMark/>
          </w:tcPr>
          <w:p w14:paraId="056F5731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080" w:type="dxa"/>
            <w:noWrap/>
            <w:vAlign w:val="center"/>
            <w:hideMark/>
          </w:tcPr>
          <w:p w14:paraId="1B70A3A8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0 </w:t>
            </w:r>
          </w:p>
        </w:tc>
      </w:tr>
      <w:tr w:rsidR="00160C5D" w14:paraId="03F9AFC7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6A620B72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Impaired performance status, yes</w:t>
            </w:r>
          </w:p>
        </w:tc>
        <w:tc>
          <w:tcPr>
            <w:tcW w:w="1985" w:type="dxa"/>
            <w:noWrap/>
            <w:vAlign w:val="center"/>
            <w:hideMark/>
          </w:tcPr>
          <w:p w14:paraId="4E5DFBE4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46 (10.4 %)</w:t>
            </w:r>
          </w:p>
        </w:tc>
        <w:tc>
          <w:tcPr>
            <w:tcW w:w="2124" w:type="dxa"/>
            <w:noWrap/>
            <w:vAlign w:val="center"/>
            <w:hideMark/>
          </w:tcPr>
          <w:p w14:paraId="06952DC0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26 (8.8 %)</w:t>
            </w:r>
          </w:p>
        </w:tc>
        <w:tc>
          <w:tcPr>
            <w:tcW w:w="2080" w:type="dxa"/>
            <w:noWrap/>
            <w:vAlign w:val="center"/>
            <w:hideMark/>
          </w:tcPr>
          <w:p w14:paraId="2408E303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18 (8.9 %)</w:t>
            </w:r>
          </w:p>
        </w:tc>
      </w:tr>
      <w:tr w:rsidR="00160C5D" w14:paraId="7DC8D281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1CD915ED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Depression</w:t>
            </w:r>
          </w:p>
        </w:tc>
        <w:tc>
          <w:tcPr>
            <w:tcW w:w="1985" w:type="dxa"/>
            <w:noWrap/>
            <w:vAlign w:val="center"/>
            <w:hideMark/>
          </w:tcPr>
          <w:p w14:paraId="4F2AD427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140 (32.7 %)</w:t>
            </w:r>
          </w:p>
        </w:tc>
        <w:tc>
          <w:tcPr>
            <w:tcW w:w="2124" w:type="dxa"/>
            <w:noWrap/>
            <w:vAlign w:val="center"/>
            <w:hideMark/>
          </w:tcPr>
          <w:p w14:paraId="3919B8B5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105 (36.5 %)</w:t>
            </w:r>
          </w:p>
        </w:tc>
        <w:tc>
          <w:tcPr>
            <w:tcW w:w="2080" w:type="dxa"/>
            <w:noWrap/>
            <w:vAlign w:val="center"/>
            <w:hideMark/>
          </w:tcPr>
          <w:p w14:paraId="2ACFB7BF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70 (35.5 %)</w:t>
            </w:r>
          </w:p>
        </w:tc>
      </w:tr>
      <w:tr w:rsidR="00160C5D" w14:paraId="5970CA8B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1C40A0F1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Missing, n</w:t>
            </w:r>
          </w:p>
        </w:tc>
        <w:tc>
          <w:tcPr>
            <w:tcW w:w="1985" w:type="dxa"/>
            <w:noWrap/>
            <w:vAlign w:val="center"/>
            <w:hideMark/>
          </w:tcPr>
          <w:p w14:paraId="766AFD9D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16 </w:t>
            </w:r>
          </w:p>
        </w:tc>
        <w:tc>
          <w:tcPr>
            <w:tcW w:w="2124" w:type="dxa"/>
            <w:noWrap/>
            <w:vAlign w:val="center"/>
            <w:hideMark/>
          </w:tcPr>
          <w:p w14:paraId="0190557E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7 </w:t>
            </w:r>
          </w:p>
        </w:tc>
        <w:tc>
          <w:tcPr>
            <w:tcW w:w="2080" w:type="dxa"/>
            <w:noWrap/>
            <w:vAlign w:val="center"/>
            <w:hideMark/>
          </w:tcPr>
          <w:p w14:paraId="192C7427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</w:tr>
      <w:tr w:rsidR="00160C5D" w14:paraId="7550DB69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57171BB0" w14:textId="77777777" w:rsidR="001713DE" w:rsidRPr="001713DE" w:rsidRDefault="001713DE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noWrap/>
            <w:vAlign w:val="center"/>
            <w:hideMark/>
          </w:tcPr>
          <w:p w14:paraId="2C8E015C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4" w:type="dxa"/>
            <w:noWrap/>
            <w:vAlign w:val="center"/>
            <w:hideMark/>
          </w:tcPr>
          <w:p w14:paraId="5ED6F8C4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center"/>
            <w:hideMark/>
          </w:tcPr>
          <w:p w14:paraId="781268F1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60C5D" w14:paraId="0EF57B2B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39FE40B5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Comorbidities</w:t>
            </w:r>
          </w:p>
        </w:tc>
        <w:tc>
          <w:tcPr>
            <w:tcW w:w="1985" w:type="dxa"/>
            <w:noWrap/>
            <w:vAlign w:val="center"/>
            <w:hideMark/>
          </w:tcPr>
          <w:p w14:paraId="6A053971" w14:textId="77777777" w:rsidR="001713DE" w:rsidRPr="001713DE" w:rsidRDefault="001713DE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124" w:type="dxa"/>
            <w:noWrap/>
            <w:vAlign w:val="center"/>
            <w:hideMark/>
          </w:tcPr>
          <w:p w14:paraId="65798E26" w14:textId="77777777" w:rsidR="001713DE" w:rsidRPr="001713DE" w:rsidRDefault="001713DE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center"/>
            <w:hideMark/>
          </w:tcPr>
          <w:p w14:paraId="034F2971" w14:textId="77777777" w:rsidR="001713DE" w:rsidRPr="001713DE" w:rsidRDefault="001713DE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60C5D" w14:paraId="23D50990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7A82CD0D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Coronary artery disease</w:t>
            </w:r>
          </w:p>
        </w:tc>
        <w:tc>
          <w:tcPr>
            <w:tcW w:w="1985" w:type="dxa"/>
            <w:noWrap/>
            <w:vAlign w:val="center"/>
            <w:hideMark/>
          </w:tcPr>
          <w:p w14:paraId="070177EB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68 (15.3 %)</w:t>
            </w:r>
          </w:p>
        </w:tc>
        <w:tc>
          <w:tcPr>
            <w:tcW w:w="2124" w:type="dxa"/>
            <w:noWrap/>
            <w:vAlign w:val="center"/>
            <w:hideMark/>
          </w:tcPr>
          <w:p w14:paraId="5E622027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42 (14.2 %)</w:t>
            </w:r>
          </w:p>
        </w:tc>
        <w:tc>
          <w:tcPr>
            <w:tcW w:w="2080" w:type="dxa"/>
            <w:noWrap/>
            <w:vAlign w:val="center"/>
            <w:hideMark/>
          </w:tcPr>
          <w:p w14:paraId="75785154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23 (11.3 %)</w:t>
            </w:r>
          </w:p>
        </w:tc>
      </w:tr>
      <w:tr w:rsidR="00160C5D" w14:paraId="4D24C06B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3EDCB181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Cerebrovascular disease</w:t>
            </w:r>
          </w:p>
        </w:tc>
        <w:tc>
          <w:tcPr>
            <w:tcW w:w="1985" w:type="dxa"/>
            <w:noWrap/>
            <w:vAlign w:val="center"/>
            <w:hideMark/>
          </w:tcPr>
          <w:p w14:paraId="339273B0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60 (13.5 %)</w:t>
            </w:r>
          </w:p>
        </w:tc>
        <w:tc>
          <w:tcPr>
            <w:tcW w:w="2124" w:type="dxa"/>
            <w:noWrap/>
            <w:vAlign w:val="center"/>
            <w:hideMark/>
          </w:tcPr>
          <w:p w14:paraId="146CE7E7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33 (11.2 %)</w:t>
            </w:r>
          </w:p>
        </w:tc>
        <w:tc>
          <w:tcPr>
            <w:tcW w:w="2080" w:type="dxa"/>
            <w:noWrap/>
            <w:vAlign w:val="center"/>
            <w:hideMark/>
          </w:tcPr>
          <w:p w14:paraId="31094EE7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22 (10.8 %)</w:t>
            </w:r>
          </w:p>
        </w:tc>
      </w:tr>
      <w:tr w:rsidR="00160C5D" w14:paraId="144A6456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15F6B42C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Malignancy</w:t>
            </w:r>
          </w:p>
        </w:tc>
        <w:tc>
          <w:tcPr>
            <w:tcW w:w="1985" w:type="dxa"/>
            <w:noWrap/>
            <w:vAlign w:val="center"/>
            <w:hideMark/>
          </w:tcPr>
          <w:p w14:paraId="346AB3A8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46 (10.4 %)</w:t>
            </w:r>
          </w:p>
        </w:tc>
        <w:tc>
          <w:tcPr>
            <w:tcW w:w="2124" w:type="dxa"/>
            <w:noWrap/>
            <w:vAlign w:val="center"/>
            <w:hideMark/>
          </w:tcPr>
          <w:p w14:paraId="7C7B0C4B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32 (10.9 %)</w:t>
            </w:r>
          </w:p>
        </w:tc>
        <w:tc>
          <w:tcPr>
            <w:tcW w:w="2080" w:type="dxa"/>
            <w:noWrap/>
            <w:vAlign w:val="center"/>
            <w:hideMark/>
          </w:tcPr>
          <w:p w14:paraId="17939867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23 (11.3 %)</w:t>
            </w:r>
          </w:p>
        </w:tc>
      </w:tr>
      <w:tr w:rsidR="00160C5D" w14:paraId="4FED3538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04F80492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Systolic blood pressure, mmHg</w:t>
            </w:r>
          </w:p>
        </w:tc>
        <w:tc>
          <w:tcPr>
            <w:tcW w:w="1985" w:type="dxa"/>
            <w:noWrap/>
            <w:vAlign w:val="center"/>
            <w:hideMark/>
          </w:tcPr>
          <w:p w14:paraId="39D419E6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141.1 (24.7)</w:t>
            </w:r>
          </w:p>
        </w:tc>
        <w:tc>
          <w:tcPr>
            <w:tcW w:w="2124" w:type="dxa"/>
            <w:noWrap/>
            <w:vAlign w:val="center"/>
            <w:hideMark/>
          </w:tcPr>
          <w:p w14:paraId="18F263A0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143.9 (24.9)</w:t>
            </w:r>
          </w:p>
        </w:tc>
        <w:tc>
          <w:tcPr>
            <w:tcW w:w="2080" w:type="dxa"/>
            <w:noWrap/>
            <w:vAlign w:val="center"/>
            <w:hideMark/>
          </w:tcPr>
          <w:p w14:paraId="25E4A726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146.4 (24.7)</w:t>
            </w:r>
          </w:p>
        </w:tc>
      </w:tr>
      <w:tr w:rsidR="00160C5D" w14:paraId="39A7C089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5A1F8C12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Missing, n</w:t>
            </w:r>
          </w:p>
        </w:tc>
        <w:tc>
          <w:tcPr>
            <w:tcW w:w="1985" w:type="dxa"/>
            <w:noWrap/>
            <w:vAlign w:val="center"/>
            <w:hideMark/>
          </w:tcPr>
          <w:p w14:paraId="074D6981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124" w:type="dxa"/>
            <w:noWrap/>
            <w:vAlign w:val="center"/>
            <w:hideMark/>
          </w:tcPr>
          <w:p w14:paraId="3FD540F8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2080" w:type="dxa"/>
            <w:noWrap/>
            <w:vAlign w:val="center"/>
            <w:hideMark/>
          </w:tcPr>
          <w:p w14:paraId="732A5264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160C5D" w14:paraId="2F2363B2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73922B7F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Potassium, mEq/L</w:t>
            </w:r>
          </w:p>
        </w:tc>
        <w:tc>
          <w:tcPr>
            <w:tcW w:w="1985" w:type="dxa"/>
            <w:noWrap/>
            <w:vAlign w:val="center"/>
            <w:hideMark/>
          </w:tcPr>
          <w:p w14:paraId="499B9E46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4.6 (0.7)</w:t>
            </w:r>
          </w:p>
        </w:tc>
        <w:tc>
          <w:tcPr>
            <w:tcW w:w="2124" w:type="dxa"/>
            <w:noWrap/>
            <w:vAlign w:val="center"/>
            <w:hideMark/>
          </w:tcPr>
          <w:p w14:paraId="7213B613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4.6 (0.7)</w:t>
            </w:r>
          </w:p>
        </w:tc>
        <w:tc>
          <w:tcPr>
            <w:tcW w:w="2080" w:type="dxa"/>
            <w:noWrap/>
            <w:vAlign w:val="center"/>
            <w:hideMark/>
          </w:tcPr>
          <w:p w14:paraId="793CDE26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4.7 (0.7)</w:t>
            </w:r>
          </w:p>
        </w:tc>
      </w:tr>
      <w:tr w:rsidR="00160C5D" w14:paraId="4A905790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7BB4824C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Missing, n</w:t>
            </w:r>
          </w:p>
        </w:tc>
        <w:tc>
          <w:tcPr>
            <w:tcW w:w="1985" w:type="dxa"/>
            <w:noWrap/>
            <w:vAlign w:val="center"/>
            <w:hideMark/>
          </w:tcPr>
          <w:p w14:paraId="56F78742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124" w:type="dxa"/>
            <w:noWrap/>
            <w:vAlign w:val="center"/>
            <w:hideMark/>
          </w:tcPr>
          <w:p w14:paraId="710CCD4F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080" w:type="dxa"/>
            <w:noWrap/>
            <w:vAlign w:val="center"/>
            <w:hideMark/>
          </w:tcPr>
          <w:p w14:paraId="132D43D7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160C5D" w14:paraId="1BEE32D4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1E7BFB98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Phosphorus, mg/dL</w:t>
            </w:r>
          </w:p>
        </w:tc>
        <w:tc>
          <w:tcPr>
            <w:tcW w:w="1985" w:type="dxa"/>
            <w:noWrap/>
            <w:vAlign w:val="center"/>
            <w:hideMark/>
          </w:tcPr>
          <w:p w14:paraId="156FA640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 (1.5)</w:t>
            </w:r>
          </w:p>
        </w:tc>
        <w:tc>
          <w:tcPr>
            <w:tcW w:w="2124" w:type="dxa"/>
            <w:noWrap/>
            <w:vAlign w:val="center"/>
            <w:hideMark/>
          </w:tcPr>
          <w:p w14:paraId="7749A948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5.1 (1.5)</w:t>
            </w:r>
          </w:p>
        </w:tc>
        <w:tc>
          <w:tcPr>
            <w:tcW w:w="2080" w:type="dxa"/>
            <w:noWrap/>
            <w:vAlign w:val="center"/>
            <w:hideMark/>
          </w:tcPr>
          <w:p w14:paraId="5FF02CA9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5.3 (1.5)</w:t>
            </w:r>
          </w:p>
        </w:tc>
      </w:tr>
      <w:tr w:rsidR="00160C5D" w14:paraId="1509A594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1C20A3EB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Missing, n</w:t>
            </w:r>
          </w:p>
        </w:tc>
        <w:tc>
          <w:tcPr>
            <w:tcW w:w="1985" w:type="dxa"/>
            <w:noWrap/>
            <w:vAlign w:val="center"/>
            <w:hideMark/>
          </w:tcPr>
          <w:p w14:paraId="2B3D2AFD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2124" w:type="dxa"/>
            <w:noWrap/>
            <w:vAlign w:val="center"/>
            <w:hideMark/>
          </w:tcPr>
          <w:p w14:paraId="64A703B9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080" w:type="dxa"/>
            <w:noWrap/>
            <w:vAlign w:val="center"/>
            <w:hideMark/>
          </w:tcPr>
          <w:p w14:paraId="7646CBE9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160C5D" w14:paraId="690457F8" w14:textId="77777777" w:rsidTr="00160C5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2E21E307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Prescription of potassium binder, %</w:t>
            </w:r>
          </w:p>
        </w:tc>
        <w:tc>
          <w:tcPr>
            <w:tcW w:w="1985" w:type="dxa"/>
            <w:noWrap/>
            <w:vAlign w:val="center"/>
            <w:hideMark/>
          </w:tcPr>
          <w:p w14:paraId="650F4939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64 (14.4 %)</w:t>
            </w:r>
          </w:p>
        </w:tc>
        <w:tc>
          <w:tcPr>
            <w:tcW w:w="2124" w:type="dxa"/>
            <w:noWrap/>
            <w:vAlign w:val="center"/>
            <w:hideMark/>
          </w:tcPr>
          <w:p w14:paraId="16790D11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47 (15.9 %)</w:t>
            </w:r>
          </w:p>
        </w:tc>
        <w:tc>
          <w:tcPr>
            <w:tcW w:w="2080" w:type="dxa"/>
            <w:noWrap/>
            <w:vAlign w:val="center"/>
            <w:hideMark/>
          </w:tcPr>
          <w:p w14:paraId="3CF6F43B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35 (17.2 %)</w:t>
            </w:r>
          </w:p>
        </w:tc>
      </w:tr>
      <w:tr w:rsidR="00160C5D" w14:paraId="2EF3B771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66AFAB72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N of phosphate binder, %</w:t>
            </w:r>
          </w:p>
        </w:tc>
        <w:tc>
          <w:tcPr>
            <w:tcW w:w="1985" w:type="dxa"/>
            <w:noWrap/>
            <w:vAlign w:val="center"/>
            <w:hideMark/>
          </w:tcPr>
          <w:p w14:paraId="7C5112E5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4" w:type="dxa"/>
            <w:noWrap/>
            <w:vAlign w:val="center"/>
            <w:hideMark/>
          </w:tcPr>
          <w:p w14:paraId="4D4EDD44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noWrap/>
            <w:vAlign w:val="center"/>
            <w:hideMark/>
          </w:tcPr>
          <w:p w14:paraId="658B6021" w14:textId="77777777" w:rsidR="001713DE" w:rsidRPr="001713DE" w:rsidRDefault="001713DE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60C5D" w14:paraId="3B243AC5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56D141A4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None</w:t>
            </w:r>
          </w:p>
        </w:tc>
        <w:tc>
          <w:tcPr>
            <w:tcW w:w="1985" w:type="dxa"/>
            <w:noWrap/>
            <w:vAlign w:val="center"/>
            <w:hideMark/>
          </w:tcPr>
          <w:p w14:paraId="34D01761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219 (49.3 %)</w:t>
            </w:r>
          </w:p>
        </w:tc>
        <w:tc>
          <w:tcPr>
            <w:tcW w:w="2124" w:type="dxa"/>
            <w:noWrap/>
            <w:vAlign w:val="center"/>
            <w:hideMark/>
          </w:tcPr>
          <w:p w14:paraId="2E1DC62C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140 (47.5 %)</w:t>
            </w:r>
          </w:p>
        </w:tc>
        <w:tc>
          <w:tcPr>
            <w:tcW w:w="2080" w:type="dxa"/>
            <w:noWrap/>
            <w:vAlign w:val="center"/>
            <w:hideMark/>
          </w:tcPr>
          <w:p w14:paraId="474848F8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88 (43.4 %)</w:t>
            </w:r>
          </w:p>
        </w:tc>
      </w:tr>
      <w:tr w:rsidR="00160C5D" w14:paraId="26EC4EA2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77EF67E3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1 to 3</w:t>
            </w:r>
          </w:p>
        </w:tc>
        <w:tc>
          <w:tcPr>
            <w:tcW w:w="1985" w:type="dxa"/>
            <w:noWrap/>
            <w:vAlign w:val="center"/>
            <w:hideMark/>
          </w:tcPr>
          <w:p w14:paraId="367164E1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57 (12.8 %)</w:t>
            </w:r>
          </w:p>
        </w:tc>
        <w:tc>
          <w:tcPr>
            <w:tcW w:w="2124" w:type="dxa"/>
            <w:noWrap/>
            <w:vAlign w:val="center"/>
            <w:hideMark/>
          </w:tcPr>
          <w:p w14:paraId="3737D77E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38 (12.9 %)</w:t>
            </w:r>
          </w:p>
        </w:tc>
        <w:tc>
          <w:tcPr>
            <w:tcW w:w="2080" w:type="dxa"/>
            <w:noWrap/>
            <w:vAlign w:val="center"/>
            <w:hideMark/>
          </w:tcPr>
          <w:p w14:paraId="7452C8BF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27 (13.3 %)</w:t>
            </w:r>
          </w:p>
        </w:tc>
      </w:tr>
      <w:tr w:rsidR="00160C5D" w14:paraId="067C8860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52917172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4 to 6</w:t>
            </w:r>
          </w:p>
        </w:tc>
        <w:tc>
          <w:tcPr>
            <w:tcW w:w="1985" w:type="dxa"/>
            <w:noWrap/>
            <w:vAlign w:val="center"/>
            <w:hideMark/>
          </w:tcPr>
          <w:p w14:paraId="30B9FF07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72 (16.2 %)</w:t>
            </w:r>
          </w:p>
        </w:tc>
        <w:tc>
          <w:tcPr>
            <w:tcW w:w="2124" w:type="dxa"/>
            <w:noWrap/>
            <w:vAlign w:val="center"/>
            <w:hideMark/>
          </w:tcPr>
          <w:p w14:paraId="6A79767F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49 (16.6 %)</w:t>
            </w:r>
          </w:p>
        </w:tc>
        <w:tc>
          <w:tcPr>
            <w:tcW w:w="2080" w:type="dxa"/>
            <w:noWrap/>
            <w:vAlign w:val="center"/>
            <w:hideMark/>
          </w:tcPr>
          <w:p w14:paraId="50C3E6DD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37 (18.2 %)</w:t>
            </w:r>
          </w:p>
        </w:tc>
      </w:tr>
      <w:tr w:rsidR="00160C5D" w14:paraId="0528C197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7288876A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7 or over</w:t>
            </w:r>
          </w:p>
        </w:tc>
        <w:tc>
          <w:tcPr>
            <w:tcW w:w="1985" w:type="dxa"/>
            <w:noWrap/>
            <w:vAlign w:val="center"/>
            <w:hideMark/>
          </w:tcPr>
          <w:p w14:paraId="7ABFE4B7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96 (21.6 %)</w:t>
            </w:r>
          </w:p>
        </w:tc>
        <w:tc>
          <w:tcPr>
            <w:tcW w:w="2124" w:type="dxa"/>
            <w:noWrap/>
            <w:vAlign w:val="center"/>
            <w:hideMark/>
          </w:tcPr>
          <w:p w14:paraId="2EB64062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68 (23.1 %)</w:t>
            </w:r>
          </w:p>
        </w:tc>
        <w:tc>
          <w:tcPr>
            <w:tcW w:w="2080" w:type="dxa"/>
            <w:noWrap/>
            <w:vAlign w:val="center"/>
            <w:hideMark/>
          </w:tcPr>
          <w:p w14:paraId="20D0CBD7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51 (25.1 %)</w:t>
            </w:r>
          </w:p>
        </w:tc>
      </w:tr>
      <w:tr w:rsidR="00160C5D" w14:paraId="1A2F893A" w14:textId="77777777" w:rsidTr="00160C5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0797601A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N of categories for antihypertensives, %</w:t>
            </w:r>
          </w:p>
        </w:tc>
        <w:tc>
          <w:tcPr>
            <w:tcW w:w="1985" w:type="dxa"/>
            <w:noWrap/>
            <w:vAlign w:val="center"/>
            <w:hideMark/>
          </w:tcPr>
          <w:p w14:paraId="554E794B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2124" w:type="dxa"/>
            <w:noWrap/>
            <w:vAlign w:val="center"/>
            <w:hideMark/>
          </w:tcPr>
          <w:p w14:paraId="3E9026C3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　</w:t>
            </w:r>
          </w:p>
        </w:tc>
        <w:tc>
          <w:tcPr>
            <w:tcW w:w="2080" w:type="dxa"/>
            <w:noWrap/>
            <w:vAlign w:val="center"/>
            <w:hideMark/>
          </w:tcPr>
          <w:p w14:paraId="3B2BCBA0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　</w:t>
            </w:r>
          </w:p>
        </w:tc>
      </w:tr>
      <w:tr w:rsidR="00160C5D" w14:paraId="624E2D93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2CB03037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None</w:t>
            </w:r>
          </w:p>
        </w:tc>
        <w:tc>
          <w:tcPr>
            <w:tcW w:w="1985" w:type="dxa"/>
            <w:noWrap/>
            <w:vAlign w:val="center"/>
            <w:hideMark/>
          </w:tcPr>
          <w:p w14:paraId="7E368605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135 (30.4 %)</w:t>
            </w:r>
          </w:p>
        </w:tc>
        <w:tc>
          <w:tcPr>
            <w:tcW w:w="2124" w:type="dxa"/>
            <w:noWrap/>
            <w:vAlign w:val="center"/>
            <w:hideMark/>
          </w:tcPr>
          <w:p w14:paraId="0CC05811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82 (27.8 %)</w:t>
            </w:r>
          </w:p>
        </w:tc>
        <w:tc>
          <w:tcPr>
            <w:tcW w:w="2080" w:type="dxa"/>
            <w:noWrap/>
            <w:vAlign w:val="center"/>
            <w:hideMark/>
          </w:tcPr>
          <w:p w14:paraId="49FF4D88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54 (26.6 %)</w:t>
            </w:r>
          </w:p>
        </w:tc>
      </w:tr>
      <w:tr w:rsidR="00160C5D" w14:paraId="246554A8" w14:textId="77777777" w:rsidTr="00160C5D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6C375211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noWrap/>
            <w:vAlign w:val="center"/>
            <w:hideMark/>
          </w:tcPr>
          <w:p w14:paraId="21544512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116 (26.1 %)</w:t>
            </w:r>
          </w:p>
        </w:tc>
        <w:tc>
          <w:tcPr>
            <w:tcW w:w="2124" w:type="dxa"/>
            <w:noWrap/>
            <w:vAlign w:val="center"/>
            <w:hideMark/>
          </w:tcPr>
          <w:p w14:paraId="38EA96C9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79 (26.8 %)</w:t>
            </w:r>
          </w:p>
        </w:tc>
        <w:tc>
          <w:tcPr>
            <w:tcW w:w="2080" w:type="dxa"/>
            <w:noWrap/>
            <w:vAlign w:val="center"/>
            <w:hideMark/>
          </w:tcPr>
          <w:p w14:paraId="1AA76F4B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54 (26.6 %)</w:t>
            </w:r>
          </w:p>
        </w:tc>
      </w:tr>
      <w:tr w:rsidR="00160C5D" w14:paraId="57DC9421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  <w:hideMark/>
          </w:tcPr>
          <w:p w14:paraId="5E6D84A6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2 or over</w:t>
            </w:r>
          </w:p>
        </w:tc>
        <w:tc>
          <w:tcPr>
            <w:tcW w:w="1985" w:type="dxa"/>
            <w:noWrap/>
            <w:vAlign w:val="center"/>
            <w:hideMark/>
          </w:tcPr>
          <w:p w14:paraId="2A86C96B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193 (43.5 %)</w:t>
            </w:r>
          </w:p>
        </w:tc>
        <w:tc>
          <w:tcPr>
            <w:tcW w:w="2124" w:type="dxa"/>
            <w:noWrap/>
            <w:vAlign w:val="center"/>
            <w:hideMark/>
          </w:tcPr>
          <w:p w14:paraId="0FE9E40B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134 (45.4 %)</w:t>
            </w:r>
          </w:p>
        </w:tc>
        <w:tc>
          <w:tcPr>
            <w:tcW w:w="2080" w:type="dxa"/>
            <w:noWrap/>
            <w:vAlign w:val="center"/>
            <w:hideMark/>
          </w:tcPr>
          <w:p w14:paraId="1ADE2921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95 (46.8 %)</w:t>
            </w:r>
          </w:p>
        </w:tc>
      </w:tr>
      <w:tr w:rsidR="00160C5D" w14:paraId="79A1401A" w14:textId="77777777" w:rsidTr="00160C5D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442B9838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HR-Hope, points</w:t>
            </w: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†, ‡</w:t>
            </w:r>
          </w:p>
        </w:tc>
        <w:tc>
          <w:tcPr>
            <w:tcW w:w="1985" w:type="dxa"/>
            <w:noWrap/>
            <w:vAlign w:val="center"/>
            <w:hideMark/>
          </w:tcPr>
          <w:p w14:paraId="577B7B34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61 (18.5)</w:t>
            </w:r>
          </w:p>
        </w:tc>
        <w:tc>
          <w:tcPr>
            <w:tcW w:w="2124" w:type="dxa"/>
            <w:noWrap/>
            <w:vAlign w:val="center"/>
            <w:hideMark/>
          </w:tcPr>
          <w:p w14:paraId="37325215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59.4 (19)</w:t>
            </w:r>
          </w:p>
        </w:tc>
        <w:tc>
          <w:tcPr>
            <w:tcW w:w="2080" w:type="dxa"/>
            <w:noWrap/>
            <w:vAlign w:val="center"/>
            <w:hideMark/>
          </w:tcPr>
          <w:p w14:paraId="2083C174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61.3 (19.1)</w:t>
            </w:r>
          </w:p>
        </w:tc>
      </w:tr>
      <w:tr w:rsidR="00160C5D" w14:paraId="4CA784D8" w14:textId="77777777" w:rsidTr="00160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3A2511CB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Effect of water restriction, points</w:t>
            </w: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a, b</w:t>
            </w:r>
          </w:p>
        </w:tc>
        <w:tc>
          <w:tcPr>
            <w:tcW w:w="1985" w:type="dxa"/>
            <w:noWrap/>
            <w:vAlign w:val="center"/>
            <w:hideMark/>
          </w:tcPr>
          <w:p w14:paraId="3B286566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76.4 (29.7)</w:t>
            </w:r>
          </w:p>
        </w:tc>
        <w:tc>
          <w:tcPr>
            <w:tcW w:w="2124" w:type="dxa"/>
            <w:noWrap/>
            <w:vAlign w:val="center"/>
            <w:hideMark/>
          </w:tcPr>
          <w:p w14:paraId="17C6CCEE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72.4 (28.9)</w:t>
            </w:r>
          </w:p>
        </w:tc>
        <w:tc>
          <w:tcPr>
            <w:tcW w:w="2080" w:type="dxa"/>
            <w:noWrap/>
            <w:vAlign w:val="center"/>
            <w:hideMark/>
          </w:tcPr>
          <w:p w14:paraId="40B075E4" w14:textId="77777777" w:rsidR="001713DE" w:rsidRPr="001713DE" w:rsidRDefault="00000000" w:rsidP="00597FBD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71.8 (28.3)</w:t>
            </w:r>
          </w:p>
        </w:tc>
      </w:tr>
      <w:tr w:rsidR="00160C5D" w14:paraId="03716859" w14:textId="77777777" w:rsidTr="00160C5D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noWrap/>
            <w:vAlign w:val="center"/>
            <w:hideMark/>
          </w:tcPr>
          <w:p w14:paraId="51A02437" w14:textId="77777777" w:rsidR="001713DE" w:rsidRPr="001713DE" w:rsidRDefault="00000000" w:rsidP="00597FBD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Effect of diet restriction, points</w:t>
            </w: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†, ‡</w:t>
            </w:r>
          </w:p>
        </w:tc>
        <w:tc>
          <w:tcPr>
            <w:tcW w:w="1985" w:type="dxa"/>
            <w:noWrap/>
            <w:vAlign w:val="center"/>
            <w:hideMark/>
          </w:tcPr>
          <w:p w14:paraId="079A3258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74.4 (27.5)</w:t>
            </w:r>
          </w:p>
        </w:tc>
        <w:tc>
          <w:tcPr>
            <w:tcW w:w="2124" w:type="dxa"/>
            <w:noWrap/>
            <w:vAlign w:val="center"/>
            <w:hideMark/>
          </w:tcPr>
          <w:p w14:paraId="4189FDB6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73 (25.5)</w:t>
            </w:r>
          </w:p>
        </w:tc>
        <w:tc>
          <w:tcPr>
            <w:tcW w:w="2080" w:type="dxa"/>
            <w:noWrap/>
            <w:vAlign w:val="center"/>
            <w:hideMark/>
          </w:tcPr>
          <w:p w14:paraId="65D6FB3E" w14:textId="77777777" w:rsidR="001713DE" w:rsidRPr="001713DE" w:rsidRDefault="00000000" w:rsidP="00597FBD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13DE">
              <w:rPr>
                <w:rFonts w:ascii="Times New Roman" w:eastAsia="ＭＳ Ｐゴシック" w:hAnsi="Times New Roman" w:cs="Times New Roman"/>
                <w:color w:val="000000"/>
                <w:sz w:val="24"/>
                <w:szCs w:val="24"/>
                <w:lang w:val="en-US"/>
              </w:rPr>
              <w:t>72.8 (25.3)</w:t>
            </w:r>
          </w:p>
        </w:tc>
      </w:tr>
    </w:tbl>
    <w:p w14:paraId="30BCC43F" w14:textId="77777777" w:rsidR="001713DE" w:rsidRPr="001713DE" w:rsidRDefault="00000000" w:rsidP="001713DE">
      <w:pPr>
        <w:widowControl/>
        <w:rPr>
          <w:rFonts w:ascii="Times New Roman" w:eastAsia="ＭＳ Ｐゴシック" w:hAnsi="Times New Roman" w:cs="Times New Roman"/>
          <w:color w:val="000000"/>
          <w:sz w:val="24"/>
          <w:szCs w:val="24"/>
          <w:lang w:val="en-US"/>
        </w:rPr>
      </w:pPr>
      <w:r w:rsidRPr="001713DE">
        <w:rPr>
          <w:rFonts w:ascii="Times New Roman" w:eastAsia="ＭＳ Ｐゴシック" w:hAnsi="Times New Roman" w:cs="Times New Roman"/>
          <w:color w:val="000000"/>
          <w:sz w:val="24"/>
          <w:szCs w:val="24"/>
          <w:vertAlign w:val="superscript"/>
          <w:lang w:val="en-US"/>
        </w:rPr>
        <w:t>#</w:t>
      </w:r>
      <w:r w:rsidRPr="001713DE">
        <w:rPr>
          <w:rFonts w:ascii="Times New Roman" w:eastAsia="ＭＳ Ｐゴシック" w:hAnsi="Times New Roman" w:cs="Times New Roman"/>
          <w:color w:val="000000"/>
          <w:sz w:val="24"/>
          <w:szCs w:val="24"/>
          <w:lang w:val="en-US"/>
        </w:rPr>
        <w:t>Please note that those at one year are a part of the baseline population, and those at two years are a part of the one-year population.</w:t>
      </w:r>
    </w:p>
    <w:p w14:paraId="54C17B47" w14:textId="77777777" w:rsidR="001713DE" w:rsidRPr="001713DE" w:rsidRDefault="00000000" w:rsidP="001713DE">
      <w:pPr>
        <w:widowControl/>
        <w:rPr>
          <w:rFonts w:ascii="Times New Roman" w:eastAsia="ＭＳ Ｐゴシック" w:hAnsi="Times New Roman" w:cs="Times New Roman"/>
          <w:color w:val="000000"/>
          <w:sz w:val="24"/>
          <w:szCs w:val="24"/>
          <w:lang w:val="en-US"/>
        </w:rPr>
      </w:pPr>
      <w:r w:rsidRPr="001713DE">
        <w:rPr>
          <w:rFonts w:ascii="Times New Roman" w:eastAsia="ＭＳ Ｐゴシック" w:hAnsi="Times New Roman" w:cs="Times New Roman"/>
          <w:color w:val="000000"/>
          <w:sz w:val="24"/>
          <w:szCs w:val="24"/>
          <w:vertAlign w:val="superscript"/>
          <w:lang w:val="en-US"/>
        </w:rPr>
        <w:t>†</w:t>
      </w:r>
      <w:r w:rsidRPr="001713DE">
        <w:rPr>
          <w:rFonts w:ascii="Times New Roman" w:eastAsia="ＭＳ Ｐゴシック" w:hAnsi="Times New Roman" w:cs="Times New Roman"/>
          <w:color w:val="000000"/>
          <w:sz w:val="24"/>
          <w:szCs w:val="24"/>
          <w:lang w:val="en-US"/>
        </w:rPr>
        <w:t>Health-related hope score (i.e., a lower score indicates worse hope related to health).</w:t>
      </w:r>
    </w:p>
    <w:p w14:paraId="1DA33D32" w14:textId="77777777" w:rsidR="001713DE" w:rsidRDefault="00000000" w:rsidP="001713DE">
      <w:pPr>
        <w:widowControl/>
        <w:rPr>
          <w:rFonts w:ascii="Times New Roman" w:eastAsia="ＭＳ Ｐゴシック" w:hAnsi="Times New Roman" w:cs="Times New Roman"/>
          <w:color w:val="000000"/>
          <w:sz w:val="24"/>
          <w:szCs w:val="24"/>
          <w:lang w:val="en-US"/>
        </w:rPr>
      </w:pPr>
      <w:r w:rsidRPr="001713DE">
        <w:rPr>
          <w:rFonts w:ascii="Times New Roman" w:eastAsia="ＭＳ Ｐゴシック" w:hAnsi="Times New Roman" w:cs="Times New Roman"/>
          <w:color w:val="000000"/>
          <w:sz w:val="24"/>
          <w:szCs w:val="24"/>
          <w:vertAlign w:val="superscript"/>
          <w:lang w:val="en-US"/>
        </w:rPr>
        <w:t>‡</w:t>
      </w:r>
      <w:r w:rsidRPr="001713DE">
        <w:rPr>
          <w:rFonts w:ascii="Times New Roman" w:eastAsia="ＭＳ Ｐゴシック" w:hAnsi="Times New Roman" w:cs="Times New Roman"/>
          <w:color w:val="000000"/>
          <w:sz w:val="24"/>
          <w:szCs w:val="24"/>
          <w:lang w:val="en-US"/>
        </w:rPr>
        <w:t>Values for continuous data are shown as mean (standard deviation) and/or median [25</w:t>
      </w:r>
      <w:r w:rsidRPr="001713DE">
        <w:rPr>
          <w:rFonts w:ascii="Times New Roman" w:eastAsia="ＭＳ Ｐゴシック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 w:rsidRPr="001713DE">
        <w:rPr>
          <w:rFonts w:ascii="Times New Roman" w:eastAsia="ＭＳ Ｐゴシック" w:hAnsi="Times New Roman" w:cs="Times New Roman"/>
          <w:color w:val="000000"/>
          <w:sz w:val="24"/>
          <w:szCs w:val="24"/>
          <w:lang w:val="en-US"/>
        </w:rPr>
        <w:t xml:space="preserve"> and 75</w:t>
      </w:r>
      <w:r w:rsidRPr="001713DE">
        <w:rPr>
          <w:rFonts w:ascii="Times New Roman" w:eastAsia="ＭＳ Ｐゴシック" w:hAnsi="Times New Roman" w:cs="Times New Roman"/>
          <w:color w:val="000000"/>
          <w:sz w:val="24"/>
          <w:szCs w:val="24"/>
          <w:vertAlign w:val="superscript"/>
          <w:lang w:val="en-US"/>
        </w:rPr>
        <w:t>th</w:t>
      </w:r>
      <w:r w:rsidRPr="001713DE">
        <w:rPr>
          <w:rFonts w:ascii="Times New Roman" w:eastAsia="ＭＳ Ｐゴシック" w:hAnsi="Times New Roman" w:cs="Times New Roman"/>
          <w:color w:val="000000"/>
          <w:sz w:val="24"/>
          <w:szCs w:val="24"/>
          <w:lang w:val="en-US"/>
        </w:rPr>
        <w:t xml:space="preserve"> percentiles].</w:t>
      </w:r>
    </w:p>
    <w:p w14:paraId="0038360D" w14:textId="6919E5B4" w:rsidR="00482E0A" w:rsidRPr="001713DE" w:rsidRDefault="00482E0A" w:rsidP="001713DE">
      <w:pPr>
        <w:widowControl/>
        <w:rPr>
          <w:rFonts w:ascii="Times New Roman" w:eastAsia="ＭＳ Ｐゴシック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ＭＳ Ｐゴシック" w:hAnsi="Times New Roman" w:cs="Times New Roman"/>
          <w:color w:val="000000"/>
          <w:sz w:val="24"/>
          <w:szCs w:val="24"/>
          <w:lang w:val="en-US"/>
        </w:rPr>
        <w:t>HR, health-related</w:t>
      </w:r>
    </w:p>
    <w:p w14:paraId="1A6F57F2" w14:textId="77777777" w:rsidR="001713DE" w:rsidRPr="001713DE" w:rsidRDefault="001713DE" w:rsidP="001713DE">
      <w:pPr>
        <w:widowControl/>
        <w:rPr>
          <w:rFonts w:ascii="Times New Roman" w:eastAsia="ＭＳ Ｐゴシック" w:hAnsi="Times New Roman" w:cs="Times New Roman"/>
          <w:color w:val="000000"/>
          <w:sz w:val="24"/>
          <w:szCs w:val="24"/>
          <w:lang w:val="en-US"/>
        </w:rPr>
      </w:pPr>
    </w:p>
    <w:p w14:paraId="3C8D9BE8" w14:textId="77777777" w:rsidR="001713DE" w:rsidRPr="001713DE" w:rsidRDefault="001713DE" w:rsidP="001713D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D9FDB1" w14:textId="742D3E43" w:rsidR="00134ED9" w:rsidRPr="001713DE" w:rsidRDefault="00134ED9">
      <w:pPr>
        <w:rPr>
          <w:lang w:val="en-US"/>
        </w:rPr>
      </w:pPr>
    </w:p>
    <w:sectPr w:rsidR="00134ED9" w:rsidRPr="001713DE" w:rsidSect="00FA21D1">
      <w:footerReference w:type="even" r:id="rId6"/>
      <w:footerReference w:type="default" r:id="rId7"/>
      <w:pgSz w:w="11907" w:h="16840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3DDD0" w14:textId="77777777" w:rsidR="00FA21D1" w:rsidRDefault="00FA21D1">
      <w:r>
        <w:separator/>
      </w:r>
    </w:p>
  </w:endnote>
  <w:endnote w:type="continuationSeparator" w:id="0">
    <w:p w14:paraId="34E47AFD" w14:textId="77777777" w:rsidR="00FA21D1" w:rsidRDefault="00FA2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2E794" w14:textId="77777777" w:rsidR="00514881" w:rsidRDefault="00000000" w:rsidP="00161054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79AD981" w14:textId="77777777" w:rsidR="00514881" w:rsidRDefault="00514881" w:rsidP="002D5A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9E634" w14:textId="77777777" w:rsidR="00514881" w:rsidRPr="001713DE" w:rsidRDefault="00000000" w:rsidP="00161054">
    <w:pPr>
      <w:pStyle w:val="a5"/>
      <w:framePr w:wrap="none" w:vAnchor="text" w:hAnchor="margin" w:xAlign="right" w:y="1"/>
      <w:rPr>
        <w:rStyle w:val="a7"/>
        <w:lang w:val="en-US"/>
      </w:rPr>
    </w:pPr>
    <w:r w:rsidRPr="001713DE">
      <w:rPr>
        <w:rStyle w:val="a7"/>
        <w:lang w:val="en-US"/>
      </w:rPr>
      <w:fldChar w:fldCharType="begin"/>
    </w:r>
    <w:r w:rsidRPr="001713DE">
      <w:rPr>
        <w:rStyle w:val="a7"/>
        <w:lang w:val="en-US"/>
      </w:rPr>
      <w:instrText xml:space="preserve">PAGE  </w:instrText>
    </w:r>
    <w:r w:rsidRPr="001713DE">
      <w:rPr>
        <w:rStyle w:val="a7"/>
        <w:lang w:val="en-US"/>
      </w:rPr>
      <w:fldChar w:fldCharType="separate"/>
    </w:r>
    <w:r w:rsidRPr="001713DE">
      <w:rPr>
        <w:rStyle w:val="a7"/>
        <w:lang w:val="en-US"/>
      </w:rPr>
      <w:t>28</w:t>
    </w:r>
    <w:r w:rsidRPr="001713DE">
      <w:rPr>
        <w:rStyle w:val="a7"/>
        <w:lang w:val="en-US"/>
      </w:rPr>
      <w:fldChar w:fldCharType="end"/>
    </w:r>
  </w:p>
  <w:p w14:paraId="32A11CB4" w14:textId="77777777" w:rsidR="00514881" w:rsidRPr="001713DE" w:rsidRDefault="00000000" w:rsidP="0052390F">
    <w:pPr>
      <w:pStyle w:val="a5"/>
      <w:rPr>
        <w:rFonts w:ascii="Times New Roman" w:hAnsi="Times New Roman" w:cs="Times New Roman"/>
        <w:color w:val="FF0000"/>
        <w:sz w:val="22"/>
        <w:szCs w:val="22"/>
        <w:lang w:val="en-US"/>
      </w:rPr>
    </w:pPr>
    <w:r w:rsidRPr="001713DE">
      <w:rPr>
        <w:rFonts w:ascii="Times New Roman" w:hAnsi="Times New Roman" w:cs="Times New Roman"/>
        <w:sz w:val="22"/>
        <w:szCs w:val="22"/>
        <w:lang w:val="en-US"/>
      </w:rPr>
      <w:t xml:space="preserve">Page </w:t>
    </w:r>
    <w:r w:rsidRPr="001713DE">
      <w:rPr>
        <w:rFonts w:ascii="Times New Roman" w:hAnsi="Times New Roman" w:cs="Times New Roman"/>
        <w:sz w:val="22"/>
        <w:szCs w:val="22"/>
        <w:lang w:val="en-US"/>
      </w:rPr>
      <w:fldChar w:fldCharType="begin"/>
    </w:r>
    <w:r w:rsidRPr="001713DE">
      <w:rPr>
        <w:rFonts w:ascii="Times New Roman" w:hAnsi="Times New Roman" w:cs="Times New Roman"/>
        <w:sz w:val="22"/>
        <w:szCs w:val="22"/>
        <w:lang w:val="en-US"/>
      </w:rPr>
      <w:instrText>PAGE   \* MERGEFORMAT</w:instrText>
    </w:r>
    <w:r w:rsidRPr="001713DE">
      <w:rPr>
        <w:rFonts w:ascii="Times New Roman" w:hAnsi="Times New Roman" w:cs="Times New Roman"/>
        <w:sz w:val="22"/>
        <w:szCs w:val="22"/>
        <w:lang w:val="en-US"/>
      </w:rPr>
      <w:fldChar w:fldCharType="separate"/>
    </w:r>
    <w:r w:rsidRPr="001713DE">
      <w:rPr>
        <w:rFonts w:ascii="Times New Roman" w:hAnsi="Times New Roman" w:cs="Times New Roman"/>
        <w:sz w:val="22"/>
        <w:lang w:val="en-US"/>
      </w:rPr>
      <w:t>1</w:t>
    </w:r>
    <w:r w:rsidRPr="001713DE">
      <w:rPr>
        <w:rFonts w:ascii="Times New Roman" w:hAnsi="Times New Roman" w:cs="Times New Roman"/>
        <w:sz w:val="22"/>
        <w:szCs w:val="22"/>
        <w:lang w:val="en-US"/>
      </w:rPr>
      <w:fldChar w:fldCharType="end"/>
    </w:r>
    <w:r w:rsidRPr="001713DE">
      <w:rPr>
        <w:rFonts w:ascii="Times New Roman" w:hAnsi="Times New Roman" w:cs="Times New Roman" w:hint="eastAsia"/>
        <w:sz w:val="22"/>
        <w:szCs w:val="22"/>
        <w:lang w:val="en-US"/>
      </w:rPr>
      <w:t xml:space="preserve"> </w:t>
    </w:r>
    <w:r w:rsidRPr="001713DE">
      <w:rPr>
        <w:rFonts w:ascii="Times New Roman" w:hAnsi="Times New Roman" w:cs="Times New Roman"/>
        <w:sz w:val="22"/>
        <w:szCs w:val="22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D39FF" w14:textId="77777777" w:rsidR="00FA21D1" w:rsidRDefault="00FA21D1">
      <w:r>
        <w:separator/>
      </w:r>
    </w:p>
  </w:footnote>
  <w:footnote w:type="continuationSeparator" w:id="0">
    <w:p w14:paraId="7CE42AAE" w14:textId="77777777" w:rsidR="00FA21D1" w:rsidRDefault="00FA21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07C"/>
    <w:rsid w:val="0008637A"/>
    <w:rsid w:val="000D6DAF"/>
    <w:rsid w:val="00134ED9"/>
    <w:rsid w:val="00160C5D"/>
    <w:rsid w:val="00161054"/>
    <w:rsid w:val="001713DE"/>
    <w:rsid w:val="001D7B7C"/>
    <w:rsid w:val="002D5A3A"/>
    <w:rsid w:val="00482E0A"/>
    <w:rsid w:val="00514881"/>
    <w:rsid w:val="0052390F"/>
    <w:rsid w:val="00597FBD"/>
    <w:rsid w:val="006F430F"/>
    <w:rsid w:val="00791464"/>
    <w:rsid w:val="0085413C"/>
    <w:rsid w:val="009445E8"/>
    <w:rsid w:val="00E3732C"/>
    <w:rsid w:val="00E6107C"/>
    <w:rsid w:val="00F269B7"/>
    <w:rsid w:val="00F3367F"/>
    <w:rsid w:val="00FA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2BDAA"/>
  <w15:chartTrackingRefBased/>
  <w15:docId w15:val="{08408608-913E-40CB-B61B-9370E901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EastAsia" w:hAnsiTheme="maj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3DE"/>
    <w:pPr>
      <w:widowControl w:val="0"/>
      <w:spacing w:after="0" w:line="240" w:lineRule="auto"/>
      <w:jc w:val="both"/>
    </w:pPr>
    <w:rPr>
      <w:rFonts w:ascii="游明朝" w:eastAsia="游明朝" w:hAnsi="游明朝" w:cs="游明朝"/>
      <w:kern w:val="0"/>
      <w:sz w:val="21"/>
      <w:szCs w:val="21"/>
      <w:lang w:val="en-GB"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entText1">
    <w:name w:val="Comment Text1"/>
    <w:basedOn w:val="a"/>
    <w:qFormat/>
    <w:rsid w:val="000D6DAF"/>
    <w:pPr>
      <w:jc w:val="left"/>
    </w:pPr>
    <w:rPr>
      <w:rFonts w:ascii="Segoe UI" w:eastAsia="Calibri" w:hAnsi="Segoe UI" w:cs="Calibri"/>
      <w:kern w:val="2"/>
      <w:sz w:val="24"/>
      <w:szCs w:val="20"/>
      <w:lang w:val="" w:eastAsia="en-US"/>
      <w14:ligatures w14:val="standardContextual"/>
    </w:rPr>
  </w:style>
  <w:style w:type="paragraph" w:customStyle="1" w:styleId="comments">
    <w:name w:val="comments"/>
    <w:basedOn w:val="a3"/>
    <w:link w:val="commentsChar"/>
    <w:autoRedefine/>
    <w:qFormat/>
    <w:rsid w:val="001D7B7C"/>
    <w:pPr>
      <w:spacing w:after="0"/>
    </w:pPr>
    <w:rPr>
      <w:rFonts w:ascii="Times New Roman" w:eastAsia="ＭＳ Ｐゴシック" w:hAnsi="Times New Roman" w:cs="ＭＳ Ｐゴシック"/>
      <w:kern w:val="0"/>
    </w:rPr>
  </w:style>
  <w:style w:type="character" w:customStyle="1" w:styleId="commentsChar">
    <w:name w:val="comments Char"/>
    <w:basedOn w:val="a4"/>
    <w:link w:val="comments"/>
    <w:rsid w:val="001D7B7C"/>
    <w:rPr>
      <w:rFonts w:ascii="Times New Roman" w:eastAsia="ＭＳ Ｐゴシック" w:hAnsi="Times New Roman" w:cs="ＭＳ Ｐゴシック"/>
      <w:kern w:val="0"/>
      <w:sz w:val="20"/>
      <w:szCs w:val="20"/>
    </w:rPr>
  </w:style>
  <w:style w:type="paragraph" w:styleId="a3">
    <w:name w:val="annotation text"/>
    <w:basedOn w:val="a"/>
    <w:link w:val="a4"/>
    <w:uiPriority w:val="99"/>
    <w:semiHidden/>
    <w:unhideWhenUsed/>
    <w:rsid w:val="001D7B7C"/>
    <w:pPr>
      <w:widowControl/>
      <w:spacing w:after="200"/>
      <w:jc w:val="left"/>
    </w:pPr>
    <w:rPr>
      <w:rFonts w:asciiTheme="majorHAnsi" w:eastAsiaTheme="minorHAnsi" w:hAnsiTheme="maj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a4">
    <w:name w:val="コメント文字列 (文字)"/>
    <w:basedOn w:val="a0"/>
    <w:link w:val="a3"/>
    <w:uiPriority w:val="99"/>
    <w:semiHidden/>
    <w:rsid w:val="001D7B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13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13DE"/>
    <w:rPr>
      <w:rFonts w:ascii="游明朝" w:eastAsia="游明朝" w:hAnsi="游明朝" w:cs="游明朝"/>
      <w:kern w:val="0"/>
      <w:sz w:val="21"/>
      <w:szCs w:val="21"/>
      <w:lang w:val="en-GB" w:eastAsia="ja-JP"/>
      <w14:ligatures w14:val="none"/>
    </w:rPr>
  </w:style>
  <w:style w:type="character" w:styleId="a7">
    <w:name w:val="page number"/>
    <w:basedOn w:val="a0"/>
    <w:uiPriority w:val="99"/>
    <w:semiHidden/>
    <w:unhideWhenUsed/>
    <w:rsid w:val="001713DE"/>
  </w:style>
  <w:style w:type="table" w:styleId="2">
    <w:name w:val="Plain Table 2"/>
    <w:basedOn w:val="a1"/>
    <w:uiPriority w:val="42"/>
    <w:rsid w:val="001713DE"/>
    <w:pPr>
      <w:widowControl w:val="0"/>
      <w:spacing w:after="0" w:line="240" w:lineRule="auto"/>
      <w:jc w:val="both"/>
    </w:pPr>
    <w:rPr>
      <w:rFonts w:ascii="游明朝" w:eastAsia="游明朝" w:hAnsi="游明朝" w:cs="游明朝"/>
      <w:kern w:val="0"/>
      <w:sz w:val="21"/>
      <w:szCs w:val="21"/>
      <w:lang w:eastAsia="ja-JP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header"/>
    <w:basedOn w:val="a"/>
    <w:link w:val="a9"/>
    <w:uiPriority w:val="99"/>
    <w:unhideWhenUsed/>
    <w:rsid w:val="001713DE"/>
    <w:pPr>
      <w:tabs>
        <w:tab w:val="center" w:pos="4680"/>
        <w:tab w:val="right" w:pos="9360"/>
      </w:tabs>
    </w:pPr>
  </w:style>
  <w:style w:type="character" w:customStyle="1" w:styleId="a9">
    <w:name w:val="ヘッダー (文字)"/>
    <w:basedOn w:val="a0"/>
    <w:link w:val="a8"/>
    <w:uiPriority w:val="99"/>
    <w:rsid w:val="001713DE"/>
    <w:rPr>
      <w:rFonts w:ascii="游明朝" w:eastAsia="游明朝" w:hAnsi="游明朝" w:cs="游明朝"/>
      <w:kern w:val="0"/>
      <w:sz w:val="21"/>
      <w:szCs w:val="21"/>
      <w:lang w:val="en-GB" w:eastAsia="ja-JP"/>
      <w14:ligatures w14:val="none"/>
    </w:rPr>
  </w:style>
  <w:style w:type="paragraph" w:styleId="aa">
    <w:name w:val="Revision"/>
    <w:hidden/>
    <w:uiPriority w:val="99"/>
    <w:semiHidden/>
    <w:rsid w:val="00514881"/>
    <w:pPr>
      <w:spacing w:after="0" w:line="240" w:lineRule="auto"/>
    </w:pPr>
    <w:rPr>
      <w:rFonts w:ascii="游明朝" w:eastAsia="游明朝" w:hAnsi="游明朝" w:cs="游明朝"/>
      <w:kern w:val="0"/>
      <w:sz w:val="21"/>
      <w:szCs w:val="21"/>
      <w:lang w:val="en-GB" w:eastAsia="ja-JP"/>
      <w14:ligatures w14:val="none"/>
    </w:rPr>
  </w:style>
  <w:style w:type="character" w:styleId="ab">
    <w:name w:val="annotation reference"/>
    <w:basedOn w:val="a0"/>
    <w:uiPriority w:val="99"/>
    <w:semiHidden/>
    <w:unhideWhenUsed/>
    <w:rsid w:val="00514881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514881"/>
    <w:pPr>
      <w:widowControl w:val="0"/>
      <w:spacing w:after="0"/>
      <w:jc w:val="both"/>
    </w:pPr>
    <w:rPr>
      <w:rFonts w:ascii="游明朝" w:eastAsia="游明朝" w:hAnsi="游明朝" w:cs="游明朝"/>
      <w:b/>
      <w:bCs/>
      <w:kern w:val="0"/>
      <w:lang w:val="en-GB" w:eastAsia="ja-JP"/>
      <w14:ligatures w14:val="none"/>
    </w:rPr>
  </w:style>
  <w:style w:type="character" w:customStyle="1" w:styleId="ad">
    <w:name w:val="コメント内容 (文字)"/>
    <w:basedOn w:val="a4"/>
    <w:link w:val="ac"/>
    <w:uiPriority w:val="99"/>
    <w:semiHidden/>
    <w:rsid w:val="00514881"/>
    <w:rPr>
      <w:rFonts w:ascii="游明朝" w:eastAsia="游明朝" w:hAnsi="游明朝" w:cs="游明朝"/>
      <w:b/>
      <w:bCs/>
      <w:kern w:val="0"/>
      <w:sz w:val="20"/>
      <w:szCs w:val="20"/>
      <w:lang w:val="en-GB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kurita</cp:lastModifiedBy>
  <cp:revision>2</cp:revision>
  <dcterms:created xsi:type="dcterms:W3CDTF">2024-05-01T13:03:00Z</dcterms:created>
  <dcterms:modified xsi:type="dcterms:W3CDTF">2024-05-01T13:03:00Z</dcterms:modified>
</cp:coreProperties>
</file>